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60"/>
        <w:jc w:val="left"/>
      </w:pPr>
      <w:r>
        <w:rPr>
          <w:b/>
          <w:bCs/>
          <w:color w:val="1F6F54"/>
          <w:spacing w:val="40"/>
          <w:sz w:val="24"/>
          <w:szCs w:val="24"/>
        </w:rPr>
        <w:t xml:space="preserve">QUANT STRATEGY REVIEW</w:t>
      </w:r>
    </w:p>
    <w:p>
      <w:pPr>
        <w:spacing w:after="100"/>
        <w:jc w:val="left"/>
      </w:pPr>
      <w:r>
        <w:rPr>
          <w:b/>
          <w:bCs/>
          <w:color w:val="111111"/>
          <w:sz w:val="56"/>
          <w:szCs w:val="56"/>
        </w:rPr>
        <w:t xml:space="preserve">Improving Grok-Bot-2</w:t>
      </w:r>
    </w:p>
    <w:p>
      <w:pPr>
        <w:spacing w:after="240"/>
        <w:jc w:val="left"/>
      </w:pPr>
      <w:r>
        <w:rPr>
          <w:color w:val="5A5A5A"/>
          <w:sz w:val="28"/>
          <w:szCs w:val="28"/>
        </w:rPr>
        <w:t xml:space="preserve">Comparing the live “Hermes BTC Pulse” engine against the Polymarket Arbitrage Bible</w:t>
      </w:r>
    </w:p>
    <w:p>
      <w:pPr>
        <w:pBdr>
          <w:bottom w:val="single" w:color="1F6F54" w:sz="12" w:space="6"/>
        </w:pBdr>
        <w:spacing w:after="200"/>
      </w:pPr>
    </w:p>
    <w:p>
      <w:pPr>
        <w:spacing w:after="140" w:line="276"/>
      </w:pPr>
      <w:r>
        <w:rPr>
          <w:b/>
          <w:bCs/>
        </w:rPr>
        <w:t xml:space="preserve">Prepared: </w:t>
      </w:r>
      <w:r>
        <w:t xml:space="preserve">June 26, 2026</w:t>
      </w:r>
    </w:p>
    <w:p>
      <w:pPr>
        <w:spacing w:after="140" w:line="276"/>
      </w:pPr>
      <w:r>
        <w:rPr>
          <w:b/>
          <w:bCs/>
        </w:rPr>
        <w:t xml:space="preserve">Subject repo: </w:t>
      </w:r>
      <w:r>
        <w:t xml:space="preserve">github.com/minh99085/Grok-Bot-2 (full clone, 4,278 files)</w:t>
      </w:r>
    </w:p>
    <w:p>
      <w:pPr>
        <w:spacing w:after="140" w:line="276"/>
      </w:pPr>
      <w:r>
        <w:rPr>
          <w:b/>
          <w:bCs/>
        </w:rPr>
        <w:t xml:space="preserve">Source studied: </w:t>
      </w:r>
      <w:r>
        <w:t xml:space="preserve">Polymarket Arbitrage Bible (Roan / MrRyanChi) + arxiv 2508.03474</w:t>
      </w:r>
    </w:p>
    <w:p>
      <w:pPr>
        <w:spacing w:after="140" w:line="276"/>
      </w:pPr>
      <w:r>
        <w:rPr>
          <w:b/>
          <w:bCs/>
        </w:rPr>
        <w:t xml:space="preserve">Evidence base: </w:t>
      </w:r>
      <w:r>
        <w:t xml:space="preserve">live engine source under hermes-trading-engine/engine/pulse/ and the VPS paper ledgers in vps_full_reports/latest/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7E5" w:sz="2"/>
              <w:left w:val="single" w:color="B23A2E" w:sz="18"/>
              <w:bottom w:val="single" w:color="F6E7E5" w:sz="2"/>
              <w:right w:val="single" w:color="F6E7E5" w:sz="2"/>
            </w:tcBorders>
            <w:shd w:fill="F6E7E5" w:val="clear"/>
            <w:tcMar>
              <w:top w:type="dxa" w:w="120"/>
              <w:left w:type="dxa" w:w="160"/>
              <w:bottom w:type="dxa" w:w="120"/>
              <w:right w:type="dxa" w:w="160"/>
            </w:tcMar>
          </w:tcPr>
          <w:p>
            <w:pPr>
              <w:spacing w:after="60"/>
            </w:pPr>
            <w:r>
              <w:rPr>
                <w:b/>
                <w:bCs/>
                <w:color w:val="B23A2E"/>
                <w:sz w:val="21"/>
                <w:szCs w:val="21"/>
              </w:rPr>
              <w:t xml:space="preserve">Not financial advice</w:t>
            </w:r>
          </w:p>
          <w:p>
            <w:pPr>
              <w:spacing w:after="50" w:line="264"/>
            </w:pPr>
            <w:r>
              <w:rPr>
                <w:sz w:val="20"/>
                <w:szCs w:val="20"/>
              </w:rPr>
              <w:t xml:space="preserve">This is a technical/strategy review of a paper-trading system, not investment advice. Every number below is from the bot’s own paper ledger (no real capital). Prediction-market trading carries real risk of loss; treat any move to live capital as a separate decision with its own controls.</w:t>
            </w:r>
          </w:p>
        </w:tc>
      </w:tr>
    </w:tbl>
    <w:p>
      <w:r>
        <w:br w:type="page"/>
      </w:r>
    </w:p>
    <w:p>
      <w:pPr>
        <w:spacing w:after="120"/>
      </w:pPr>
      <w:r>
        <w:rPr>
          <w:b/>
          <w:bCs/>
          <w:color w:val="1F6F5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40" w:line="276"/>
      </w:pPr>
      <w:r>
        <w:t xml:space="preserve">The headline first, because it inverts the usual advice. Grok-Bot-2 is not a naive bot that needs the Arbitrage Bible’s mathematics bolted on. </w:t>
      </w:r>
      <w:r>
        <w:rPr>
          <w:b/>
          <w:bCs/>
        </w:rPr>
        <w:t xml:space="preserve">Its author has already read Roan’s roadmap and implemented the parts that apply</w:t>
      </w:r>
      <w:r>
        <w:t xml:space="preserve"> — the within-window dutch-book arbitrage, VWAP-based fills, the 50%-of-depth cap, the $0.05 minimum-margin threshold, stale-book and tick guards, an EV-after-slippage execution gate, and a half-Kelly sizing module. The engine is genuinely sophisticated, with reconciliation, Wilson/FDR selectivity, and a maker-checker verifier.</w:t>
      </w:r>
    </w:p>
    <w:p>
      <w:pPr>
        <w:spacing w:after="140" w:line="276"/>
      </w:pPr>
      <w:r>
        <w:rPr>
          <w:b/>
          <w:bCs/>
        </w:rPr>
        <w:t xml:space="preserve">The real problem the data exposes is allocation, not math. </w:t>
      </w:r>
      <w:r>
        <w:t xml:space="preserve">The bot runs two strategies side by side with segregated ledgers. The </w:t>
      </w:r>
      <w:r>
        <w:rPr>
          <w:b/>
          <w:bCs/>
          <w:color w:val="1F6F54"/>
        </w:rPr>
        <w:t xml:space="preserve">arbitrage</w:t>
      </w:r>
      <w:r>
        <w:t xml:space="preserve"> loop made </w:t>
      </w:r>
      <w:r>
        <w:rPr>
          <w:b/>
          <w:bCs/>
        </w:rPr>
        <w:t xml:space="preserve">$34.46 risk-free from 4 trades</w:t>
      </w:r>
      <w:r>
        <w:t xml:space="preserve">. The </w:t>
      </w:r>
      <w:r>
        <w:rPr>
          <w:b/>
          <w:bCs/>
          <w:color w:val="B23A2E"/>
        </w:rPr>
        <w:t xml:space="preserve">directional</w:t>
      </w:r>
      <w:r>
        <w:t xml:space="preserve"> loop — which receives essentially all of the agentic “quant team” effort — made </w:t>
      </w:r>
      <w:r>
        <w:rPr>
          <w:b/>
          <w:bCs/>
        </w:rPr>
        <w:t xml:space="preserve">$1.49 across 48 settled trades</w:t>
      </w:r>
      <w:r>
        <w:t xml:space="preserve">, with a profit factor of 1.02 and an average loss ($4.17) larger than its average win ($2.55). By the bot’s own grading, every directional signal source (TradingView, the Grok decider, the CEX-lead latency edge, the predictor) scores at or below a coin flip.</w:t>
      </w:r>
    </w:p>
    <w:p>
      <w:pPr>
        <w:spacing w:after="140" w:line="276"/>
      </w:pPr>
      <w:r>
        <w:rPr>
          <w:b/>
          <w:bCs/>
        </w:rPr>
        <w:t xml:space="preserve">So the improvement thesis is threefold:</w:t>
      </w:r>
    </w:p>
    <w:p>
      <w:pPr>
        <w:pStyle w:val="ListParagraph"/>
        <w:numPr>
          <w:ilvl w:val="0"/>
          <w:numId w:val="2"/>
        </w:numPr>
        <w:spacing w:after="80" w:line="264"/>
      </w:pPr>
      <w:r>
        <w:rPr>
          <w:b/>
          <w:bCs/>
        </w:rPr>
        <w:t xml:space="preserve">Scale what is proven. </w:t>
      </w:r>
      <w:r>
        <w:t xml:space="preserve">Arbitrage produced ~96% of all profit, risk-free. It is currently confined to a single 2-outcome BTC window. The Bible’s heavy machinery (dependency detection, integer programming, Bregman/Frank-Wolfe) exists precisely to extend arbitrage into multi-condition and correlated markets — the only context where it stops being over-engineering for this bot.</w:t>
      </w:r>
    </w:p>
    <w:p>
      <w:pPr>
        <w:pStyle w:val="ListParagraph"/>
        <w:numPr>
          <w:ilvl w:val="0"/>
          <w:numId w:val="2"/>
        </w:numPr>
        <w:spacing w:after="80" w:line="264"/>
      </w:pPr>
      <w:r>
        <w:rPr>
          <w:b/>
          <w:bCs/>
        </w:rPr>
        <w:t xml:space="preserve">Stop optimizing a coin flip. </w:t>
      </w:r>
      <w:r>
        <w:t xml:space="preserve">Continuing to tune directional gates is polishing a ~zero-EV process. Demote directional to observe-only (or hard-cap its capital) until a bucket is genuinely proven by the bot’s own promotion scorecard.</w:t>
      </w:r>
    </w:p>
    <w:p>
      <w:pPr>
        <w:pStyle w:val="ListParagraph"/>
        <w:numPr>
          <w:ilvl w:val="0"/>
          <w:numId w:val="2"/>
        </w:numPr>
        <w:spacing w:after="80" w:line="264"/>
      </w:pPr>
      <w:r>
        <w:rPr>
          <w:b/>
          <w:bCs/>
        </w:rPr>
        <w:t xml:space="preserve">Turn on the sizing you already built. </w:t>
      </w:r>
      <w:r>
        <w:t xml:space="preserve">Flat sizing with avg-loss &gt; avg-win is actively harmful. Half-Kelly with the existing caps fixes the loss asymmetry the moment any edge is proven.</w:t>
      </w:r>
    </w:p>
    <w:p>
      <w:pPr>
        <w:spacing w:after="140" w:line="276"/>
      </w:pPr>
      <w:r>
        <w:t xml:space="preserve">The rest of this document substantiates each point against the live ledgers and the actual engine code, then lays out a prioritized roadmap that slots into the team’s existing Tier 1–4 framework.</w:t>
      </w:r>
    </w:p>
    <w:p>
      <w:pPr>
        <w:pStyle w:val="Heading1"/>
      </w:pPr>
      <w:r>
        <w:t xml:space="preserve">1. What Grok-Bot-2 actually is</w:t>
      </w:r>
    </w:p>
    <w:p>
      <w:pPr>
        <w:spacing w:after="140" w:line="276"/>
      </w:pPr>
      <w:r>
        <w:t xml:space="preserve">The repository is the </w:t>
      </w:r>
      <w:r>
        <w:rPr>
          <w:i/>
          <w:iCs/>
        </w:rPr>
        <w:t xml:space="preserve">control plane</w:t>
      </w:r>
      <w:r>
        <w:t xml:space="preserve"> for a paper-trading engine called “Hermes BTC Pulse.” The engine itself lives at </w:t>
      </w:r>
      <w:r>
        <w:rPr>
          <w:rFonts w:ascii="Consolas" w:cs="Consolas" w:eastAsia="Consolas" w:hAnsi="Consolas"/>
          <w:sz w:val="19"/>
          <w:szCs w:val="19"/>
        </w:rPr>
        <w:t xml:space="preserve">hermes-agent-main/plugins/hermes-trading-engine/engine/pulse/</w:t>
      </w:r>
      <w:r>
        <w:t xml:space="preserve"> and runs on a VPS; the repo also carries a Grok “quant team” agent that runs autonomous 15-minute soak cycles, plus the VPS paper ledgers it pulls back after each run.</w:t>
      </w:r>
    </w:p>
    <w:p>
      <w:pPr>
        <w:pStyle w:val="Heading2"/>
      </w:pPr>
      <w:r>
        <w:t xml:space="preserve">1.1 Two strategies, one engine</w:t>
      </w:r>
    </w:p>
    <w:p>
      <w:pPr>
        <w:spacing w:after="140" w:line="276"/>
      </w:pPr>
      <w:r>
        <w:t xml:space="preserve">The engine runs a set of cooperating sub-loops (data ingestion, signal generation, a directional strategy, a risk-free arbitrage detector, execution, a maker-checker verifier, settlement, reconciliation, lessons, and a research meta-loop). For the purposes of this review, only two of them place paper trades:</w:t>
      </w:r>
    </w:p>
    <w:p>
      <w:pPr>
        <w:pStyle w:val="ListParagraph"/>
        <w:numPr>
          <w:ilvl w:val="0"/>
          <w:numId w:val="3"/>
        </w:numPr>
        <w:spacing w:after="80" w:line="264"/>
      </w:pPr>
      <w:r>
        <w:rPr>
          <w:b/>
          <w:bCs/>
        </w:rPr>
        <w:t xml:space="preserve">Directional </w:t>
      </w:r>
      <w:r>
        <w:t xml:space="preserve">— a digital/binary fair-value model. It prices P(up) for the BTC 5-minute window with a Black-Scholes-style digital using rolling per-second volatility, then takes the side with the larger positive after-cost edge, subject to a stack of quality gates (time-to-close, MTF alignment, down-bias, context, selectivity, an underdog-price floor, and a Grok shadow decider).</w:t>
      </w:r>
    </w:p>
    <w:p>
      <w:pPr>
        <w:pStyle w:val="ListParagraph"/>
        <w:numPr>
          <w:ilvl w:val="0"/>
          <w:numId w:val="3"/>
        </w:numPr>
        <w:spacing w:after="80" w:line="264"/>
      </w:pPr>
      <w:r>
        <w:rPr>
          <w:b/>
          <w:bCs/>
        </w:rPr>
        <w:t xml:space="preserve">Arbitrage </w:t>
      </w:r>
      <w:r>
        <w:t xml:space="preserve">— a within-window dutch book on the same up/down ladders: buy 1 up + 1 down for less than $1 (or mint a $1 set and sell both legs for more than $1), collecting exactly $1 at settlement. No view, no model. P&amp;L is deterministic and kept in a </w:t>
      </w:r>
      <w:r>
        <w:rPr>
          <w:i/>
          <w:iCs/>
        </w:rPr>
        <w:t xml:space="preserve">separate</w:t>
      </w:r>
      <w:r>
        <w:t xml:space="preserve"> ledger so it never inflates the directional win-rate.</w:t>
      </w:r>
    </w:p>
    <w:p>
      <w:pPr>
        <w:pStyle w:val="Heading2"/>
      </w:pPr>
      <w:r>
        <w:t xml:space="preserve">1.2 Operational maturity (credit where due)</w:t>
      </w:r>
    </w:p>
    <w:p>
      <w:pPr>
        <w:spacing w:after="140" w:line="276"/>
      </w:pPr>
      <w:r>
        <w:t xml:space="preserve">This is not a toy. The engine already implements practices most public Polymarket bots lack, several of them straight from the Bible:</w:t>
      </w:r>
    </w:p>
    <w:p>
      <w:pPr>
        <w:pStyle w:val="ListParagraph"/>
        <w:numPr>
          <w:ilvl w:val="0"/>
          <w:numId w:val="3"/>
        </w:numPr>
        <w:spacing w:after="80" w:line="264"/>
      </w:pPr>
      <w:r>
        <w:t xml:space="preserve">Global accounting reconciliation (global_reconciled=True) that ties ledger, gate, and baseline counts together.</w:t>
      </w:r>
    </w:p>
    <w:p>
      <w:pPr>
        <w:pStyle w:val="ListParagraph"/>
        <w:numPr>
          <w:ilvl w:val="0"/>
          <w:numId w:val="3"/>
        </w:numPr>
        <w:spacing w:after="80" w:line="264"/>
      </w:pPr>
      <w:r>
        <w:t xml:space="preserve">Selectivity governed by Wilson lower bounds and Benjamini–Hochberg FDR control across parallel buckets, with explicit promotion scorecards (min n, PF, EV-after-cost, walk-forward).</w:t>
      </w:r>
    </w:p>
    <w:p>
      <w:pPr>
        <w:pStyle w:val="ListParagraph"/>
        <w:numPr>
          <w:ilvl w:val="0"/>
          <w:numId w:val="3"/>
        </w:numPr>
        <w:spacing w:after="80" w:line="264"/>
      </w:pPr>
      <w:r>
        <w:t xml:space="preserve">A maker-checker verifier that independently approves or vetoes each decision (223 verified, ~26% approve rate).</w:t>
      </w:r>
    </w:p>
    <w:p>
      <w:pPr>
        <w:pStyle w:val="ListParagraph"/>
        <w:numPr>
          <w:ilvl w:val="0"/>
          <w:numId w:val="3"/>
        </w:numPr>
        <w:spacing w:after="80" w:line="264"/>
      </w:pPr>
      <w:r>
        <w:t xml:space="preserve">Shadow-mode evaluation of every unproven signal (Grok decider, CEX-lead, predictor) so nothing drives trades until it grades out.</w:t>
      </w:r>
    </w:p>
    <w:p>
      <w:pPr>
        <w:pStyle w:val="ListParagraph"/>
        <w:numPr>
          <w:ilvl w:val="0"/>
          <w:numId w:val="3"/>
        </w:numPr>
        <w:spacing w:after="80" w:line="264"/>
      </w:pPr>
      <w:r>
        <w:t xml:space="preserve">Paper-only enforcement on the VPS (live_trading_enabled=False).</w:t>
      </w:r>
    </w:p>
    <w:p>
      <w:pPr>
        <w:pStyle w:val="Heading1"/>
      </w:pPr>
      <w:r>
        <w:t xml:space="preserve">2. The evidence: what the ledger says</w:t>
      </w:r>
    </w:p>
    <w:p>
      <w:pPr>
        <w:spacing w:after="140" w:line="276"/>
      </w:pPr>
      <w:r>
        <w:t xml:space="preserve">All figures below are from the latest soak in </w:t>
      </w:r>
      <w:r>
        <w:rPr>
          <w:rFonts w:ascii="Consolas" w:cs="Consolas" w:eastAsia="Consolas" w:hAnsi="Consolas"/>
          <w:sz w:val="19"/>
          <w:szCs w:val="19"/>
        </w:rPr>
        <w:t xml:space="preserve">vps_full_reports/latest/report.md</w:t>
      </w:r>
      <w:r>
        <w:t xml:space="preserve"> (1,769 ticks, 48 settled directional trades, paper-only, reconciled).</w:t>
      </w:r>
    </w:p>
    <w:p>
      <w:pPr>
        <w:pStyle w:val="Heading2"/>
      </w:pPr>
      <w:r>
        <w:t xml:space="preserve">2.1 Profit by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rPr>
          <w:tblHeader/>
        </w:trPr>
        <w:tc>
          <w:tcPr>
            <w:tcW w:type="dxa" w:w="3120"/>
            <w:tcBorders>
              <w:top w:val="single" w:color="CCCCCC" w:sz="1"/>
              <w:left w:val="single" w:color="CCCCCC" w:sz="1"/>
              <w:bottom w:val="single" w:color="CCCCCC" w:sz="1"/>
              <w:right w:val="single" w:color="CCCCCC" w:sz="1"/>
            </w:tcBorders>
            <w:shd w:fill="1F6F54" w:val="clear"/>
            <w:tcMar>
              <w:top w:type="dxa" w:w="70"/>
              <w:left w:type="dxa" w:w="110"/>
              <w:bottom w:type="dxa" w:w="70"/>
              <w:right w:type="dxa" w:w="110"/>
            </w:tcMar>
          </w:tcPr>
          <w:p>
            <w:r>
              <w:rPr>
                <w:b/>
                <w:bCs/>
                <w:color w:val="FFFFFF"/>
                <w:sz w:val="20"/>
                <w:szCs w:val="20"/>
              </w:rPr>
              <w:t xml:space="preserve">Strategy</w:t>
            </w:r>
          </w:p>
        </w:tc>
        <w:tc>
          <w:tcPr>
            <w:tcW w:type="dxa" w:w="1560"/>
            <w:tcBorders>
              <w:top w:val="single" w:color="CCCCCC" w:sz="1"/>
              <w:left w:val="single" w:color="CCCCCC" w:sz="1"/>
              <w:bottom w:val="single" w:color="CCCCCC" w:sz="1"/>
              <w:right w:val="single" w:color="CCCCCC" w:sz="1"/>
            </w:tcBorders>
            <w:shd w:fill="1F6F54" w:val="clear"/>
            <w:tcMar>
              <w:top w:type="dxa" w:w="70"/>
              <w:left w:type="dxa" w:w="110"/>
              <w:bottom w:type="dxa" w:w="70"/>
              <w:right w:type="dxa" w:w="110"/>
            </w:tcMar>
          </w:tcPr>
          <w:p>
            <w:r>
              <w:rPr>
                <w:b/>
                <w:bCs/>
                <w:color w:val="FFFFFF"/>
                <w:sz w:val="20"/>
                <w:szCs w:val="20"/>
              </w:rPr>
              <w:t xml:space="preserve">Trades</w:t>
            </w:r>
          </w:p>
        </w:tc>
        <w:tc>
          <w:tcPr>
            <w:tcW w:type="dxa" w:w="1560"/>
            <w:tcBorders>
              <w:top w:val="single" w:color="CCCCCC" w:sz="1"/>
              <w:left w:val="single" w:color="CCCCCC" w:sz="1"/>
              <w:bottom w:val="single" w:color="CCCCCC" w:sz="1"/>
              <w:right w:val="single" w:color="CCCCCC" w:sz="1"/>
            </w:tcBorders>
            <w:shd w:fill="1F6F54" w:val="clear"/>
            <w:tcMar>
              <w:top w:type="dxa" w:w="70"/>
              <w:left w:type="dxa" w:w="110"/>
              <w:bottom w:type="dxa" w:w="70"/>
              <w:right w:type="dxa" w:w="110"/>
            </w:tcMar>
          </w:tcPr>
          <w:p>
            <w:r>
              <w:rPr>
                <w:b/>
                <w:bCs/>
                <w:color w:val="FFFFFF"/>
                <w:sz w:val="20"/>
                <w:szCs w:val="20"/>
              </w:rPr>
              <w:t xml:space="preserve">PnL (USD)</w:t>
            </w:r>
          </w:p>
        </w:tc>
        <w:tc>
          <w:tcPr>
            <w:tcW w:type="dxa" w:w="3120"/>
            <w:tcBorders>
              <w:top w:val="single" w:color="CCCCCC" w:sz="1"/>
              <w:left w:val="single" w:color="CCCCCC" w:sz="1"/>
              <w:bottom w:val="single" w:color="CCCCCC" w:sz="1"/>
              <w:right w:val="single" w:color="CCCCCC" w:sz="1"/>
            </w:tcBorders>
            <w:shd w:fill="1F6F54" w:val="clear"/>
            <w:tcMar>
              <w:top w:type="dxa" w:w="70"/>
              <w:left w:type="dxa" w:w="110"/>
              <w:bottom w:type="dxa" w:w="70"/>
              <w:right w:type="dxa" w:w="110"/>
            </w:tcMar>
          </w:tcPr>
          <w:p>
            <w:r>
              <w:rPr>
                <w:b/>
                <w:bCs/>
                <w:color w:val="FFFFFF"/>
                <w:sz w:val="20"/>
                <w:szCs w:val="20"/>
              </w:rPr>
              <w:t xml:space="preserve">Character</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Arbitrage (dutch book)</w:t>
            </w:r>
          </w:p>
        </w:tc>
        <w:tc>
          <w:tcPr>
            <w:tcW w:type="dxa" w:w="1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1F6F54"/>
                <w:sz w:val="20"/>
                <w:szCs w:val="20"/>
              </w:rPr>
              <w:t xml:space="preserve">$34.46</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Risk-free, deterministic</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Directional (5-min)</w:t>
            </w:r>
          </w:p>
        </w:tc>
        <w:tc>
          <w:tcPr>
            <w:tcW w:type="dxa" w:w="1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48</w:t>
            </w:r>
          </w:p>
        </w:tc>
        <w:tc>
          <w:tcPr>
            <w:tcW w:type="dxa" w:w="1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B23A2E"/>
                <w:sz w:val="20"/>
                <w:szCs w:val="20"/>
              </w:rPr>
              <w:t xml:space="preserve">$1.49</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Coin-flip, PF 1.02</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Total on-hand return</w:t>
            </w:r>
          </w:p>
        </w:tc>
        <w:tc>
          <w:tcPr>
            <w:tcW w:type="dxa" w:w="1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$35.95 (7.19%)</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~96% from arbitrage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EE" w:sz="2"/>
              <w:left w:val="single" w:color="1F6F54" w:sz="18"/>
              <w:bottom w:val="single" w:color="EAF1EE" w:sz="2"/>
              <w:right w:val="single" w:color="EAF1EE" w:sz="2"/>
            </w:tcBorders>
            <w:shd w:fill="EAF1EE" w:val="clear"/>
            <w:tcMar>
              <w:top w:type="dxa" w:w="120"/>
              <w:left w:type="dxa" w:w="160"/>
              <w:bottom w:type="dxa" w:w="120"/>
              <w:right w:type="dxa" w:w="160"/>
            </w:tcMar>
          </w:tcPr>
          <w:p>
            <w:pPr>
              <w:spacing w:after="60"/>
            </w:pPr>
            <w:r>
              <w:rPr>
                <w:b/>
                <w:bCs/>
                <w:color w:val="1F6F54"/>
                <w:sz w:val="21"/>
                <w:szCs w:val="21"/>
              </w:rPr>
              <w:t xml:space="preserve">The one chart that matters</w:t>
            </w:r>
          </w:p>
          <w:p>
            <w:pPr>
              <w:spacing w:after="50" w:line="264"/>
            </w:pPr>
            <w:r>
              <w:rPr>
                <w:b/>
                <w:bCs/>
              </w:rPr>
              <w:t xml:space="preserve">Four risk-free arbitrage trades out-earned forty-eight directional trades by roughly 23×. </w:t>
            </w:r>
            <w:r>
              <w:t xml:space="preserve">The strategy receiving almost none of the engineering attention is producing almost all of the money, and doing it without taking a view.</w:t>
            </w:r>
          </w:p>
        </w:tc>
      </w:tr>
    </w:tbl>
    <w:p>
      <w:pPr>
        <w:pStyle w:val="Heading2"/>
      </w:pPr>
      <w:r>
        <w:t xml:space="preserve">2.2 The directional edge is, by the bot’s own grading,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F6F54" w:val="clear"/>
            <w:tcMar>
              <w:top w:type="dxa" w:w="70"/>
              <w:left w:type="dxa" w:w="110"/>
              <w:bottom w:type="dxa" w:w="70"/>
              <w:right w:type="dxa" w:w="110"/>
            </w:tcMar>
          </w:tcPr>
          <w:p>
            <w:r>
              <w:rPr>
                <w:b/>
                <w:bCs/>
                <w:color w:val="FFFFFF"/>
                <w:sz w:val="20"/>
                <w:szCs w:val="20"/>
              </w:rPr>
              <w:t xml:space="preserve">Signal / metric</w:t>
            </w:r>
          </w:p>
        </w:tc>
        <w:tc>
          <w:tcPr>
            <w:tcW w:type="dxa" w:w="2340"/>
            <w:tcBorders>
              <w:top w:val="single" w:color="CCCCCC" w:sz="1"/>
              <w:left w:val="single" w:color="CCCCCC" w:sz="1"/>
              <w:bottom w:val="single" w:color="CCCCCC" w:sz="1"/>
              <w:right w:val="single" w:color="CCCCCC" w:sz="1"/>
            </w:tcBorders>
            <w:shd w:fill="1F6F54" w:val="clear"/>
            <w:tcMar>
              <w:top w:type="dxa" w:w="70"/>
              <w:left w:type="dxa" w:w="110"/>
              <w:bottom w:type="dxa" w:w="70"/>
              <w:right w:type="dxa" w:w="110"/>
            </w:tcMar>
          </w:tcPr>
          <w:p>
            <w:r>
              <w:rPr>
                <w:b/>
                <w:bCs/>
                <w:color w:val="FFFFFF"/>
                <w:sz w:val="20"/>
                <w:szCs w:val="20"/>
              </w:rPr>
              <w:t xml:space="preserve">Score</w:t>
            </w:r>
          </w:p>
        </w:tc>
        <w:tc>
          <w:tcPr>
            <w:tcW w:type="dxa" w:w="2340"/>
            <w:tcBorders>
              <w:top w:val="single" w:color="CCCCCC" w:sz="1"/>
              <w:left w:val="single" w:color="CCCCCC" w:sz="1"/>
              <w:bottom w:val="single" w:color="CCCCCC" w:sz="1"/>
              <w:right w:val="single" w:color="CCCCCC" w:sz="1"/>
            </w:tcBorders>
            <w:shd w:fill="1F6F54" w:val="clear"/>
            <w:tcMar>
              <w:top w:type="dxa" w:w="70"/>
              <w:left w:type="dxa" w:w="110"/>
              <w:bottom w:type="dxa" w:w="70"/>
              <w:right w:type="dxa" w:w="110"/>
            </w:tcMar>
          </w:tcPr>
          <w:p>
            <w:r>
              <w:rPr>
                <w:b/>
                <w:bCs/>
                <w:color w:val="FFFFFF"/>
                <w:sz w:val="20"/>
                <w:szCs w:val="20"/>
              </w:rPr>
              <w:t xml:space="preserve">Verdict</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TradingView directional edge</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hit-rate 0.529</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no_directional_edge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Grok decider direction accuracy</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0.500</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coin flip</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CEX-lead latency edge</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0.469 acc</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not proven, loses to market</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Observe-only predictor (P up)</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0.482 acc</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worse than coin flip</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Directional profit factor</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1.02</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breakeven</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Avg win vs avg loss</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$2.55 vs $4.17</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losses bigger than wins</w:t>
            </w:r>
          </w:p>
        </w:tc>
      </w:tr>
    </w:tbl>
    <w:p>
      <w:pPr>
        <w:spacing w:after="60"/>
      </w:pPr>
    </w:p>
    <w:p>
      <w:pPr>
        <w:spacing w:after="140" w:line="276"/>
      </w:pPr>
      <w:r>
        <w:t xml:space="preserve">There is a faint, real signal buried in the noise, and it is worth naming because it shapes the roadmap: </w:t>
      </w:r>
      <w:r>
        <w:rPr>
          <w:b/>
          <w:bCs/>
        </w:rPr>
        <w:t xml:space="preserve">DOWN trades work where UP trades do not.</w:t>
      </w:r>
      <w:r>
        <w:t xml:space="preserve"> In the bucket data, DOWN_STRONG (n=23) wins 74% for +$21; the 180–240s time-to-close cohort (n=16) wins 81% for +$25; bearish-aligned MTF (n=10) wins 90%. Meanwhile UP (n=8) wins 25% for −$14.8 and UP_STRONG (n=6) wins 17% for −$14.2. The engine even encodes this asymmetry as a down-bias gate and an underdog-price floor. But every one of these buckets is far below the team’s own promotion threshold of n≥50, so none is proven — they are hypotheses, not edges.</w:t>
      </w:r>
    </w:p>
    <w:p>
      <w:pPr>
        <w:pStyle w:val="Heading2"/>
      </w:pPr>
      <w:r>
        <w:t xml:space="preserve">2.3 The candidate funnel</w:t>
      </w:r>
    </w:p>
    <w:p>
      <w:pPr>
        <w:spacing w:after="140" w:line="276"/>
      </w:pPr>
      <w:r>
        <w:t xml:space="preserve">The engine created 31,043 candidates and accepted 48 — a 0.15% acceptance rate, with 22,324 rejected before execution. That extreme selectivity is appropriate for a near-efficient market, and it is working as designed. The issue is not that the funnel is too tight; it is that what survives the funnel is a coin flip, so tightening it further cannot manufacture an edge that the signals do not contain.</w:t>
      </w:r>
    </w:p>
    <w:p>
      <w:pPr>
        <w:pStyle w:val="Heading1"/>
      </w:pPr>
      <w:r>
        <w:t xml:space="preserve">3. The Bible vs. the bot: what’s already done, what’s missing</w:t>
      </w:r>
    </w:p>
    <w:p>
      <w:pPr>
        <w:spacing w:after="140" w:line="276"/>
      </w:pPr>
      <w:r>
        <w:t xml:space="preserve">The Arbitrage Bible has five chapters. Mapped against the live code, most of the </w:t>
      </w:r>
      <w:r>
        <w:rPr>
          <w:i/>
          <w:iCs/>
        </w:rPr>
        <w:t xml:space="preserve">execution-realism</w:t>
      </w:r>
      <w:r>
        <w:t xml:space="preserve"> lessons are already implemented; the unrealized value is concentrated in one place — extending arbitrage beyond a single 2-outcome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180"/>
        <w:gridCol w:w="3480"/>
      </w:tblGrid>
      <w:tr>
        <w:trPr>
          <w:tblHeader/>
        </w:trPr>
        <w:tc>
          <w:tcPr>
            <w:tcW w:type="dxa" w:w="2700"/>
            <w:tcBorders>
              <w:top w:val="single" w:color="CCCCCC" w:sz="1"/>
              <w:left w:val="single" w:color="CCCCCC" w:sz="1"/>
              <w:bottom w:val="single" w:color="CCCCCC" w:sz="1"/>
              <w:right w:val="single" w:color="CCCCCC" w:sz="1"/>
            </w:tcBorders>
            <w:shd w:fill="1F6F54" w:val="clear"/>
            <w:tcMar>
              <w:top w:type="dxa" w:w="70"/>
              <w:left w:type="dxa" w:w="110"/>
              <w:bottom w:type="dxa" w:w="70"/>
              <w:right w:type="dxa" w:w="110"/>
            </w:tcMar>
          </w:tcPr>
          <w:p>
            <w:r>
              <w:rPr>
                <w:b/>
                <w:bCs/>
                <w:color w:val="FFFFFF"/>
                <w:sz w:val="20"/>
                <w:szCs w:val="20"/>
              </w:rPr>
              <w:t xml:space="preserve">Bible concept</w:t>
            </w:r>
          </w:p>
        </w:tc>
        <w:tc>
          <w:tcPr>
            <w:tcW w:type="dxa" w:w="3180"/>
            <w:tcBorders>
              <w:top w:val="single" w:color="CCCCCC" w:sz="1"/>
              <w:left w:val="single" w:color="CCCCCC" w:sz="1"/>
              <w:bottom w:val="single" w:color="CCCCCC" w:sz="1"/>
              <w:right w:val="single" w:color="CCCCCC" w:sz="1"/>
            </w:tcBorders>
            <w:shd w:fill="1F6F54" w:val="clear"/>
            <w:tcMar>
              <w:top w:type="dxa" w:w="70"/>
              <w:left w:type="dxa" w:w="110"/>
              <w:bottom w:type="dxa" w:w="70"/>
              <w:right w:type="dxa" w:w="110"/>
            </w:tcMar>
          </w:tcPr>
          <w:p>
            <w:r>
              <w:rPr>
                <w:b/>
                <w:bCs/>
                <w:color w:val="FFFFFF"/>
                <w:sz w:val="20"/>
                <w:szCs w:val="20"/>
              </w:rPr>
              <w:t xml:space="preserve">Status in Grok-Bot-2</w:t>
            </w:r>
          </w:p>
        </w:tc>
        <w:tc>
          <w:tcPr>
            <w:tcW w:type="dxa" w:w="3480"/>
            <w:tcBorders>
              <w:top w:val="single" w:color="CCCCCC" w:sz="1"/>
              <w:left w:val="single" w:color="CCCCCC" w:sz="1"/>
              <w:bottom w:val="single" w:color="CCCCCC" w:sz="1"/>
              <w:right w:val="single" w:color="CCCCCC" w:sz="1"/>
            </w:tcBorders>
            <w:shd w:fill="1F6F54" w:val="clear"/>
            <w:tcMar>
              <w:top w:type="dxa" w:w="70"/>
              <w:left w:type="dxa" w:w="110"/>
              <w:bottom w:type="dxa" w:w="70"/>
              <w:right w:type="dxa" w:w="110"/>
            </w:tcMar>
          </w:tcPr>
          <w:p>
            <w:r>
              <w:rPr>
                <w:b/>
                <w:bCs/>
                <w:color w:val="FFFFFF"/>
                <w:sz w:val="20"/>
                <w:szCs w:val="20"/>
              </w:rPr>
              <w:t xml:space="preserve">Implication</w:t>
            </w:r>
          </w:p>
        </w:tc>
      </w:tr>
      <w:tr>
        <w:trPr>
          <w:tblHeader w:val="false"/>
        </w:trP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Single-market dutch book (YES+NO ≠ $1)</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F6F54"/>
                <w:sz w:val="20"/>
                <w:szCs w:val="20"/>
              </w:rPr>
              <w:t xml:space="preserve">DONE — arbitrage.py, both buy-both and mint-and-sell-both</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This is the engine’s real profit source. Scale it.</w:t>
            </w:r>
          </w:p>
        </w:tc>
      </w:tr>
      <w:tr>
        <w:trPr>
          <w:tblHeader w:val="false"/>
        </w:trP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VWAP, not top-of-book</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F6F54"/>
                <w:sz w:val="20"/>
                <w:szCs w:val="20"/>
              </w:rPr>
              <w:t xml:space="preserve">DONE — vwap_fill() walks the ladder; arb reuses it</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No “optimal quote” fantasy. Keep for multi-leg.</w:t>
            </w:r>
          </w:p>
        </w:tc>
      </w:tr>
      <w:tr>
        <w:trPr>
          <w:tblHeader w:val="false"/>
        </w:trP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$0.05 minimum margin</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F6F54"/>
                <w:sz w:val="20"/>
                <w:szCs w:val="20"/>
              </w:rPr>
              <w:t xml:space="preserve">DONE — epsilon=0.05 in detect_arbitrage()</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Thin edges correctly discarded.</w:t>
            </w:r>
          </w:p>
        </w:tc>
      </w:tr>
      <w:tr>
        <w:trPr>
          <w:tblHeader w:val="false"/>
        </w:trP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Liquidity / 50%-depth cap</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F6F54"/>
                <w:sz w:val="20"/>
                <w:szCs w:val="20"/>
              </w:rPr>
              <w:t xml:space="preserve">DONE — max_depth_consume_frac=0.5</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Won’t move the market against itself.</w:t>
            </w:r>
          </w:p>
        </w:tc>
      </w:tr>
      <w:tr>
        <w:trPr>
          <w:tblHeader w:val="false"/>
        </w:trP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Non-atomic execution risk</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B23A2E"/>
                <w:sz w:val="20"/>
                <w:szCs w:val="20"/>
              </w:rPr>
              <w:t xml:space="preserve">PARTIAL — full-fill + tick + stale guards; paper, so no real two-leg race</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Becomes the central risk the moment it goes live.</w:t>
            </w:r>
          </w:p>
        </w:tc>
      </w:tr>
      <w:tr>
        <w:trPr>
          <w:tblHeader w:val="false"/>
        </w:trP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Modified Kelly sizing</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B23A2E"/>
                <w:sz w:val="20"/>
                <w:szCs w:val="20"/>
              </w:rPr>
              <w:t xml:space="preserve">BUILT BUT OFF — sizing.py half-Kelly, disabled by default (flat size)</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Flat sizing with avg-loss&gt;avg-win is harmful.</w:t>
            </w:r>
          </w:p>
        </w:tc>
      </w:tr>
      <w:tr>
        <w:trPr>
          <w:tblHeader w:val="false"/>
        </w:trP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Dependency detection across markets</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B23A2E"/>
                <w:sz w:val="20"/>
                <w:szCs w:val="20"/>
              </w:rPr>
              <w:t xml:space="preserve">MISSING — universe is one BTC window</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The untapped frontier (see §5.3).</w:t>
            </w:r>
          </w:p>
        </w:tc>
      </w:tr>
      <w:tr>
        <w:trPr>
          <w:tblHeader w:val="false"/>
        </w:trP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Integer programming / Bregman / Frank-Wolfe</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5A5A5A"/>
                <w:sz w:val="20"/>
                <w:szCs w:val="20"/>
              </w:rPr>
              <w:t xml:space="preserve">N/A by design — trivial for 2 outcomes</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Only earns its keep on multi-condition markets.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EE" w:sz="2"/>
              <w:left w:val="single" w:color="1F6F54" w:sz="18"/>
              <w:bottom w:val="single" w:color="EAF1EE" w:sz="2"/>
              <w:right w:val="single" w:color="EAF1EE" w:sz="2"/>
            </w:tcBorders>
            <w:shd w:fill="EAF1EE" w:val="clear"/>
            <w:tcMar>
              <w:top w:type="dxa" w:w="120"/>
              <w:left w:type="dxa" w:w="160"/>
              <w:bottom w:type="dxa" w:w="120"/>
              <w:right w:type="dxa" w:w="160"/>
            </w:tcMar>
          </w:tcPr>
          <w:p>
            <w:pPr>
              <w:spacing w:after="60"/>
            </w:pPr>
            <w:r>
              <w:rPr>
                <w:b/>
                <w:bCs/>
                <w:color w:val="1F6F54"/>
                <w:sz w:val="21"/>
                <w:szCs w:val="21"/>
              </w:rPr>
              <w:t xml:space="preserve">The author’s own note, and why it’s right — for now</w:t>
            </w:r>
          </w:p>
          <w:p>
            <w:pPr>
              <w:spacing w:after="50" w:line="264"/>
            </w:pPr>
            <w:r>
              <w:t xml:space="preserve">arbitrage.py states the heavy combinatorial machinery is “intentionally OUT OF SCOPE: the marginal polytope of a 2-outcome window is trivial.” That is mathematically correct. </w:t>
            </w:r>
            <w:r>
              <w:rPr>
                <w:b/>
                <w:bCs/>
              </w:rPr>
              <w:t xml:space="preserve">The machinery only becomes relevant if the bot widens its market universe</w:t>
            </w:r>
            <w:r>
              <w:t xml:space="preserve"> to nested time windows or correlated assets — which is exactly the recommendation in §5.3.</w:t>
            </w:r>
          </w:p>
        </w:tc>
      </w:tr>
    </w:tbl>
    <w:p>
      <w:pPr>
        <w:pStyle w:val="Heading1"/>
      </w:pPr>
      <w:r>
        <w:t xml:space="preserve">4. The strategic gap</w:t>
      </w:r>
    </w:p>
    <w:p>
      <w:pPr>
        <w:spacing w:after="140" w:line="276"/>
      </w:pPr>
      <w:r>
        <w:t xml:space="preserve">Put the two findings together. The bot’s proven edge (arbitrage) is structural and scalable but is artificially boxed into one tiny market. The bot’s unproven activity (directional) is where all the effort goes and produces nothing. The agentic “quant team” is, in effect, </w:t>
      </w:r>
      <w:r>
        <w:rPr>
          <w:b/>
          <w:bCs/>
        </w:rPr>
        <w:t xml:space="preserve">running its optimization loop on the wrong objective.</w:t>
      </w:r>
    </w:p>
    <w:p>
      <w:pPr>
        <w:spacing w:after="140" w:line="276"/>
      </w:pPr>
      <w:r>
        <w:t xml:space="preserve">The Bible quantifies the prize that the bot is leaving on the table. In the paper’s year of data, </w:t>
      </w:r>
      <w:r>
        <w:rPr>
          <w:b/>
          <w:bCs/>
        </w:rPr>
        <w:t xml:space="preserve">single-condition + market-rebalancing arbitrage was ~$39.6M of the ~$39.7M total; cross-market combination arbitrage was only $95.6K. </w:t>
      </w:r>
      <w:r>
        <w:t xml:space="preserve">The lesson is not “build the exotic cross-market engine.” It is the opposite: the boring, single/near-single-market dutch book is where essentially all the risk-free money is — and that is precisely the mechanism Grok-Bot-2 already has. The job is to feed it more markets, more often, at more size, not to make it smarter.</w:t>
      </w:r>
    </w:p>
    <w:p>
      <w:pPr>
        <w:pStyle w:val="Heading1"/>
      </w:pPr>
      <w:r>
        <w:t xml:space="preserve">5. Improvement roadmap</w:t>
      </w:r>
    </w:p>
    <w:p>
      <w:pPr>
        <w:spacing w:after="140" w:line="276"/>
      </w:pPr>
      <w:r>
        <w:t xml:space="preserve">Ordered by expected value per unit of effort. Each item is framed to slot into the existing Tier 1–4 promotion discipline, and each respects the paper-only posture until its own scorecard passes.</w:t>
      </w:r>
    </w:p>
    <w:p>
      <w:pPr>
        <w:pStyle w:val="Heading2"/>
      </w:pPr>
      <w:r>
        <w:t xml:space="preserve">5.1  P1 — Reallocate: scale arbitrage, demote directional</w:t>
      </w:r>
    </w:p>
    <w:p>
      <w:pPr>
        <w:spacing w:after="140" w:line="276"/>
      </w:pPr>
      <w:r>
        <w:rPr>
          <w:b/>
          <w:bCs/>
        </w:rPr>
        <w:t xml:space="preserve">Highest value, lowest code risk. </w:t>
      </w:r>
      <w:r>
        <w:t xml:space="preserve">Nothing here invents a new edge; it stops starving the proven one and stops funding the unproven one.</w:t>
      </w:r>
    </w:p>
    <w:p>
      <w:pPr>
        <w:pStyle w:val="ListParagraph"/>
        <w:numPr>
          <w:ilvl w:val="0"/>
          <w:numId w:val="3"/>
        </w:numPr>
        <w:spacing w:after="80" w:line="264"/>
      </w:pPr>
      <w:r>
        <w:rPr>
          <w:b/>
          <w:bCs/>
        </w:rPr>
        <w:t xml:space="preserve">Loosen the arb-only constraints, not the directional ones. </w:t>
      </w:r>
      <w:r>
        <w:t xml:space="preserve">The arb detector defaults to a per-leg size ceiling; raise max_usd and let it consume up to its existing 50%-depth cap on every window, every cycle. More windows scanned = more dutch books captured. This is the single change most directly supported by the ledger.</w:t>
      </w:r>
    </w:p>
    <w:p>
      <w:pPr>
        <w:pStyle w:val="ListParagraph"/>
        <w:numPr>
          <w:ilvl w:val="0"/>
          <w:numId w:val="3"/>
        </w:numPr>
        <w:spacing w:after="80" w:line="264"/>
      </w:pPr>
      <w:r>
        <w:rPr>
          <w:b/>
          <w:bCs/>
        </w:rPr>
        <w:t xml:space="preserve">Run arbitrage across more windows in parallel. </w:t>
      </w:r>
      <w:r>
        <w:t xml:space="preserve">Today it fires per-window on the one market. Extend the scan to all concurrently-open BTC up/down windows (5m and 15m) and, if listed, ETH — each is an independent risk-free opportunity with its own book.</w:t>
      </w:r>
    </w:p>
    <w:p>
      <w:pPr>
        <w:pStyle w:val="ListParagraph"/>
        <w:numPr>
          <w:ilvl w:val="0"/>
          <w:numId w:val="3"/>
        </w:numPr>
        <w:spacing w:after="80" w:line="264"/>
      </w:pPr>
      <w:r>
        <w:rPr>
          <w:b/>
          <w:bCs/>
        </w:rPr>
        <w:t xml:space="preserve">Hard-cap directional capital. </w:t>
      </w:r>
      <w:r>
        <w:t xml:space="preserve">Cap directional exposure at a small fraction of bankroll (e.g. the current ~$5/trade flat size is fine) and explicitly forbid the research loop from increasing it until a bucket is promoted. Reallocate freed risk budget to arb depth.</w:t>
      </w:r>
    </w:p>
    <w:p>
      <w:pPr>
        <w:pStyle w:val="ListParagraph"/>
        <w:numPr>
          <w:ilvl w:val="0"/>
          <w:numId w:val="3"/>
        </w:numPr>
        <w:spacing w:after="80" w:line="264"/>
      </w:pPr>
      <w:r>
        <w:rPr>
          <w:b/>
          <w:bCs/>
        </w:rPr>
        <w:t xml:space="preserve">Demote directional to observe-only on UP. </w:t>
      </w:r>
      <w:r>
        <w:t xml:space="preserve">UP is a documented, structural loser (WR 0.17–0.25). Until an UP bucket clears n≥50 with Wilson LB &gt; breakeven, block UP entries entirely rather than gating them softly.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EE" w:sz="2"/>
              <w:left w:val="single" w:color="1F6F54" w:sz="18"/>
              <w:bottom w:val="single" w:color="EAF1EE" w:sz="2"/>
              <w:right w:val="single" w:color="EAF1EE" w:sz="2"/>
            </w:tcBorders>
            <w:shd w:fill="EAF1EE" w:val="clear"/>
            <w:tcMar>
              <w:top w:type="dxa" w:w="120"/>
              <w:left w:type="dxa" w:w="160"/>
              <w:bottom w:type="dxa" w:w="120"/>
              <w:right w:type="dxa" w:w="160"/>
            </w:tcMar>
          </w:tcPr>
          <w:p>
            <w:pPr>
              <w:spacing w:after="60"/>
            </w:pPr>
            <w:r>
              <w:rPr>
                <w:b/>
                <w:bCs/>
                <w:color w:val="1F6F54"/>
                <w:sz w:val="21"/>
                <w:szCs w:val="21"/>
              </w:rPr>
              <w:t xml:space="preserve">Decision rule for the agent loop</w:t>
            </w:r>
          </w:p>
          <w:p>
            <w:pPr>
              <w:spacing w:after="50" w:line="264"/>
            </w:pPr>
            <w:r>
              <w:rPr>
                <w:sz w:val="20"/>
                <w:szCs w:val="20"/>
              </w:rPr>
              <w:t xml:space="preserve">Add one line to quant-team.md: “Arbitrage is the primary book. Directional is a research book capped at X% of bankroll and may not be scaled until its scorecard passes. Each cycle, first confirm arb is scanning all open windows at full permitted depth.”</w:t>
            </w:r>
          </w:p>
        </w:tc>
      </w:tr>
    </w:tbl>
    <w:p>
      <w:pPr>
        <w:pStyle w:val="Heading2"/>
      </w:pPr>
      <w:r>
        <w:t xml:space="preserve">5.2  P2 — Turn on the sizing you already built</w:t>
      </w:r>
    </w:p>
    <w:p>
      <w:pPr>
        <w:pStyle w:val="ListParagraph"/>
        <w:numPr>
          <w:ilvl w:val="0"/>
          <w:numId w:val="3"/>
        </w:numPr>
        <w:spacing w:after="80" w:line="264"/>
      </w:pPr>
      <w:r>
        <w:rPr>
          <w:b/>
          <w:bCs/>
        </w:rPr>
        <w:t xml:space="preserve">Enable half-Kelly for the proven book. </w:t>
      </w:r>
      <w:r>
        <w:t xml:space="preserve">sizing.py already implements half-Kelly with a hard cap, daily-loss cap, degradation penalty, and no-martingale guarantee — but sizing_enabled defaults to false, so actual size is flat. For arbitrage, size is already governed by depth (correct). For directional, leave flat/observe-only until an edge proves; the instant one does, flip sizing on so winners scale and the avg-loss&gt;avg-win asymmetry inverts.</w:t>
      </w:r>
    </w:p>
    <w:p>
      <w:pPr>
        <w:pStyle w:val="ListParagraph"/>
        <w:numPr>
          <w:ilvl w:val="0"/>
          <w:numId w:val="3"/>
        </w:numPr>
        <w:spacing w:after="80" w:line="264"/>
      </w:pPr>
      <w:r>
        <w:rPr>
          <w:b/>
          <w:bCs/>
        </w:rPr>
        <w:t xml:space="preserve">Keep the degradation penalty and daily-loss cap as hard floors. </w:t>
      </w:r>
      <w:r>
        <w:t xml:space="preserve">They are exactly the “adjust Kelly for execution risk” spirit of the Bible’s f = (b·p − q)/b · √p. Don’t raise the per-trade cap without walk-forward evidence.</w:t>
      </w:r>
    </w:p>
    <w:p>
      <w:pPr>
        <w:pStyle w:val="Heading2"/>
      </w:pPr>
      <w:r>
        <w:t xml:space="preserve">5.3  P3 — Extend arbitrage to dependent windows (where the Bible’s math finally applies)</w:t>
      </w:r>
    </w:p>
    <w:p>
      <w:pPr>
        <w:spacing w:after="140" w:line="276"/>
      </w:pPr>
      <w:r>
        <w:t xml:space="preserve">This is the one place the chapters the author shelved — dependency detection, integer programming, the marginal polytope — become real for this bot. A single BTC window is a 2-outcome simplex, so its polytope is trivial. But </w:t>
      </w:r>
      <w:r>
        <w:rPr>
          <w:b/>
          <w:bCs/>
        </w:rPr>
        <w:t xml:space="preserve">overlapping and nested windows are not independent</w:t>
      </w:r>
      <w:r>
        <w:t xml:space="preserve">, and that dependency is an arbitrage surface:</w:t>
      </w:r>
    </w:p>
    <w:p>
      <w:pPr>
        <w:pStyle w:val="ListParagraph"/>
        <w:numPr>
          <w:ilvl w:val="0"/>
          <w:numId w:val="3"/>
        </w:numPr>
        <w:spacing w:after="80" w:line="264"/>
      </w:pPr>
      <w:r>
        <w:rPr>
          <w:b/>
          <w:bCs/>
        </w:rPr>
        <w:t xml:space="preserve">Nested time windows. </w:t>
      </w:r>
      <w:r>
        <w:t xml:space="preserve">“BTC up over 15 minutes” is logically constrained by the three constituent 5-minute windows (and by 1m sub-moves). “Up for 15m” cannot be priced inconsistently with the joint distribution of its sub-windows. These are exactly the subset/implication constraints from Chapter 1 (the “rain vs. thunderstorm” dependency). When Polymarket prices them inconsistently, that is a multi-condition dutch book — and integer-programming/Frank-Wolfe is the right tool to find the optimal multi-leg trade.</w:t>
      </w:r>
    </w:p>
    <w:p>
      <w:pPr>
        <w:pStyle w:val="ListParagraph"/>
        <w:numPr>
          <w:ilvl w:val="0"/>
          <w:numId w:val="3"/>
        </w:numPr>
        <w:spacing w:after="80" w:line="264"/>
      </w:pPr>
      <w:r>
        <w:rPr>
          <w:b/>
          <w:bCs/>
        </w:rPr>
        <w:t xml:space="preserve">Correlated assets. </w:t>
      </w:r>
      <w:r>
        <w:t xml:space="preserve">BTC and ETH 5-minute up/down are tightly correlated; extreme joint mispricings are detectable with the same constraint logic.</w:t>
      </w:r>
    </w:p>
    <w:p>
      <w:pPr>
        <w:pStyle w:val="ListParagraph"/>
        <w:numPr>
          <w:ilvl w:val="0"/>
          <w:numId w:val="3"/>
        </w:numPr>
        <w:spacing w:after="80" w:line="264"/>
      </w:pPr>
      <w:r>
        <w:rPr>
          <w:b/>
          <w:bCs/>
        </w:rPr>
        <w:t xml:space="preserve">Use the LLM-screening pattern, not brute force. </w:t>
      </w:r>
      <w:r>
        <w:t xml:space="preserve">The Bible’s production system used an LLM to screen 46,360 market pairs down to 13 exploitable ones, then validated with integer programming. The bot already has Grok wired in; repurpose it from a (failing) directional decider into a dependency screener — a job LLMs are actually good at (the paper reports 81% screening accuracy) and one that produces risk-free rather than coin-flip 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EE" w:sz="2"/>
              <w:left w:val="single" w:color="1F6F54" w:sz="18"/>
              <w:bottom w:val="single" w:color="EAF1EE" w:sz="2"/>
              <w:right w:val="single" w:color="EAF1EE" w:sz="2"/>
            </w:tcBorders>
            <w:shd w:fill="EAF1EE" w:val="clear"/>
            <w:tcMar>
              <w:top w:type="dxa" w:w="120"/>
              <w:left w:type="dxa" w:w="160"/>
              <w:bottom w:type="dxa" w:w="120"/>
              <w:right w:type="dxa" w:w="160"/>
            </w:tcMar>
          </w:tcPr>
          <w:p>
            <w:pPr>
              <w:spacing w:after="60"/>
            </w:pPr>
            <w:r>
              <w:rPr>
                <w:b/>
                <w:bCs/>
                <w:color w:val="1F6F54"/>
                <w:sz w:val="21"/>
                <w:szCs w:val="21"/>
              </w:rPr>
              <w:t xml:space="preserve">Sequencing</w:t>
            </w:r>
          </w:p>
          <w:p>
            <w:pPr>
              <w:spacing w:after="50" w:line="264"/>
            </w:pPr>
            <w:r>
              <w:rPr>
                <w:sz w:val="20"/>
                <w:szCs w:val="20"/>
              </w:rPr>
              <w:t xml:space="preserve">Do P3 only after P1–P2 show stable, reconciled arb scaling — it mirrors the team’s own “Tier 3 when Tier 1–2 stable” rule. Start in detect/log-only mode (like the existing sell-both path), prove the residuals are real and executable on paper, then enable.</w:t>
            </w:r>
          </w:p>
        </w:tc>
      </w:tr>
    </w:tbl>
    <w:p>
      <w:pPr>
        <w:pStyle w:val="Heading2"/>
      </w:pPr>
      <w:r>
        <w:t xml:space="preserve">5.4  P4 — Harden execution before any live consideration</w:t>
      </w:r>
    </w:p>
    <w:p>
      <w:pPr>
        <w:spacing w:after="140" w:line="276"/>
      </w:pPr>
      <w:r>
        <w:rPr>
          <w:b/>
          <w:bCs/>
        </w:rPr>
        <w:t xml:space="preserve">The Bible’s Chapter 4 is the graveyard of arbitrage strategies, and it is the bot’s biggest blind spot precisely because paper trading hides it. </w:t>
      </w:r>
      <w:r>
        <w:t xml:space="preserve">On paper, both legs fill atomically. Live on a CLOB, they do not.</w:t>
      </w:r>
    </w:p>
    <w:p>
      <w:pPr>
        <w:pStyle w:val="ListParagraph"/>
        <w:numPr>
          <w:ilvl w:val="0"/>
          <w:numId w:val="3"/>
        </w:numPr>
        <w:spacing w:after="80" w:line="264"/>
      </w:pPr>
      <w:r>
        <w:rPr>
          <w:b/>
          <w:bCs/>
        </w:rPr>
        <w:t xml:space="preserve">Model the two-leg race explicitly. </w:t>
      </w:r>
      <w:r>
        <w:t xml:space="preserve">Before any live switch, add a non-atomic execution simulator: fill leg one, re-read the book, and compute the realistic second-leg VWAP including the market impact of your own first order. Only count an opportunity if it survives that adverse path — this is the $0.30 + $0.78 = lose-$0.08 scenario the Bible warns about.</w:t>
      </w:r>
    </w:p>
    <w:p>
      <w:pPr>
        <w:pStyle w:val="ListParagraph"/>
        <w:numPr>
          <w:ilvl w:val="0"/>
          <w:numId w:val="3"/>
        </w:numPr>
        <w:spacing w:after="80" w:line="264"/>
      </w:pPr>
      <w:r>
        <w:rPr>
          <w:b/>
          <w:bCs/>
        </w:rPr>
        <w:t xml:space="preserve">Set a pre-committed max second-leg price. </w:t>
      </w:r>
      <w:r>
        <w:t xml:space="preserve">Compute the worst acceptable price for leg two before sending leg one, with an automatic unwind if it isn’t met.</w:t>
      </w:r>
    </w:p>
    <w:p>
      <w:pPr>
        <w:pStyle w:val="ListParagraph"/>
        <w:numPr>
          <w:ilvl w:val="0"/>
          <w:numId w:val="3"/>
        </w:numPr>
        <w:spacing w:after="80" w:line="264"/>
      </w:pPr>
      <w:r>
        <w:rPr>
          <w:b/>
          <w:bCs/>
        </w:rPr>
        <w:t xml:space="preserve">Account for gas and fees in the margin. </w:t>
      </w:r>
      <w:r>
        <w:t xml:space="preserve">Polygon gas and any taker fees must be inside epsilon, not added after. The current epsilon=0.05 likely covers it, but make it explicit when sizing scales up.</w:t>
      </w:r>
    </w:p>
    <w:p>
      <w:pPr>
        <w:pStyle w:val="Heading2"/>
      </w:pPr>
      <w:r>
        <w:t xml:space="preserve">5.5  Watch-list (lower priority / do-not-do)</w:t>
      </w:r>
    </w:p>
    <w:p>
      <w:pPr>
        <w:pStyle w:val="ListParagraph"/>
        <w:numPr>
          <w:ilvl w:val="0"/>
          <w:numId w:val="3"/>
        </w:numPr>
        <w:spacing w:after="80" w:line="264"/>
      </w:pPr>
      <w:r>
        <w:rPr>
          <w:b/>
          <w:bCs/>
        </w:rPr>
        <w:t xml:space="preserve">Do not re-enable Grok as trade authority. </w:t>
      </w:r>
      <w:r>
        <w:t xml:space="preserve">Direction accuracy is 0.50. Keep it shadow/observe-only — and redeploy it to the dependency-screening role in §5.3 where it can actually add value.</w:t>
      </w:r>
    </w:p>
    <w:p>
      <w:pPr>
        <w:pStyle w:val="ListParagraph"/>
        <w:numPr>
          <w:ilvl w:val="0"/>
          <w:numId w:val="3"/>
        </w:numPr>
        <w:spacing w:after="80" w:line="264"/>
      </w:pPr>
      <w:r>
        <w:rPr>
          <w:b/>
          <w:bCs/>
        </w:rPr>
        <w:t xml:space="preserve">Do not chase the directional buckets prematurely. </w:t>
      </w:r>
      <w:r>
        <w:t xml:space="preserve">DOWN_STRONG / 180–240s TTC look promising but n is tiny; promoting them now would be exactly the “selectivity whipsaw” the roadmap warns against. Let them reach n≥50 in observe-only.</w:t>
      </w:r>
    </w:p>
    <w:p>
      <w:pPr>
        <w:pStyle w:val="ListParagraph"/>
        <w:numPr>
          <w:ilvl w:val="0"/>
          <w:numId w:val="3"/>
        </w:numPr>
        <w:spacing w:after="80" w:line="264"/>
      </w:pPr>
      <w:r>
        <w:rPr>
          <w:b/>
          <w:bCs/>
        </w:rPr>
        <w:t xml:space="preserve">Do not build the full Gurobi/Bregman stack for single windows. </w:t>
      </w:r>
      <w:r>
        <w:t xml:space="preserve">It is genuinely unnecessary there; only invoke it for the dependent-window surface in §5.3.</w:t>
      </w:r>
    </w:p>
    <w:p>
      <w:pPr>
        <w:pStyle w:val="Heading1"/>
      </w:pPr>
      <w:r>
        <w:t xml:space="preserve">6. Concrete next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5400"/>
        <w:gridCol w:w="3340"/>
      </w:tblGrid>
      <w:tr>
        <w:trPr>
          <w:tblHeader/>
        </w:trPr>
        <w:tc>
          <w:tcPr>
            <w:tcW w:type="dxa" w:w="620"/>
            <w:tcBorders>
              <w:top w:val="single" w:color="CCCCCC" w:sz="1"/>
              <w:left w:val="single" w:color="CCCCCC" w:sz="1"/>
              <w:bottom w:val="single" w:color="CCCCCC" w:sz="1"/>
              <w:right w:val="single" w:color="CCCCCC" w:sz="1"/>
            </w:tcBorders>
            <w:shd w:fill="1F6F54" w:val="clear"/>
            <w:tcMar>
              <w:top w:type="dxa" w:w="70"/>
              <w:left w:type="dxa" w:w="110"/>
              <w:bottom w:type="dxa" w:w="70"/>
              <w:right w:type="dxa" w:w="110"/>
            </w:tcMar>
          </w:tcPr>
          <w:p>
            <w:r>
              <w:rPr>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F6F54" w:val="clear"/>
            <w:tcMar>
              <w:top w:type="dxa" w:w="70"/>
              <w:left w:type="dxa" w:w="110"/>
              <w:bottom w:type="dxa" w:w="70"/>
              <w:right w:type="dxa" w:w="110"/>
            </w:tcMar>
          </w:tcPr>
          <w:p>
            <w:r>
              <w:rPr>
                <w:b/>
                <w:bCs/>
                <w:color w:val="FFFFFF"/>
                <w:sz w:val="20"/>
                <w:szCs w:val="20"/>
              </w:rPr>
              <w:t xml:space="preserve">Action</w:t>
            </w:r>
          </w:p>
        </w:tc>
        <w:tc>
          <w:tcPr>
            <w:tcW w:type="dxa" w:w="3340"/>
            <w:tcBorders>
              <w:top w:val="single" w:color="CCCCCC" w:sz="1"/>
              <w:left w:val="single" w:color="CCCCCC" w:sz="1"/>
              <w:bottom w:val="single" w:color="CCCCCC" w:sz="1"/>
              <w:right w:val="single" w:color="CCCCCC" w:sz="1"/>
            </w:tcBorders>
            <w:shd w:fill="1F6F54" w:val="clear"/>
            <w:tcMar>
              <w:top w:type="dxa" w:w="70"/>
              <w:left w:type="dxa" w:w="110"/>
              <w:bottom w:type="dxa" w:w="70"/>
              <w:right w:type="dxa" w:w="110"/>
            </w:tcMar>
          </w:tcPr>
          <w:p>
            <w:r>
              <w:rPr>
                <w:b/>
                <w:bCs/>
                <w:color w:val="FFFFFF"/>
                <w:sz w:val="20"/>
                <w:szCs w:val="20"/>
              </w:rPr>
              <w:t xml:space="preserve">Where</w:t>
            </w:r>
          </w:p>
        </w:tc>
      </w:tr>
      <w:tr>
        <w:trPr>
          <w:tblHeader w:val="false"/>
        </w:trPr>
        <w:tc>
          <w:tcPr>
            <w:tcW w:type="dxa" w:w="6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1</w:t>
            </w:r>
          </w:p>
        </w:tc>
        <w:tc>
          <w:tcPr>
            <w:tcW w:type="dxa" w:w="5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Raise arb max_usd and scan all open windows each cycle</w:t>
            </w:r>
          </w:p>
        </w:tc>
        <w:tc>
          <w:tcPr>
            <w:tcW w:type="dxa" w:w="3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arbitrage.py / loops.py</w:t>
            </w:r>
          </w:p>
        </w:tc>
      </w:tr>
      <w:tr>
        <w:trPr>
          <w:tblHeader w:val="false"/>
        </w:trPr>
        <w:tc>
          <w:tcPr>
            <w:tcW w:type="dxa" w:w="6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2</w:t>
            </w:r>
          </w:p>
        </w:tc>
        <w:tc>
          <w:tcPr>
            <w:tcW w:type="dxa" w:w="5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Add a bankroll cap + no-scale rule for the directional book</w:t>
            </w:r>
          </w:p>
        </w:tc>
        <w:tc>
          <w:tcPr>
            <w:tcW w:type="dxa" w:w="3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config.py / quant-team.md</w:t>
            </w:r>
          </w:p>
        </w:tc>
      </w:tr>
      <w:tr>
        <w:trPr>
          <w:tblHeader w:val="false"/>
        </w:trPr>
        <w:tc>
          <w:tcPr>
            <w:tcW w:type="dxa" w:w="6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3</w:t>
            </w:r>
          </w:p>
        </w:tc>
        <w:tc>
          <w:tcPr>
            <w:tcW w:type="dxa" w:w="5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Block UP entries until an UP bucket clears n≥50 Wilson LB</w:t>
            </w:r>
          </w:p>
        </w:tc>
        <w:tc>
          <w:tcPr>
            <w:tcW w:type="dxa" w:w="3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strategy.py / selectivity.py</w:t>
            </w:r>
          </w:p>
        </w:tc>
      </w:tr>
      <w:tr>
        <w:trPr>
          <w:tblHeader w:val="false"/>
        </w:trPr>
        <w:tc>
          <w:tcPr>
            <w:tcW w:type="dxa" w:w="6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4</w:t>
            </w:r>
          </w:p>
        </w:tc>
        <w:tc>
          <w:tcPr>
            <w:tcW w:type="dxa" w:w="5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Keep half-Kelly ready; flip on only for a promoted bucket</w:t>
            </w:r>
          </w:p>
        </w:tc>
        <w:tc>
          <w:tcPr>
            <w:tcW w:type="dxa" w:w="3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sizing.py (sizing_enabled)</w:t>
            </w:r>
          </w:p>
        </w:tc>
      </w:tr>
      <w:tr>
        <w:trPr>
          <w:tblHeader w:val="false"/>
        </w:trPr>
        <w:tc>
          <w:tcPr>
            <w:tcW w:type="dxa" w:w="6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5</w:t>
            </w:r>
          </w:p>
        </w:tc>
        <w:tc>
          <w:tcPr>
            <w:tcW w:type="dxa" w:w="5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Prototype nested-window dependency detector in log-only mode</w:t>
            </w:r>
          </w:p>
        </w:tc>
        <w:tc>
          <w:tcPr>
            <w:tcW w:type="dxa" w:w="3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new module + grok_intel.py</w:t>
            </w:r>
          </w:p>
        </w:tc>
      </w:tr>
      <w:tr>
        <w:trPr>
          <w:tblHeader w:val="false"/>
        </w:trPr>
        <w:tc>
          <w:tcPr>
            <w:tcW w:type="dxa" w:w="6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6</w:t>
            </w:r>
          </w:p>
        </w:tc>
        <w:tc>
          <w:tcPr>
            <w:tcW w:type="dxa" w:w="5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Build a non-atomic two-leg execution simulator before any live flag</w:t>
            </w:r>
          </w:p>
        </w:tc>
        <w:tc>
          <w:tcPr>
            <w:tcW w:type="dxa" w:w="3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execution_realistic.py</w:t>
            </w:r>
          </w:p>
        </w:tc>
      </w:tr>
    </w:tbl>
    <w:p>
      <w:pPr>
        <w:spacing w:after="80"/>
      </w:pPr>
    </w:p>
    <w:p>
      <w:pPr>
        <w:spacing w:after="140" w:line="276"/>
      </w:pPr>
      <w:r>
        <w:t xml:space="preserve">If you want, the natural next deliverable is a small pull-request-sized spec for action #1 and #5 — the two with the highest expected value — written against the actual function signatures in arbitrage.py and grok_intel.py.</w:t>
      </w:r>
    </w:p>
    <w:p>
      <w:pPr>
        <w:pStyle w:val="Heading1"/>
      </w:pPr>
      <w:r>
        <w:t xml:space="preserve">Appendix A — Key metrics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6F54" w:val="clear"/>
            <w:tcMar>
              <w:top w:type="dxa" w:w="70"/>
              <w:left w:type="dxa" w:w="110"/>
              <w:bottom w:type="dxa" w:w="70"/>
              <w:right w:type="dxa" w:w="110"/>
            </w:tcMar>
          </w:tcPr>
          <w:p>
            <w:r>
              <w:rPr>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6F54" w:val="clear"/>
            <w:tcMar>
              <w:top w:type="dxa" w:w="70"/>
              <w:left w:type="dxa" w:w="110"/>
              <w:bottom w:type="dxa" w:w="70"/>
              <w:right w:type="dxa" w:w="110"/>
            </w:tcMar>
          </w:tcPr>
          <w:p>
            <w:r>
              <w:rPr>
                <w:b/>
                <w:bCs/>
                <w:color w:val="FFFFFF"/>
                <w:sz w:val="20"/>
                <w:szCs w:val="20"/>
              </w:rPr>
              <w:t xml:space="preserve">Value (latest soak)</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Total on-hand / starting capital</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$535.95 / $500.00</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Total return (paper)</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7.19%</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Arbitrage realized (segregated)</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$34.46 (4 of 4 settled)</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Directional PnL</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$1.49 (48 settled)</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Directional WR / PF</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0.625 / 1.0199</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UP WR / DOWN WR</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0.500 / 0.7143</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Avg win / avg loss</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$2.55 / $4.17</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Max drawdown</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$23.63</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Candidates created / accepted</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31,043 / 48 (0.15%)</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Verifier approve rate</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0.265 (223 verified)</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Arb params (epsilon / depth cap)</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0.05 / 0.50</w:t>
            </w:r>
          </w:p>
        </w:tc>
      </w:tr>
    </w:tbl>
    <w:p>
      <w:pPr>
        <w:pStyle w:val="Heading1"/>
      </w:pPr>
      <w:r>
        <w:t xml:space="preserve">Appendix B — Bible reference figures</w:t>
      </w:r>
    </w:p>
    <w:p>
      <w:pPr>
        <w:pStyle w:val="ListParagraph"/>
        <w:numPr>
          <w:ilvl w:val="0"/>
          <w:numId w:val="3"/>
        </w:numPr>
        <w:spacing w:after="80" w:line="264"/>
      </w:pPr>
      <w:r>
        <w:t xml:space="preserve">41% of analyzed conditions had single-market arbitrage; median price-sum deviation ~$0.60 vs. $1.00 ideal.</w:t>
      </w:r>
    </w:p>
    <w:p>
      <w:pPr>
        <w:pStyle w:val="ListParagraph"/>
        <w:numPr>
          <w:ilvl w:val="0"/>
          <w:numId w:val="3"/>
        </w:numPr>
        <w:spacing w:after="80" w:line="264"/>
      </w:pPr>
      <w:r>
        <w:t xml:space="preserve">Year total extracted: ~$39.69M — single-condition $10.58M, market-rebalancing $29.01M, cross-market combination $0.096M.</w:t>
      </w:r>
    </w:p>
    <w:p>
      <w:pPr>
        <w:pStyle w:val="ListParagraph"/>
        <w:numPr>
          <w:ilvl w:val="0"/>
          <w:numId w:val="3"/>
        </w:numPr>
        <w:spacing w:after="80" w:line="264"/>
      </w:pPr>
      <w:r>
        <w:t xml:space="preserve">Top arbitrator: $2.01M from 4,049 trades (~$496 average) — grind, not a glitch.</w:t>
      </w:r>
    </w:p>
    <w:p>
      <w:pPr>
        <w:pStyle w:val="ListParagraph"/>
        <w:numPr>
          <w:ilvl w:val="0"/>
          <w:numId w:val="3"/>
        </w:numPr>
        <w:spacing w:after="80" w:line="264"/>
      </w:pPr>
      <w:r>
        <w:t xml:space="preserve">Production stack: WebSocket book feed + Alchemy Polygon history, 86M trades analyzed, LLM-screened 46,360 pairs → 13 exploitable.</w:t>
      </w:r>
    </w:p>
    <w:p>
      <w:pPr>
        <w:pStyle w:val="ListParagraph"/>
        <w:numPr>
          <w:ilvl w:val="0"/>
          <w:numId w:val="3"/>
        </w:numPr>
        <w:spacing w:after="80" w:line="264"/>
      </w:pPr>
      <w:r>
        <w:rPr>
          <w:b/>
          <w:bCs/>
        </w:rPr>
        <w:t xml:space="preserve">Primary sources: </w:t>
      </w:r>
      <w:r>
        <w:t xml:space="preserve">Polymarket Arbitrage Bible (Roan / MrRyanChi); research paper arxiv 2508.03474; theory paper arxiv 1606.02825.</w:t>
      </w:r>
    </w:p>
    <w:p>
      <w:pPr>
        <w:spacing w:after="80"/>
      </w:pPr>
    </w:p>
    <w:p>
      <w:pPr>
        <w:spacing w:after="140" w:line="276"/>
      </w:pPr>
      <w:r>
        <w:rPr>
          <w:b/>
          <w:bCs/>
        </w:rPr>
        <w:t xml:space="preserve">Caveat on the source: </w:t>
      </w:r>
      <w:r>
        <w:t xml:space="preserve">the Bible is partly promotional (it advertises a bot/API service) and its “$40M glitch” framing oversells a competitive, infrastructure-heavy grind. The underlying paper is sound; the profit numbers are gross, year-long, and shared across all competitors. Weigh claims accordingly.</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Grok-Bot-2 (Hermes BTC Pulse) — Improvement Analysis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54" w:sz="6" w:space="4"/>
      </w:pBdr>
      <w:spacing w:after="140" w:before="300"/>
      <w:outlineLvl w:val="0"/>
    </w:pPr>
    <w:rPr>
      <w:rFonts w:ascii="Calibri" w:cs="Calibri" w:eastAsia="Calibri" w:hAnsi="Calibri"/>
      <w:b/>
      <w:bCs/>
      <w:color w:val="1F6F5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A1A1A"/>
      <w:sz w:val="25"/>
      <w:szCs w:val="25"/>
    </w:rPr>
  </w:style>
  <w:style w:type="paragraph" w:styleId="Heading3">
    <w:name w:val="Heading 3"/>
    <w:basedOn w:val="Normal"/>
    <w:next w:val="Normal"/>
    <w:qFormat/>
    <w:pPr>
      <w:spacing w:after="70" w:before="160"/>
      <w:outlineLvl w:val="2"/>
    </w:pPr>
    <w:rPr>
      <w:rFonts w:ascii="Calibri" w:cs="Calibri" w:eastAsia="Calibri" w:hAnsi="Calibri"/>
      <w:b/>
      <w:bCs/>
      <w:color w:val="1F6F5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Grok-Bot-2 Improvement Analysis</dc:title>
  <dc:creator>Quant analysis</dc:creator>
  <cp:lastModifiedBy>Un-named</cp:lastModifiedBy>
  <cp:revision>1</cp:revision>
  <dcterms:created xsi:type="dcterms:W3CDTF">2026-06-26T13:51:17.125Z</dcterms:created>
  <dcterms:modified xsi:type="dcterms:W3CDTF">2026-06-26T13:51:17.125Z</dcterms:modified>
</cp:coreProperties>
</file>

<file path=docProps/custom.xml><?xml version="1.0" encoding="utf-8"?>
<Properties xmlns="http://schemas.openxmlformats.org/officeDocument/2006/custom-properties" xmlns:vt="http://schemas.openxmlformats.org/officeDocument/2006/docPropsVTypes"/>
</file>