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SetDrawColor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SetDrawColor(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color used for all drawing operations (lines, rectangles and cell borders). It can be expressed in RGB components or gray scale. The method can be called before the first page is created and the value is retained from page to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SetFillColor()</w:t>
        </w:r>
      </w:hyperlink>
      <w:r w:rsidDel="00000000" w:rsidR="00000000" w:rsidRPr="00000000">
        <w:rPr>
          <w:rtl w:val="0"/>
        </w:rPr>
        <w:t xml:space="preserve">, </w:t>
      </w:r>
      <w:hyperlink r:id="rId6">
        <w:r w:rsidDel="00000000" w:rsidR="00000000" w:rsidRPr="00000000">
          <w:rPr>
            <w:color w:val="0000ee"/>
            <w:u w:val="single"/>
            <w:rtl w:val="0"/>
          </w:rPr>
          <w:t xml:space="preserve">SetTextColor()</w:t>
        </w:r>
      </w:hyperlink>
      <w:r w:rsidDel="00000000" w:rsidR="00000000" w:rsidRPr="00000000">
        <w:rPr>
          <w:rtl w:val="0"/>
        </w:rPr>
        <w:t xml:space="preserve">, </w:t>
      </w:r>
      <w:hyperlink r:id="rId7">
        <w:r w:rsidDel="00000000" w:rsidR="00000000" w:rsidRPr="00000000">
          <w:rPr>
            <w:color w:val="0000ee"/>
            <w:u w:val="single"/>
            <w:rtl w:val="0"/>
          </w:rPr>
          <w:t xml:space="preserve">Line()</w:t>
        </w:r>
      </w:hyperlink>
      <w:r w:rsidDel="00000000" w:rsidR="00000000" w:rsidRPr="00000000">
        <w:rPr>
          <w:rtl w:val="0"/>
        </w:rPr>
        <w:t xml:space="preserve">, </w:t>
      </w:r>
      <w:hyperlink r:id="rId8">
        <w:r w:rsidDel="00000000" w:rsidR="00000000" w:rsidRPr="00000000">
          <w:rPr>
            <w:color w:val="0000ee"/>
            <w:u w:val="single"/>
            <w:rtl w:val="0"/>
          </w:rPr>
          <w:t xml:space="preserve">Rect()</w:t>
        </w:r>
      </w:hyperlink>
      <w:r w:rsidDel="00000000" w:rsidR="00000000" w:rsidRPr="00000000">
        <w:rPr>
          <w:rtl w:val="0"/>
        </w:rPr>
        <w:t xml:space="preserve">, </w:t>
      </w:r>
      <w:hyperlink r:id="rId9">
        <w:r w:rsidDel="00000000" w:rsidR="00000000" w:rsidRPr="00000000">
          <w:rPr>
            <w:color w:val="0000ee"/>
            <w:u w:val="single"/>
            <w:rtl w:val="0"/>
          </w:rPr>
          <w:t xml:space="preserve">Cell()</w:t>
        </w:r>
      </w:hyperlink>
      <w:r w:rsidDel="00000000" w:rsidR="00000000" w:rsidRPr="00000000">
        <w:rPr>
          <w:rtl w:val="0"/>
        </w:rPr>
        <w:t xml:space="preserve">, </w:t>
      </w:r>
      <w:hyperlink r:id="rId10">
        <w:r w:rsidDel="00000000" w:rsidR="00000000" w:rsidRPr="00000000">
          <w:rPr>
            <w:color w:val="0000ee"/>
            <w:u w:val="single"/>
            <w:rtl w:val="0"/>
          </w:rPr>
          <w:t xml:space="preserve">MultiCell()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11">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index.htm" TargetMode="External"/><Relationship Id="rId10" Type="http://schemas.openxmlformats.org/officeDocument/2006/relationships/hyperlink" Target="http://docs.google.com/multicell.htm" TargetMode="External"/><Relationship Id="rId9" Type="http://schemas.openxmlformats.org/officeDocument/2006/relationships/hyperlink" Target="http://docs.google.com/cell.htm" TargetMode="External"/><Relationship Id="rId5" Type="http://schemas.openxmlformats.org/officeDocument/2006/relationships/hyperlink" Target="http://docs.google.com/setfillcolor.htm" TargetMode="External"/><Relationship Id="rId6" Type="http://schemas.openxmlformats.org/officeDocument/2006/relationships/hyperlink" Target="http://docs.google.com/settextcolor.htm" TargetMode="External"/><Relationship Id="rId7" Type="http://schemas.openxmlformats.org/officeDocument/2006/relationships/hyperlink" Target="http://docs.google.com/line.htm" TargetMode="External"/><Relationship Id="rId8" Type="http://schemas.openxmlformats.org/officeDocument/2006/relationships/hyperlink" Target="http://docs.google.com/rect.htm" TargetMode="External"/></Relationships>
</file>