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SetX(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abscissa of the current position. If the passed value is negative, it is relative to the right of the page.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x The value of the abscissa.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GetX()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GetY()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SetY()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SetXY()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getx.htm" TargetMode="External"/><Relationship Id="rId6" Type="http://schemas.openxmlformats.org/officeDocument/2006/relationships/hyperlink" Target="http://docs.google.com/gety.htm" TargetMode="External"/><Relationship Id="rId7" Type="http://schemas.openxmlformats.org/officeDocument/2006/relationships/hyperlink" Target="http://docs.google.com/sety.htm" TargetMode="External"/><Relationship Id="rId8" Type="http://schemas.openxmlformats.org/officeDocument/2006/relationships/hyperlink" Target="http://docs.google.com/setxy.htm" TargetMode="External"/></Relationships>
</file>