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632"/>
        <w:gridCol w:w="2448"/>
      </w:tblGrid>
      <w:tr>
        <w:tc>
          <w:tcPr>
            <w:tcW w:type="dxa" w:w="5083"/>
            <w:shd w:fill="163B5C"/>
            <w:tcMar>
              <w:top w:w="0" w:type="dxa"/>
              <w:start w:w="0" w:type="dxa"/>
              <w:bottom w:w="0" w:type="dxa"/>
              <w:end w:w="0" w:type="dxa"/>
            </w:tcMar>
          </w:tcPr>
          <w:p/>
        </w:tc>
        <w:tc>
          <w:tcPr>
            <w:tcW w:type="dxa" w:w="5083"/>
            <w:shd w:fill="2F7D68"/>
            <w:tcMar>
              <w:top w:w="0" w:type="dxa"/>
              <w:start w:w="0" w:type="dxa"/>
              <w:bottom w:w="0" w:type="dxa"/>
              <w:end w:w="0" w:type="dxa"/>
            </w:tcMar>
          </w:tcPr>
          <w:p/>
        </w:tc>
      </w:tr>
    </w:tbl>
    <w:p>
      <w:pPr>
        <w:widowControl/>
        <w:spacing w:before="1160" w:after="120"/>
      </w:pPr>
      <w:r>
        <w:rPr>
          <w:rFonts w:ascii="Arial" w:hAnsi="Arial"/>
          <w:b/>
          <w:color w:val="2F7D68"/>
          <w:sz w:val="24"/>
        </w:rPr>
        <w:t>CONCEPT NOTE</w:t>
      </w:r>
    </w:p>
    <w:p>
      <w:pPr>
        <w:widowControl/>
        <w:spacing w:after="200"/>
      </w:pPr>
      <w:r>
        <w:rPr>
          <w:rFonts w:ascii="Arial" w:hAnsi="Arial"/>
          <w:b/>
          <w:color w:val="163B5C"/>
          <w:sz w:val="54"/>
        </w:rPr>
        <w:t>State-Owned Enterprises Governance,</w:t>
        <w:br/>
        <w:t>Asset &amp; Performance Intelligence Platform</w:t>
      </w:r>
    </w:p>
    <w:p>
      <w:pPr>
        <w:widowControl/>
        <w:spacing w:after="80"/>
      </w:pPr>
      <w:r>
        <w:rPr>
          <w:rFonts w:ascii="Arial" w:hAnsi="Arial"/>
          <w:b/>
          <w:color w:val="2F7D68"/>
          <w:sz w:val="36"/>
        </w:rPr>
        <w:t>SOE-GAIP</w:t>
      </w:r>
    </w:p>
    <w:p>
      <w:pPr>
        <w:widowControl/>
        <w:spacing w:before="360" w:after="80"/>
      </w:pPr>
      <w:r>
        <w:rPr>
          <w:rFonts w:ascii="Arial" w:hAnsi="Arial"/>
          <w:b/>
          <w:color w:val="23313F"/>
          <w:sz w:val="26"/>
        </w:rPr>
        <w:t>Ministry of Industries and Production</w:t>
      </w:r>
    </w:p>
    <w:p>
      <w:pPr>
        <w:widowControl/>
      </w:pPr>
      <w:r>
        <w:rPr>
          <w:rFonts w:ascii="Arial" w:hAnsi="Arial"/>
          <w:color w:val="5F6B76"/>
          <w:sz w:val="22"/>
        </w:rPr>
        <w:t>Government of Pakistan</w:t>
      </w:r>
    </w:p>
    <w:tbl>
      <w:tblPr>
        <w:tblW w:type="auto" w:w="0"/>
        <w:jc w:val="center"/>
        <w:tblLayout w:type="fixed"/>
        <w:tblLook w:firstColumn="1" w:firstRow="1" w:lastColumn="0" w:lastRow="0" w:noHBand="0" w:noVBand="1" w:val="04A0"/>
      </w:tblPr>
      <w:tblGrid>
        <w:gridCol w:w="9504"/>
      </w:tblGrid>
      <w:tr>
        <w:tc>
          <w:tcPr>
            <w:tcW w:type="dxa" w:w="10166"/>
            <w:shd w:fill="F4F7F8"/>
            <w:tcMar>
              <w:top w:w="170" w:type="dxa"/>
              <w:start w:w="180" w:type="dxa"/>
              <w:bottom w:w="170" w:type="dxa"/>
              <w:end w:w="180" w:type="dxa"/>
            </w:tcMar>
          </w:tcPr>
          <w:p>
            <w:r>
              <w:rPr>
                <w:rFonts w:ascii="Arial" w:hAnsi="Arial"/>
                <w:b/>
                <w:color w:val="2F7D68"/>
                <w:sz w:val="21"/>
              </w:rPr>
              <w:t>Project Vision</w:t>
            </w:r>
          </w:p>
          <w:p>
            <w:pPr>
              <w:spacing w:after="0"/>
            </w:pPr>
            <w:r>
              <w:rPr>
                <w:rFonts w:ascii="Arial" w:hAnsi="Arial"/>
                <w:color w:val="23313F"/>
                <w:sz w:val="20"/>
              </w:rPr>
              <w:t>A centralized, evidence-based governance and decision-intelligence platform that provides an authoritative view of State-Owned Enterprises, public assets, performance, obligations and material risks.</w:t>
            </w:r>
          </w:p>
        </w:tc>
      </w:tr>
    </w:tbl>
    <w:p>
      <w:pPr>
        <w:widowControl/>
        <w:spacing w:before="880"/>
        <w:jc w:val="left"/>
      </w:pPr>
      <w:r>
        <w:rPr>
          <w:rFonts w:ascii="Arial" w:hAnsi="Arial"/>
          <w:b/>
          <w:color w:val="163B5C"/>
          <w:sz w:val="20"/>
        </w:rPr>
        <w:t>Concept Note</w:t>
      </w:r>
    </w:p>
    <w:p>
      <w:pPr>
        <w:widowControl/>
        <w:spacing w:after="0"/>
      </w:pPr>
      <w:r>
        <w:rPr>
          <w:rFonts w:ascii="Arial" w:hAnsi="Arial"/>
          <w:color w:val="5F6B76"/>
          <w:sz w:val="18"/>
        </w:rPr>
        <w:t>Prepared for strategic review and project planning</w:t>
      </w:r>
    </w:p>
    <w:p>
      <w:pPr>
        <w:widowControl/>
      </w:pPr>
      <w:r>
        <w:br w:type="page"/>
      </w:r>
    </w:p>
    <w:p>
      <w:pPr>
        <w:pStyle w:val="Heading1"/>
        <w:widowControl/>
      </w:pPr>
      <w:r>
        <w:t>Document Control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Item</w:t>
            </w:r>
          </w:p>
        </w:tc>
        <w:tc>
          <w:tcPr>
            <w:tcW w:type="dxa" w:w="756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Details</w:t>
            </w:r>
          </w:p>
        </w:tc>
      </w:tr>
      <w:tr>
        <w:tc>
          <w:tcPr>
            <w:tcW w:type="dxa" w:w="230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Document Title</w:t>
            </w:r>
          </w:p>
        </w:tc>
        <w:tc>
          <w:tcPr>
            <w:tcW w:type="dxa" w:w="75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State-Owned Enterprises Governance, Asset &amp; Performance Intelligence Platform (SOE-GAIP) - Concept Note</w:t>
            </w:r>
          </w:p>
        </w:tc>
      </w:tr>
      <w:tr>
        <w:tc>
          <w:tcPr>
            <w:tcW w:type="dxa" w:w="230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Client Context</w:t>
            </w:r>
          </w:p>
        </w:tc>
        <w:tc>
          <w:tcPr>
            <w:tcW w:type="dxa" w:w="75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Ministry of Industries and Production, Government of Pakistan</w:t>
            </w:r>
          </w:p>
        </w:tc>
      </w:tr>
      <w:tr>
        <w:tc>
          <w:tcPr>
            <w:tcW w:type="dxa" w:w="230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Document Type</w:t>
            </w:r>
          </w:p>
        </w:tc>
        <w:tc>
          <w:tcPr>
            <w:tcW w:type="dxa" w:w="75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High-Level Project Concept Note</w:t>
            </w:r>
          </w:p>
        </w:tc>
      </w:tr>
      <w:tr>
        <w:tc>
          <w:tcPr>
            <w:tcW w:type="dxa" w:w="230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Purpose</w:t>
            </w:r>
          </w:p>
        </w:tc>
        <w:tc>
          <w:tcPr>
            <w:tcW w:type="dxa" w:w="75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Strategic framing, functional concept, data flow, system planning and phased implementation</w:t>
            </w:r>
          </w:p>
        </w:tc>
      </w:tr>
      <w:tr>
        <w:tc>
          <w:tcPr>
            <w:tcW w:type="dxa" w:w="230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Initial Development Scope</w:t>
            </w:r>
          </w:p>
        </w:tc>
        <w:tc>
          <w:tcPr>
            <w:tcW w:type="dxa" w:w="75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Core platform, SOE data capture, governance workflows, dashboards, GIS, analytics and reporting</w:t>
            </w:r>
          </w:p>
        </w:tc>
      </w:tr>
      <w:tr>
        <w:tc>
          <w:tcPr>
            <w:tcW w:type="dxa" w:w="230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Future Phase</w:t>
            </w:r>
          </w:p>
        </w:tc>
        <w:tc>
          <w:tcPr>
            <w:tcW w:type="dxa" w:w="75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External government API integrations</w:t>
            </w:r>
          </w:p>
        </w:tc>
      </w:tr>
    </w:tbl>
    <w:p>
      <w:pPr>
        <w:widowControl/>
        <w:spacing w:after="40"/>
      </w:pPr>
    </w:p>
    <w:p>
      <w:pPr>
        <w:pStyle w:val="Heading1"/>
        <w:widowControl/>
      </w:pPr>
      <w:r>
        <w:t>Contents</w:t>
      </w:r>
    </w:p>
    <w:p>
      <w:pPr>
        <w:widowControl/>
        <w:spacing w:after="40"/>
        <w:ind w:left="144"/>
      </w:pPr>
      <w:r>
        <w:rPr>
          <w:rFonts w:ascii="Arial" w:hAnsi="Arial"/>
          <w:color w:val="23313F"/>
          <w:sz w:val="18"/>
        </w:rPr>
        <w:t>1. Project Overview</w:t>
      </w:r>
    </w:p>
    <w:p>
      <w:pPr>
        <w:widowControl/>
        <w:spacing w:after="40"/>
        <w:ind w:left="144"/>
      </w:pPr>
      <w:r>
        <w:rPr>
          <w:rFonts w:ascii="Arial" w:hAnsi="Arial"/>
          <w:color w:val="23313F"/>
          <w:sz w:val="18"/>
        </w:rPr>
        <w:t>2. Background and Rationale</w:t>
      </w:r>
    </w:p>
    <w:p>
      <w:pPr>
        <w:widowControl/>
        <w:spacing w:after="40"/>
        <w:ind w:left="144"/>
      </w:pPr>
      <w:r>
        <w:rPr>
          <w:rFonts w:ascii="Arial" w:hAnsi="Arial"/>
          <w:color w:val="23313F"/>
          <w:sz w:val="18"/>
        </w:rPr>
        <w:t>3. Problem Statement</w:t>
      </w:r>
    </w:p>
    <w:p>
      <w:pPr>
        <w:widowControl/>
        <w:spacing w:after="40"/>
        <w:ind w:left="144"/>
      </w:pPr>
      <w:r>
        <w:rPr>
          <w:rFonts w:ascii="Arial" w:hAnsi="Arial"/>
          <w:color w:val="23313F"/>
          <w:sz w:val="18"/>
        </w:rPr>
        <w:t>4. Project Goal</w:t>
      </w:r>
    </w:p>
    <w:p>
      <w:pPr>
        <w:widowControl/>
        <w:spacing w:after="40"/>
        <w:ind w:left="144"/>
      </w:pPr>
      <w:r>
        <w:rPr>
          <w:rFonts w:ascii="Arial" w:hAnsi="Arial"/>
          <w:color w:val="23313F"/>
          <w:sz w:val="18"/>
        </w:rPr>
        <w:t>5. Project Objectives</w:t>
      </w:r>
    </w:p>
    <w:p>
      <w:pPr>
        <w:widowControl/>
        <w:spacing w:after="40"/>
        <w:ind w:left="144"/>
      </w:pPr>
      <w:r>
        <w:rPr>
          <w:rFonts w:ascii="Arial" w:hAnsi="Arial"/>
          <w:color w:val="23313F"/>
          <w:sz w:val="18"/>
        </w:rPr>
        <w:t>6. Proposed User Ecosystem</w:t>
      </w:r>
    </w:p>
    <w:p>
      <w:pPr>
        <w:widowControl/>
        <w:spacing w:after="40"/>
        <w:ind w:left="144"/>
      </w:pPr>
      <w:r>
        <w:rPr>
          <w:rFonts w:ascii="Arial" w:hAnsi="Arial"/>
          <w:color w:val="23313F"/>
          <w:sz w:val="18"/>
        </w:rPr>
        <w:t>7. Proposed Functional Architecture</w:t>
      </w:r>
    </w:p>
    <w:p>
      <w:pPr>
        <w:widowControl/>
        <w:spacing w:after="40"/>
        <w:ind w:left="144"/>
      </w:pPr>
      <w:r>
        <w:rPr>
          <w:rFonts w:ascii="Arial" w:hAnsi="Arial"/>
          <w:color w:val="23313F"/>
          <w:sz w:val="18"/>
        </w:rPr>
        <w:t>8. Domain 1 - Enterprise and Ownership Intelligence</w:t>
      </w:r>
    </w:p>
    <w:p>
      <w:pPr>
        <w:widowControl/>
        <w:spacing w:after="40"/>
        <w:ind w:left="144"/>
      </w:pPr>
      <w:r>
        <w:rPr>
          <w:rFonts w:ascii="Arial" w:hAnsi="Arial"/>
          <w:color w:val="23313F"/>
          <w:sz w:val="18"/>
        </w:rPr>
        <w:t>9. Domain 2 - Asset and Property Intelligence</w:t>
      </w:r>
    </w:p>
    <w:p>
      <w:pPr>
        <w:widowControl/>
        <w:spacing w:after="40"/>
        <w:ind w:left="144"/>
      </w:pPr>
      <w:r>
        <w:rPr>
          <w:rFonts w:ascii="Arial" w:hAnsi="Arial"/>
          <w:color w:val="23313F"/>
          <w:sz w:val="18"/>
        </w:rPr>
        <w:t>10. Domain 3 - People and Governance Intelligence</w:t>
      </w:r>
    </w:p>
    <w:p>
      <w:pPr>
        <w:widowControl/>
        <w:spacing w:after="40"/>
        <w:ind w:left="144"/>
      </w:pPr>
      <w:r>
        <w:rPr>
          <w:rFonts w:ascii="Arial" w:hAnsi="Arial"/>
          <w:color w:val="23313F"/>
          <w:sz w:val="18"/>
        </w:rPr>
        <w:t>11. Domain 4 - Financial and Fiscal Intelligence</w:t>
      </w:r>
    </w:p>
    <w:p>
      <w:pPr>
        <w:widowControl/>
        <w:spacing w:after="40"/>
        <w:ind w:left="144"/>
      </w:pPr>
      <w:r>
        <w:rPr>
          <w:rFonts w:ascii="Arial" w:hAnsi="Arial"/>
          <w:color w:val="23313F"/>
          <w:sz w:val="18"/>
        </w:rPr>
        <w:t>12. Domain 5 - Accountability and Compliance</w:t>
      </w:r>
    </w:p>
    <w:p>
      <w:pPr>
        <w:widowControl/>
        <w:spacing w:after="40"/>
        <w:ind w:left="144"/>
      </w:pPr>
      <w:r>
        <w:rPr>
          <w:rFonts w:ascii="Arial" w:hAnsi="Arial"/>
          <w:color w:val="23313F"/>
          <w:sz w:val="18"/>
        </w:rPr>
        <w:t>13. Domain 6 - Industrial and Strategic Performance</w:t>
      </w:r>
    </w:p>
    <w:p>
      <w:pPr>
        <w:widowControl/>
        <w:spacing w:after="40"/>
        <w:ind w:left="144"/>
      </w:pPr>
      <w:r>
        <w:rPr>
          <w:rFonts w:ascii="Arial" w:hAnsi="Arial"/>
          <w:color w:val="23313F"/>
          <w:sz w:val="18"/>
        </w:rPr>
        <w:t>14. Domain 7 - Privatization and Transformation</w:t>
      </w:r>
    </w:p>
    <w:p>
      <w:pPr>
        <w:widowControl/>
        <w:spacing w:after="40"/>
        <w:ind w:left="144"/>
      </w:pPr>
      <w:r>
        <w:rPr>
          <w:rFonts w:ascii="Arial" w:hAnsi="Arial"/>
          <w:color w:val="23313F"/>
          <w:sz w:val="18"/>
        </w:rPr>
        <w:t>15. Domain 8 - Evidence and Document Management</w:t>
      </w:r>
    </w:p>
    <w:p>
      <w:pPr>
        <w:widowControl/>
        <w:spacing w:after="40"/>
        <w:ind w:left="144"/>
      </w:pPr>
      <w:r>
        <w:rPr>
          <w:rFonts w:ascii="Arial" w:hAnsi="Arial"/>
          <w:color w:val="23313F"/>
          <w:sz w:val="18"/>
        </w:rPr>
        <w:t>16. Domain 9 - Reporting and Governance Workflow</w:t>
      </w:r>
    </w:p>
    <w:p>
      <w:pPr>
        <w:widowControl/>
        <w:spacing w:after="40"/>
        <w:ind w:left="144"/>
      </w:pPr>
      <w:r>
        <w:rPr>
          <w:rFonts w:ascii="Arial" w:hAnsi="Arial"/>
          <w:color w:val="23313F"/>
          <w:sz w:val="18"/>
        </w:rPr>
        <w:t>17. Domain 10 - Intelligence and Decision Support</w:t>
      </w:r>
    </w:p>
    <w:p>
      <w:pPr>
        <w:widowControl/>
        <w:spacing w:after="40"/>
        <w:ind w:left="144"/>
      </w:pPr>
      <w:r>
        <w:rPr>
          <w:rFonts w:ascii="Arial" w:hAnsi="Arial"/>
          <w:color w:val="23313F"/>
          <w:sz w:val="18"/>
        </w:rPr>
        <w:t>18. Proposed Data Input Model</w:t>
      </w:r>
    </w:p>
    <w:p>
      <w:pPr>
        <w:widowControl/>
        <w:spacing w:after="40"/>
        <w:ind w:left="144"/>
      </w:pPr>
      <w:r>
        <w:rPr>
          <w:rFonts w:ascii="Arial" w:hAnsi="Arial"/>
          <w:color w:val="23313F"/>
          <w:sz w:val="18"/>
        </w:rPr>
        <w:t>19. Proposed End-to-End Workflow</w:t>
      </w:r>
    </w:p>
    <w:p>
      <w:pPr>
        <w:widowControl/>
        <w:spacing w:after="40"/>
        <w:ind w:left="144"/>
      </w:pPr>
      <w:r>
        <w:rPr>
          <w:rFonts w:ascii="Arial" w:hAnsi="Arial"/>
          <w:color w:val="23313F"/>
          <w:sz w:val="18"/>
        </w:rPr>
        <w:t>20. Proposed Dashboard Framework</w:t>
      </w:r>
    </w:p>
    <w:p>
      <w:pPr>
        <w:widowControl/>
        <w:spacing w:after="40"/>
        <w:ind w:left="144"/>
      </w:pPr>
      <w:r>
        <w:rPr>
          <w:rFonts w:ascii="Arial" w:hAnsi="Arial"/>
          <w:color w:val="23313F"/>
          <w:sz w:val="18"/>
        </w:rPr>
        <w:t>21. Key Differentiating Features</w:t>
      </w:r>
    </w:p>
    <w:p>
      <w:pPr>
        <w:widowControl/>
        <w:spacing w:after="40"/>
        <w:ind w:left="144"/>
      </w:pPr>
      <w:r>
        <w:rPr>
          <w:rFonts w:ascii="Arial" w:hAnsi="Arial"/>
          <w:color w:val="23313F"/>
          <w:sz w:val="18"/>
        </w:rPr>
        <w:t>22. High-Level Technical Architecture</w:t>
      </w:r>
    </w:p>
    <w:p>
      <w:pPr>
        <w:widowControl/>
        <w:spacing w:after="40"/>
        <w:ind w:left="144"/>
      </w:pPr>
      <w:r>
        <w:rPr>
          <w:rFonts w:ascii="Arial" w:hAnsi="Arial"/>
          <w:color w:val="23313F"/>
          <w:sz w:val="18"/>
        </w:rPr>
        <w:t>23. External Government Integrations - Future Phase</w:t>
      </w:r>
    </w:p>
    <w:p>
      <w:pPr>
        <w:widowControl/>
        <w:spacing w:after="40"/>
        <w:ind w:left="144"/>
      </w:pPr>
      <w:r>
        <w:rPr>
          <w:rFonts w:ascii="Arial" w:hAnsi="Arial"/>
          <w:color w:val="23313F"/>
          <w:sz w:val="18"/>
        </w:rPr>
        <w:t>24. Information Security and Governance</w:t>
      </w:r>
    </w:p>
    <w:p>
      <w:pPr>
        <w:widowControl/>
        <w:spacing w:after="40"/>
        <w:ind w:left="144"/>
      </w:pPr>
      <w:r>
        <w:rPr>
          <w:rFonts w:ascii="Arial" w:hAnsi="Arial"/>
          <w:color w:val="23313F"/>
          <w:sz w:val="18"/>
        </w:rPr>
        <w:t>25. Proposed Implementation Approach</w:t>
      </w:r>
    </w:p>
    <w:p>
      <w:pPr>
        <w:widowControl/>
        <w:spacing w:after="40"/>
        <w:ind w:left="144"/>
      </w:pPr>
      <w:r>
        <w:rPr>
          <w:rFonts w:ascii="Arial" w:hAnsi="Arial"/>
          <w:color w:val="23313F"/>
          <w:sz w:val="18"/>
        </w:rPr>
        <w:t>26. Expected Outcomes</w:t>
      </w:r>
    </w:p>
    <w:p>
      <w:pPr>
        <w:widowControl/>
        <w:spacing w:after="40"/>
        <w:ind w:left="144"/>
      </w:pPr>
      <w:r>
        <w:rPr>
          <w:rFonts w:ascii="Arial" w:hAnsi="Arial"/>
          <w:color w:val="23313F"/>
          <w:sz w:val="18"/>
        </w:rPr>
        <w:t>27. Proposed Success Indicators</w:t>
      </w:r>
    </w:p>
    <w:p>
      <w:pPr>
        <w:widowControl/>
        <w:spacing w:after="40"/>
        <w:ind w:left="144"/>
      </w:pPr>
      <w:r>
        <w:rPr>
          <w:rFonts w:ascii="Arial" w:hAnsi="Arial"/>
          <w:color w:val="23313F"/>
          <w:sz w:val="18"/>
        </w:rPr>
        <w:t>28. Critical Project Dependencies</w:t>
      </w:r>
    </w:p>
    <w:p>
      <w:pPr>
        <w:widowControl/>
        <w:spacing w:after="40"/>
        <w:ind w:left="144"/>
      </w:pPr>
      <w:r>
        <w:rPr>
          <w:rFonts w:ascii="Arial" w:hAnsi="Arial"/>
          <w:color w:val="23313F"/>
          <w:sz w:val="18"/>
        </w:rPr>
        <w:t>29. Strategic Value and Long-Term Vision</w:t>
      </w:r>
    </w:p>
    <w:p>
      <w:pPr>
        <w:widowControl/>
      </w:pPr>
      <w:r>
        <w:br w:type="page"/>
      </w:r>
    </w:p>
    <w:p>
      <w:pPr>
        <w:pStyle w:val="Heading1"/>
        <w:widowControl/>
      </w:pPr>
      <w:r>
        <w:t>1. Project Overview</w:t>
      </w:r>
    </w:p>
    <w:p>
      <w:pPr>
        <w:widowControl/>
      </w:pPr>
      <w:r>
        <w:rPr>
          <w:rFonts w:ascii="Arial" w:hAnsi="Arial"/>
        </w:rPr>
        <w:t>The proposed State-Owned Enterprises Governance, Asset &amp; Performance Intelligence Platform (SOE-GAIP) is envisioned as a centralized digital governance and decision-intelligence system for State-Owned Enterprises under the administrative oversight of the Ministry of Industries and Production.</w:t>
      </w:r>
    </w:p>
    <w:p>
      <w:pPr>
        <w:widowControl/>
      </w:pPr>
      <w:r>
        <w:rPr>
          <w:rFonts w:ascii="Arial" w:hAnsi="Arial"/>
        </w:rPr>
        <w:t>The platform is intended to function as a single authoritative source of information on SOE governance, ownership, assets, finances, workforce, Boards, compliance, audit, litigation, industrial performance and privatization. It should go beyond a conventional asset declaration portal by supporting financial oversight, asset management, governance monitoring and strategic decision-making.</w:t>
      </w:r>
    </w:p>
    <w:p>
      <w:pPr>
        <w:widowControl/>
      </w:pPr>
      <w:r>
        <w:rPr>
          <w:rFonts w:ascii="Arial" w:hAnsi="Arial"/>
        </w:rPr>
        <w:t>The proposed platform will consolidate fragmented information currently maintained across SOEs, ministries, financial statements, property records, spreadsheets, audit reports and administrative files into a structured, governed and traceable digital environment.</w:t>
      </w:r>
    </w:p>
    <w:p>
      <w:pPr>
        <w:widowControl/>
      </w:pPr>
      <w:r>
        <w:rPr>
          <w:rFonts w:ascii="Arial" w:hAnsi="Arial"/>
        </w:rPr>
        <w:t>Different categories of government users will access information according to their responsibilities while SOEs will submit, validate, certify and update their respective data through controlled reporting workflows.</w:t>
      </w:r>
    </w:p>
    <w:tbl>
      <w:tblPr>
        <w:tblW w:type="auto" w:w="0"/>
        <w:jc w:val="center"/>
        <w:tblLayout w:type="fixed"/>
        <w:tblLook w:firstColumn="1" w:firstRow="1" w:lastColumn="0" w:lastRow="0" w:noHBand="0" w:noVBand="1" w:val="04A0"/>
      </w:tblPr>
      <w:tblGrid>
        <w:gridCol w:w="10008"/>
      </w:tblGrid>
      <w:tr>
        <w:tc>
          <w:tcPr>
            <w:tcW w:type="dxa" w:w="10166"/>
            <w:shd w:fill="EEF4F2"/>
            <w:tcMar>
              <w:top w:w="150" w:type="dxa"/>
              <w:start w:w="180" w:type="dxa"/>
              <w:bottom w:w="150" w:type="dxa"/>
              <w:end w:w="180" w:type="dxa"/>
            </w:tcMar>
            <w:tcBorders>
              <w:top w:val="nil"/>
              <w:left w:val="single" w:sz="18" w:color="2F7D68"/>
              <w:bottom w:val="nil"/>
              <w:right w:val="nil"/>
            </w:tcBorders>
          </w:tcPr>
          <w:p>
            <w:pPr>
              <w:spacing w:after="60"/>
            </w:pPr>
            <w:r>
              <w:rPr>
                <w:rFonts w:ascii="Arial" w:hAnsi="Arial"/>
                <w:b/>
                <w:color w:val="2F7D68"/>
                <w:sz w:val="22"/>
              </w:rPr>
              <w:t>Core Proposition</w:t>
            </w:r>
          </w:p>
          <w:p>
            <w:pPr>
              <w:spacing w:after="0"/>
            </w:pPr>
            <w:r>
              <w:rPr>
                <w:rFonts w:ascii="Arial" w:hAnsi="Arial"/>
                <w:color w:val="23313F"/>
                <w:sz w:val="19"/>
              </w:rPr>
              <w:t>SOE-GAIP is not intended to digitize isolated forms. It is intended to create a governed information chain in which official SOE data can be validated, evidenced, certified, reviewed, historically preserved and converted into executive intelligence.</w:t>
            </w:r>
          </w:p>
        </w:tc>
      </w:tr>
    </w:tbl>
    <w:p>
      <w:pPr>
        <w:widowControl/>
        <w:spacing w:after="20"/>
      </w:pPr>
    </w:p>
    <w:p>
      <w:pPr>
        <w:pStyle w:val="Heading1"/>
        <w:widowControl/>
      </w:pPr>
      <w:r>
        <w:t>2. Background and Rationale</w:t>
      </w:r>
    </w:p>
    <w:p>
      <w:pPr>
        <w:widowControl/>
      </w:pPr>
      <w:r>
        <w:rPr>
          <w:rFonts w:ascii="Arial" w:hAnsi="Arial"/>
        </w:rPr>
        <w:t>State-Owned Enterprises manage significant public assets, employ substantial workforces and contribute to industrial production, public service delivery and national economic activity. Their performance can also create direct and indirect fiscal exposure for Government through investment, borrowing, subsidies, grants, guarantees and contingent liabilities.</w:t>
      </w:r>
    </w:p>
    <w:p>
      <w:pPr>
        <w:widowControl/>
      </w:pPr>
      <w:r>
        <w:rPr>
          <w:rFonts w:ascii="Arial" w:hAnsi="Arial"/>
        </w:rPr>
        <w:t>Effective oversight therefore requires timely and standardized information across several dimensions:</w:t>
      </w:r>
    </w:p>
    <w:p>
      <w:pPr>
        <w:pStyle w:val="ListBullet"/>
        <w:widowControl/>
        <w:spacing w:after="50"/>
      </w:pPr>
      <w:r>
        <w:rPr>
          <w:rFonts w:ascii="Arial" w:hAnsi="Arial"/>
        </w:rPr>
        <w:t>organizational and ownership structure</w:t>
      </w:r>
    </w:p>
    <w:p>
      <w:pPr>
        <w:pStyle w:val="ListBullet"/>
        <w:widowControl/>
        <w:spacing w:after="50"/>
      </w:pPr>
      <w:r>
        <w:rPr>
          <w:rFonts w:ascii="Arial" w:hAnsi="Arial"/>
        </w:rPr>
        <w:t>financial performance</w:t>
      </w:r>
    </w:p>
    <w:p>
      <w:pPr>
        <w:pStyle w:val="ListBullet"/>
        <w:widowControl/>
        <w:spacing w:after="50"/>
      </w:pPr>
      <w:r>
        <w:rPr>
          <w:rFonts w:ascii="Arial" w:hAnsi="Arial"/>
        </w:rPr>
        <w:t>government investment and fiscal support</w:t>
      </w:r>
    </w:p>
    <w:p>
      <w:pPr>
        <w:pStyle w:val="ListBullet"/>
        <w:widowControl/>
        <w:spacing w:after="50"/>
      </w:pPr>
      <w:r>
        <w:rPr>
          <w:rFonts w:ascii="Arial" w:hAnsi="Arial"/>
        </w:rPr>
        <w:t>land, buildings, machinery and other assets</w:t>
      </w:r>
    </w:p>
    <w:p>
      <w:pPr>
        <w:pStyle w:val="ListBullet"/>
        <w:widowControl/>
        <w:spacing w:after="50"/>
      </w:pPr>
      <w:r>
        <w:rPr>
          <w:rFonts w:ascii="Arial" w:hAnsi="Arial"/>
        </w:rPr>
        <w:t>Board governance and executive management</w:t>
      </w:r>
    </w:p>
    <w:p>
      <w:pPr>
        <w:pStyle w:val="ListBullet"/>
        <w:widowControl/>
        <w:spacing w:after="50"/>
      </w:pPr>
      <w:r>
        <w:rPr>
          <w:rFonts w:ascii="Arial" w:hAnsi="Arial"/>
        </w:rPr>
        <w:t>workforce and sanctioned positions</w:t>
      </w:r>
    </w:p>
    <w:p>
      <w:pPr>
        <w:pStyle w:val="ListBullet"/>
        <w:widowControl/>
        <w:spacing w:after="50"/>
      </w:pPr>
      <w:r>
        <w:rPr>
          <w:rFonts w:ascii="Arial" w:hAnsi="Arial"/>
        </w:rPr>
        <w:t>borrowing and repayment obligations</w:t>
      </w:r>
    </w:p>
    <w:p>
      <w:pPr>
        <w:pStyle w:val="ListBullet"/>
        <w:widowControl/>
        <w:spacing w:after="50"/>
      </w:pPr>
      <w:r>
        <w:rPr>
          <w:rFonts w:ascii="Arial" w:hAnsi="Arial"/>
        </w:rPr>
        <w:t>procurement, audit and litigation</w:t>
      </w:r>
    </w:p>
    <w:p>
      <w:pPr>
        <w:pStyle w:val="ListBullet"/>
        <w:widowControl/>
        <w:spacing w:after="50"/>
      </w:pPr>
      <w:r>
        <w:rPr>
          <w:rFonts w:ascii="Arial" w:hAnsi="Arial"/>
        </w:rPr>
        <w:t>statutory compliance</w:t>
      </w:r>
    </w:p>
    <w:p>
      <w:pPr>
        <w:pStyle w:val="ListBullet"/>
        <w:widowControl/>
        <w:spacing w:after="50"/>
      </w:pPr>
      <w:r>
        <w:rPr>
          <w:rFonts w:ascii="Arial" w:hAnsi="Arial"/>
        </w:rPr>
        <w:t>industrial production and capacity utilization</w:t>
      </w:r>
    </w:p>
    <w:p>
      <w:pPr>
        <w:pStyle w:val="ListBullet"/>
        <w:widowControl/>
        <w:spacing w:after="50"/>
      </w:pPr>
      <w:r>
        <w:rPr>
          <w:rFonts w:ascii="Arial" w:hAnsi="Arial"/>
        </w:rPr>
        <w:t>privatization and restructuring</w:t>
      </w:r>
    </w:p>
    <w:p>
      <w:pPr>
        <w:widowControl/>
      </w:pPr>
      <w:r>
        <w:rPr>
          <w:rFonts w:ascii="Arial" w:hAnsi="Arial"/>
        </w:rPr>
        <w:t>At present, these information areas may exist in different formats and at different levels of maturity across SOEs. Some information may exist in spreadsheets, some in ERP or HR systems, some in annual reports and some only in supporting documents or administrative records.</w:t>
      </w:r>
    </w:p>
    <w:tbl>
      <w:tblPr>
        <w:tblW w:type="auto" w:w="0"/>
        <w:jc w:val="center"/>
        <w:tblLayout w:type="fixed"/>
        <w:tblLook w:firstColumn="1" w:firstRow="1" w:lastColumn="0" w:lastRow="0" w:noHBand="0" w:noVBand="1" w:val="04A0"/>
      </w:tblPr>
      <w:tblGrid>
        <w:gridCol w:w="10008"/>
      </w:tblGrid>
      <w:tr>
        <w:tc>
          <w:tcPr>
            <w:tcW w:type="dxa" w:w="10166"/>
            <w:shd w:fill="EEF3F8"/>
            <w:tcMar>
              <w:top w:w="150" w:type="dxa"/>
              <w:start w:w="180" w:type="dxa"/>
              <w:bottom w:w="150" w:type="dxa"/>
              <w:end w:w="180" w:type="dxa"/>
            </w:tcMar>
            <w:tcBorders>
              <w:top w:val="nil"/>
              <w:left w:val="single" w:sz="18" w:color="163B5C"/>
              <w:bottom w:val="nil"/>
              <w:right w:val="nil"/>
            </w:tcBorders>
          </w:tcPr>
          <w:p>
            <w:pPr>
              <w:spacing w:after="60"/>
            </w:pPr>
            <w:r>
              <w:rPr>
                <w:rFonts w:ascii="Arial" w:hAnsi="Arial"/>
                <w:b/>
                <w:color w:val="163B5C"/>
                <w:sz w:val="22"/>
              </w:rPr>
              <w:t>The Strategic Question</w:t>
            </w:r>
          </w:p>
          <w:p>
            <w:pPr>
              <w:spacing w:after="0"/>
            </w:pPr>
            <w:r>
              <w:rPr>
                <w:rFonts w:ascii="Arial" w:hAnsi="Arial"/>
                <w:color w:val="23313F"/>
                <w:sz w:val="19"/>
              </w:rPr>
              <w:t>The challenge is not simply digitization. The challenge is to create a standardized system through which Government can reliably know what each SOE owns, how it performs, what fiscal exposure Government carries, which obligations are overdue, which risks are emerging and where intervention is required.</w:t>
            </w:r>
          </w:p>
        </w:tc>
      </w:tr>
    </w:tbl>
    <w:p>
      <w:pPr>
        <w:widowControl/>
        <w:spacing w:after="20"/>
      </w:pPr>
    </w:p>
    <w:p>
      <w:pPr>
        <w:pStyle w:val="Heading1"/>
        <w:widowControl/>
      </w:pPr>
      <w:r>
        <w:t>3. Problem Statement</w:t>
      </w:r>
    </w:p>
    <w:p>
      <w:pPr>
        <w:pStyle w:val="Heading2"/>
        <w:widowControl/>
      </w:pPr>
      <w:r>
        <w:t>3.1 Fragmented Information</w:t>
      </w:r>
    </w:p>
    <w:p>
      <w:pPr>
        <w:widowControl/>
      </w:pPr>
      <w:r>
        <w:rPr>
          <w:rFonts w:ascii="Arial" w:hAnsi="Arial"/>
        </w:rPr>
        <w:t>SOE information is naturally distributed across financial statements, HR records, property registers, Board records, audit reports, legal files, procurement records and administrative correspondence. Without a common platform, obtaining a complete view of an enterprise requires collecting and reconciling information from multiple sources.</w:t>
      </w:r>
    </w:p>
    <w:p>
      <w:pPr>
        <w:pStyle w:val="Heading2"/>
        <w:widowControl/>
      </w:pPr>
      <w:r>
        <w:t>3.2 Absence of Standardized Data</w:t>
      </w:r>
    </w:p>
    <w:p>
      <w:pPr>
        <w:widowControl/>
      </w:pPr>
      <w:r>
        <w:rPr>
          <w:rFonts w:ascii="Arial" w:hAnsi="Arial"/>
        </w:rPr>
        <w:t>Different SOEs may maintain similar information using different classifications, formats or reporting structures. This restricts meaningful cross-SOE comparison.</w:t>
      </w:r>
    </w:p>
    <w:p>
      <w:pPr>
        <w:pStyle w:val="Heading2"/>
        <w:widowControl/>
      </w:pPr>
      <w:r>
        <w:t>3.3 Limited Historical Visibility</w:t>
      </w:r>
    </w:p>
    <w:p>
      <w:pPr>
        <w:widowControl/>
      </w:pPr>
      <w:r>
        <w:rPr>
          <w:rFonts w:ascii="Arial" w:hAnsi="Arial"/>
        </w:rPr>
        <w:t>Conventional reporting can provide a current snapshot without preserving structured historical versions of individual assets, financial indicators, Board composition, compliance records and other governance information.</w:t>
      </w:r>
    </w:p>
    <w:p>
      <w:pPr>
        <w:pStyle w:val="Heading2"/>
        <w:widowControl/>
      </w:pPr>
      <w:r>
        <w:t>3.4 Reactive Oversight</w:t>
      </w:r>
    </w:p>
    <w:p>
      <w:pPr>
        <w:widowControl/>
      </w:pPr>
      <w:r>
        <w:rPr>
          <w:rFonts w:ascii="Arial" w:hAnsi="Arial"/>
        </w:rPr>
        <w:t>Government oversight can become dependent on periodic reports and manual follow-up. Board expiry, overdue loan repayment, deteriorating financial performance, unresolved audit paras or missing statutory submissions may therefore be identified later than desirable.</w:t>
      </w:r>
    </w:p>
    <w:p>
      <w:pPr>
        <w:pStyle w:val="Heading2"/>
        <w:widowControl/>
      </w:pPr>
      <w:r>
        <w:t>3.5 Limited Decision Intelligence</w:t>
      </w:r>
    </w:p>
    <w:p>
      <w:pPr>
        <w:widowControl/>
      </w:pPr>
      <w:r>
        <w:rPr>
          <w:rFonts w:ascii="Arial" w:hAnsi="Arial"/>
        </w:rPr>
        <w:t>A large volume of administrative information does not automatically translate into actionable intelligence. Senior leadership requires summarized, comparable and risk-oriented information rather than raw records.</w:t>
      </w:r>
    </w:p>
    <w:p>
      <w:pPr>
        <w:pStyle w:val="Heading1"/>
        <w:widowControl/>
      </w:pPr>
      <w:r>
        <w:t>4. Project Goal</w:t>
      </w:r>
    </w:p>
    <w:tbl>
      <w:tblPr>
        <w:tblW w:type="auto" w:w="0"/>
        <w:jc w:val="center"/>
        <w:tblLayout w:type="fixed"/>
        <w:tblLook w:firstColumn="1" w:firstRow="1" w:lastColumn="0" w:lastRow="0" w:noHBand="0" w:noVBand="1" w:val="04A0"/>
      </w:tblPr>
      <w:tblGrid>
        <w:gridCol w:w="10008"/>
      </w:tblGrid>
      <w:tr>
        <w:tc>
          <w:tcPr>
            <w:tcW w:type="dxa" w:w="10166"/>
            <w:shd w:fill="EEF4F2"/>
            <w:tcMar>
              <w:top w:w="150" w:type="dxa"/>
              <w:start w:w="180" w:type="dxa"/>
              <w:bottom w:w="150" w:type="dxa"/>
              <w:end w:w="180" w:type="dxa"/>
            </w:tcMar>
            <w:tcBorders>
              <w:top w:val="nil"/>
              <w:left w:val="single" w:sz="18" w:color="2F7D68"/>
              <w:bottom w:val="nil"/>
              <w:right w:val="nil"/>
            </w:tcBorders>
          </w:tcPr>
          <w:p>
            <w:pPr>
              <w:spacing w:after="60"/>
            </w:pPr>
            <w:r>
              <w:rPr>
                <w:rFonts w:ascii="Arial" w:hAnsi="Arial"/>
                <w:b/>
                <w:color w:val="2F7D68"/>
                <w:sz w:val="22"/>
              </w:rPr>
              <w:t>Goal</w:t>
            </w:r>
          </w:p>
          <w:p>
            <w:pPr>
              <w:spacing w:after="0"/>
            </w:pPr>
            <w:r>
              <w:rPr>
                <w:rFonts w:ascii="Arial" w:hAnsi="Arial"/>
                <w:color w:val="23313F"/>
                <w:sz w:val="19"/>
              </w:rPr>
              <w:t>To establish a centralized, secure and evidence-based digital platform that enables the Government to maintain authoritative information on State-Owned Enterprises and convert that information into actionable governance, financial, asset and performance intelligence.</w:t>
            </w:r>
          </w:p>
        </w:tc>
      </w:tr>
    </w:tbl>
    <w:p>
      <w:pPr>
        <w:widowControl/>
        <w:spacing w:after="20"/>
      </w:pPr>
    </w:p>
    <w:p>
      <w:pPr>
        <w:pStyle w:val="Heading1"/>
        <w:widowControl/>
      </w:pPr>
      <w:r>
        <w:t>5. Project Objectives</w:t>
      </w:r>
    </w:p>
    <w:p>
      <w:pPr>
        <w:pStyle w:val="ListNumber"/>
        <w:widowControl/>
        <w:spacing w:after="60"/>
      </w:pPr>
      <w:r>
        <w:rPr>
          <w:rFonts w:ascii="Arial" w:hAnsi="Arial"/>
        </w:rPr>
        <w:t>Establish a standardized master registry of SOEs and their ownership structures.</w:t>
      </w:r>
    </w:p>
    <w:p>
      <w:pPr>
        <w:pStyle w:val="ListNumber"/>
        <w:widowControl/>
        <w:spacing w:after="60"/>
      </w:pPr>
      <w:r>
        <w:rPr>
          <w:rFonts w:ascii="Arial" w:hAnsi="Arial"/>
        </w:rPr>
        <w:t>Digitize and maintain comprehensive information on public assets including land, buildings, machinery, vehicles and other major asset categories.</w:t>
      </w:r>
    </w:p>
    <w:p>
      <w:pPr>
        <w:pStyle w:val="ListNumber"/>
        <w:widowControl/>
        <w:spacing w:after="60"/>
      </w:pPr>
      <w:r>
        <w:rPr>
          <w:rFonts w:ascii="Arial" w:hAnsi="Arial"/>
        </w:rPr>
        <w:t>Standardize financial, operational, governance, compliance and organizational information across participating SOEs.</w:t>
      </w:r>
    </w:p>
    <w:p>
      <w:pPr>
        <w:pStyle w:val="ListNumber"/>
        <w:widowControl/>
        <w:spacing w:after="60"/>
      </w:pPr>
      <w:r>
        <w:rPr>
          <w:rFonts w:ascii="Arial" w:hAnsi="Arial"/>
        </w:rPr>
        <w:t>Introduce structured reporting, certification, review and approval workflows.</w:t>
      </w:r>
    </w:p>
    <w:p>
      <w:pPr>
        <w:pStyle w:val="ListNumber"/>
        <w:widowControl/>
        <w:spacing w:after="60"/>
      </w:pPr>
      <w:r>
        <w:rPr>
          <w:rFonts w:ascii="Arial" w:hAnsi="Arial"/>
        </w:rPr>
        <w:t>Maintain complete historical records and audit trails of important changes.</w:t>
      </w:r>
    </w:p>
    <w:p>
      <w:pPr>
        <w:pStyle w:val="ListNumber"/>
        <w:widowControl/>
        <w:spacing w:after="60"/>
      </w:pPr>
      <w:r>
        <w:rPr>
          <w:rFonts w:ascii="Arial" w:hAnsi="Arial"/>
        </w:rPr>
        <w:t>Improve oversight of Boards, executives, workforce, audit matters, litigation and statutory compliance.</w:t>
      </w:r>
    </w:p>
    <w:p>
      <w:pPr>
        <w:pStyle w:val="ListNumber"/>
        <w:widowControl/>
        <w:spacing w:after="60"/>
      </w:pPr>
      <w:r>
        <w:rPr>
          <w:rFonts w:ascii="Arial" w:hAnsi="Arial"/>
        </w:rPr>
        <w:t>Provide decision-oriented dashboards for different levels of government leadership.</w:t>
      </w:r>
    </w:p>
    <w:p>
      <w:pPr>
        <w:pStyle w:val="ListNumber"/>
        <w:widowControl/>
        <w:spacing w:after="60"/>
      </w:pPr>
      <w:r>
        <w:rPr>
          <w:rFonts w:ascii="Arial" w:hAnsi="Arial"/>
        </w:rPr>
        <w:t>Enable cross-SOE comparison and performance benchmarking.</w:t>
      </w:r>
    </w:p>
    <w:p>
      <w:pPr>
        <w:pStyle w:val="ListNumber"/>
        <w:widowControl/>
        <w:spacing w:after="60"/>
      </w:pPr>
      <w:r>
        <w:rPr>
          <w:rFonts w:ascii="Arial" w:hAnsi="Arial"/>
        </w:rPr>
        <w:t>Introduce early-warning mechanisms for financial, governance, compliance, asset and operational risks.</w:t>
      </w:r>
    </w:p>
    <w:p>
      <w:pPr>
        <w:pStyle w:val="ListNumber"/>
        <w:widowControl/>
        <w:spacing w:after="60"/>
      </w:pPr>
      <w:r>
        <w:rPr>
          <w:rFonts w:ascii="Arial" w:hAnsi="Arial"/>
        </w:rPr>
        <w:t>Establish the digital foundation for future interoperability with external government systems.</w:t>
      </w:r>
    </w:p>
    <w:p>
      <w:pPr>
        <w:pStyle w:val="Heading1"/>
        <w:widowControl/>
      </w:pPr>
      <w:r>
        <w:t>6. Proposed User Ecosystem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User Group</w:t>
            </w:r>
          </w:p>
        </w:tc>
        <w:tc>
          <w:tcPr>
            <w:tcW w:type="dxa" w:w="4176"/>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Primary Need</w:t>
            </w:r>
          </w:p>
        </w:tc>
        <w:tc>
          <w:tcPr>
            <w:tcW w:type="dxa" w:w="3528"/>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System Orientation</w:t>
            </w:r>
          </w:p>
        </w:tc>
      </w:tr>
      <w:tr>
        <w:tc>
          <w:tcPr>
            <w:tcW w:type="dxa" w:w="21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Teams</w:t>
            </w:r>
          </w:p>
        </w:tc>
        <w:tc>
          <w:tcPr>
            <w:tcW w:type="dxa" w:w="41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Complete and maintain assigned information efficiently</w:t>
            </w:r>
          </w:p>
        </w:tc>
        <w:tc>
          <w:tcPr>
            <w:tcW w:type="dxa" w:w="352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Data preparation, evidence and submission</w:t>
            </w:r>
          </w:p>
        </w:tc>
      </w:tr>
      <w:tr>
        <w:tc>
          <w:tcPr>
            <w:tcW w:type="dxa" w:w="21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CEO / CFO</w:t>
            </w:r>
          </w:p>
        </w:tc>
        <w:tc>
          <w:tcPr>
            <w:tcW w:type="dxa" w:w="41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Understand and certify what is being formally submitted</w:t>
            </w:r>
          </w:p>
        </w:tc>
        <w:tc>
          <w:tcPr>
            <w:tcW w:type="dxa" w:w="352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Certification and accountability</w:t>
            </w:r>
          </w:p>
        </w:tc>
      </w:tr>
      <w:tr>
        <w:tc>
          <w:tcPr>
            <w:tcW w:type="dxa" w:w="21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MoIP Reviewers</w:t>
            </w:r>
          </w:p>
        </w:tc>
        <w:tc>
          <w:tcPr>
            <w:tcW w:type="dxa" w:w="41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Verify quality, investigate exceptions and monitor compliance</w:t>
            </w:r>
          </w:p>
        </w:tc>
        <w:tc>
          <w:tcPr>
            <w:tcW w:type="dxa" w:w="352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Review, query and oversight</w:t>
            </w:r>
          </w:p>
        </w:tc>
      </w:tr>
      <w:tr>
        <w:tc>
          <w:tcPr>
            <w:tcW w:type="dxa" w:w="21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Secretary</w:t>
            </w:r>
          </w:p>
        </w:tc>
        <w:tc>
          <w:tcPr>
            <w:tcW w:type="dxa" w:w="41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Know what requires action or escalation</w:t>
            </w:r>
          </w:p>
        </w:tc>
        <w:tc>
          <w:tcPr>
            <w:tcW w:type="dxa" w:w="352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Operational command centre</w:t>
            </w:r>
          </w:p>
        </w:tc>
      </w:tr>
      <w:tr>
        <w:tc>
          <w:tcPr>
            <w:tcW w:type="dxa" w:w="21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Minister</w:t>
            </w:r>
          </w:p>
        </w:tc>
        <w:tc>
          <w:tcPr>
            <w:tcW w:type="dxa" w:w="41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Understand portfolio health, material risks and strategic opportunities</w:t>
            </w:r>
          </w:p>
        </w:tc>
        <w:tc>
          <w:tcPr>
            <w:tcW w:type="dxa" w:w="352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Executive intelligence</w:t>
            </w:r>
          </w:p>
        </w:tc>
      </w:tr>
      <w:tr>
        <w:tc>
          <w:tcPr>
            <w:tcW w:type="dxa" w:w="21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Strategic Government Users</w:t>
            </w:r>
          </w:p>
        </w:tc>
        <w:tc>
          <w:tcPr>
            <w:tcW w:type="dxa" w:w="41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Understand national-level SOE exposure and contribution</w:t>
            </w:r>
          </w:p>
        </w:tc>
        <w:tc>
          <w:tcPr>
            <w:tcW w:type="dxa" w:w="352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Portfolio and policy intelligence</w:t>
            </w:r>
          </w:p>
        </w:tc>
      </w:tr>
      <w:tr>
        <w:tc>
          <w:tcPr>
            <w:tcW w:type="dxa" w:w="21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Assurance / Oversight Users</w:t>
            </w:r>
          </w:p>
        </w:tc>
        <w:tc>
          <w:tcPr>
            <w:tcW w:type="dxa" w:w="41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Trace evidence, history and accountability</w:t>
            </w:r>
          </w:p>
        </w:tc>
        <w:tc>
          <w:tcPr>
            <w:tcW w:type="dxa" w:w="352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Auditability and institutional coordination</w:t>
            </w:r>
          </w:p>
        </w:tc>
      </w:tr>
    </w:tbl>
    <w:p>
      <w:pPr>
        <w:widowControl/>
        <w:spacing w:after="40"/>
      </w:pPr>
    </w:p>
    <w:p>
      <w:pPr>
        <w:pStyle w:val="Heading2"/>
        <w:widowControl/>
      </w:pPr>
      <w:r>
        <w:t>6.1 SOE Users</w:t>
      </w:r>
    </w:p>
    <w:p>
      <w:pPr>
        <w:pStyle w:val="ListBullet"/>
        <w:widowControl/>
        <w:spacing w:after="50"/>
      </w:pPr>
      <w:r>
        <w:rPr>
          <w:rFonts w:ascii="Arial" w:hAnsi="Arial"/>
        </w:rPr>
        <w:t>SOE focal persons</w:t>
      </w:r>
    </w:p>
    <w:p>
      <w:pPr>
        <w:pStyle w:val="ListBullet"/>
        <w:widowControl/>
        <w:spacing w:after="50"/>
      </w:pPr>
      <w:r>
        <w:rPr>
          <w:rFonts w:ascii="Arial" w:hAnsi="Arial"/>
        </w:rPr>
        <w:t>finance teams</w:t>
      </w:r>
    </w:p>
    <w:p>
      <w:pPr>
        <w:pStyle w:val="ListBullet"/>
        <w:widowControl/>
        <w:spacing w:after="50"/>
      </w:pPr>
      <w:r>
        <w:rPr>
          <w:rFonts w:ascii="Arial" w:hAnsi="Arial"/>
        </w:rPr>
        <w:t>HR teams</w:t>
      </w:r>
    </w:p>
    <w:p>
      <w:pPr>
        <w:pStyle w:val="ListBullet"/>
        <w:widowControl/>
        <w:spacing w:after="50"/>
      </w:pPr>
      <w:r>
        <w:rPr>
          <w:rFonts w:ascii="Arial" w:hAnsi="Arial"/>
        </w:rPr>
        <w:t>company secretaries</w:t>
      </w:r>
    </w:p>
    <w:p>
      <w:pPr>
        <w:pStyle w:val="ListBullet"/>
        <w:widowControl/>
        <w:spacing w:after="50"/>
      </w:pPr>
      <w:r>
        <w:rPr>
          <w:rFonts w:ascii="Arial" w:hAnsi="Arial"/>
        </w:rPr>
        <w:t>asset and property teams</w:t>
      </w:r>
    </w:p>
    <w:p>
      <w:pPr>
        <w:pStyle w:val="ListBullet"/>
        <w:widowControl/>
        <w:spacing w:after="50"/>
      </w:pPr>
      <w:r>
        <w:rPr>
          <w:rFonts w:ascii="Arial" w:hAnsi="Arial"/>
        </w:rPr>
        <w:t>legal teams</w:t>
      </w:r>
    </w:p>
    <w:p>
      <w:pPr>
        <w:pStyle w:val="ListBullet"/>
        <w:widowControl/>
        <w:spacing w:after="50"/>
      </w:pPr>
      <w:r>
        <w:rPr>
          <w:rFonts w:ascii="Arial" w:hAnsi="Arial"/>
        </w:rPr>
        <w:t>procurement teams</w:t>
      </w:r>
    </w:p>
    <w:p>
      <w:pPr>
        <w:pStyle w:val="ListBullet"/>
        <w:widowControl/>
        <w:spacing w:after="50"/>
      </w:pPr>
      <w:r>
        <w:rPr>
          <w:rFonts w:ascii="Arial" w:hAnsi="Arial"/>
        </w:rPr>
        <w:t>internal audit</w:t>
      </w:r>
    </w:p>
    <w:p>
      <w:pPr>
        <w:pStyle w:val="ListBullet"/>
        <w:widowControl/>
        <w:spacing w:after="50"/>
      </w:pPr>
      <w:r>
        <w:rPr>
          <w:rFonts w:ascii="Arial" w:hAnsi="Arial"/>
        </w:rPr>
        <w:t>senior management</w:t>
      </w:r>
    </w:p>
    <w:p>
      <w:pPr>
        <w:pStyle w:val="ListBullet"/>
        <w:widowControl/>
        <w:spacing w:after="50"/>
      </w:pPr>
      <w:r>
        <w:rPr>
          <w:rFonts w:ascii="Arial" w:hAnsi="Arial"/>
        </w:rPr>
        <w:t>CEO and CFO</w:t>
      </w:r>
    </w:p>
    <w:p>
      <w:pPr>
        <w:widowControl/>
      </w:pPr>
      <w:r>
        <w:rPr>
          <w:rFonts w:ascii="Arial" w:hAnsi="Arial"/>
        </w:rPr>
        <w:t>Their primary role will be to maintain enterprise information, submit reporting data, upload supporting evidence and respond to Ministry queries.</w:t>
      </w:r>
    </w:p>
    <w:p>
      <w:pPr>
        <w:pStyle w:val="Heading2"/>
        <w:widowControl/>
      </w:pPr>
      <w:r>
        <w:t>6.2 MoIP Oversight Users</w:t>
      </w:r>
    </w:p>
    <w:p>
      <w:pPr>
        <w:widowControl/>
      </w:pPr>
      <w:r>
        <w:rPr>
          <w:rFonts w:ascii="Arial" w:hAnsi="Arial"/>
        </w:rPr>
        <w:t>Relevant Wings, Section Officers, analysts and designated reviewers will focus on review, validation, clarification, monitoring and escalation.</w:t>
      </w:r>
    </w:p>
    <w:p>
      <w:pPr>
        <w:pStyle w:val="Heading2"/>
        <w:widowControl/>
      </w:pPr>
      <w:r>
        <w:t>6.3 Secretary-Level Users</w:t>
      </w:r>
    </w:p>
    <w:p>
      <w:pPr>
        <w:widowControl/>
      </w:pPr>
      <w:r>
        <w:rPr>
          <w:rFonts w:ascii="Arial" w:hAnsi="Arial"/>
        </w:rPr>
        <w:t>The Secretary requires an operational governance view focused on delayed submissions, compliance gaps, outstanding approvals, financial concerns, Board vacancies, loan repayments, audit observations and pending actions.</w:t>
      </w:r>
    </w:p>
    <w:p>
      <w:pPr>
        <w:pStyle w:val="Heading2"/>
        <w:widowControl/>
      </w:pPr>
      <w:r>
        <w:t>6.4 Ministerial Users</w:t>
      </w:r>
    </w:p>
    <w:p>
      <w:pPr>
        <w:widowControl/>
      </w:pPr>
      <w:r>
        <w:rPr>
          <w:rFonts w:ascii="Arial" w:hAnsi="Arial"/>
        </w:rPr>
        <w:t>The Minister requires a concise strategic view of the SOE portfolio, government investment, aggregate assets, liabilities and debt, profitability, subsidies and grants, major governance gaps, significant litigation, audit observations, privatization and underutilized assets.</w:t>
      </w:r>
    </w:p>
    <w:p>
      <w:pPr>
        <w:pStyle w:val="Heading2"/>
        <w:widowControl/>
      </w:pPr>
      <w:r>
        <w:t>6.5 Strategic Government Users</w:t>
      </w:r>
    </w:p>
    <w:p>
      <w:pPr>
        <w:widowControl/>
      </w:pPr>
      <w:r>
        <w:rPr>
          <w:rFonts w:ascii="Arial" w:hAnsi="Arial"/>
        </w:rPr>
        <w:t>Subject to formal access approval, strategic users may require national-level views of government assets, return on capital, fiscal burden, potential privatization proceeds, land availability, employment, industrial output, exports and contingent liabilities.</w:t>
      </w:r>
    </w:p>
    <w:p>
      <w:pPr>
        <w:widowControl/>
      </w:pPr>
      <w:r>
        <w:br w:type="page"/>
      </w:r>
    </w:p>
    <w:p>
      <w:pPr>
        <w:pStyle w:val="Heading1"/>
        <w:widowControl/>
      </w:pPr>
      <w:r>
        <w:t>7. Proposed Functional Architecture</w:t>
      </w:r>
    </w:p>
    <w:p>
      <w:pPr>
        <w:widowControl/>
      </w:pPr>
      <w:r>
        <w:rPr>
          <w:rFonts w:ascii="Arial" w:hAnsi="Arial"/>
        </w:rPr>
        <w:t>For usability and implementation, the detailed source modules should be organized into broader functional domains. This approach keeps the user experience understandable while preserving complete business coverage.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Domain</w:t>
            </w:r>
          </w:p>
        </w:tc>
        <w:tc>
          <w:tcPr>
            <w:tcW w:type="dxa" w:w="6408"/>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Core Focus</w:t>
            </w:r>
          </w:p>
        </w:tc>
      </w:tr>
      <w:tr>
        <w:tc>
          <w:tcPr>
            <w:tcW w:type="dxa" w:w="345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1. Enterprise &amp; Ownership Intelligence</w:t>
            </w:r>
          </w:p>
        </w:tc>
        <w:tc>
          <w:tcPr>
            <w:tcW w:type="dxa" w:w="64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identity, legal status, ownership and corporate relationships</w:t>
            </w:r>
          </w:p>
        </w:tc>
      </w:tr>
      <w:tr>
        <w:tc>
          <w:tcPr>
            <w:tcW w:type="dxa" w:w="345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2. Asset &amp; Property Intelligence</w:t>
            </w:r>
          </w:p>
        </w:tc>
        <w:tc>
          <w:tcPr>
            <w:tcW w:type="dxa" w:w="64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Land, buildings, machinery, vehicles, equipment and GIS</w:t>
            </w:r>
          </w:p>
        </w:tc>
      </w:tr>
      <w:tr>
        <w:tc>
          <w:tcPr>
            <w:tcW w:type="dxa" w:w="345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3. People &amp; Governance Intelligence</w:t>
            </w:r>
          </w:p>
        </w:tc>
        <w:tc>
          <w:tcPr>
            <w:tcW w:type="dxa" w:w="64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Workforce, Boards, executives and governance calendar</w:t>
            </w:r>
          </w:p>
        </w:tc>
      </w:tr>
      <w:tr>
        <w:tc>
          <w:tcPr>
            <w:tcW w:type="dxa" w:w="345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4. Financial &amp; Fiscal Intelligence</w:t>
            </w:r>
          </w:p>
        </w:tc>
        <w:tc>
          <w:tcPr>
            <w:tcW w:type="dxa" w:w="64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Financial performance, loans, guarantees, grants and subsidies</w:t>
            </w:r>
          </w:p>
        </w:tc>
      </w:tr>
      <w:tr>
        <w:tc>
          <w:tcPr>
            <w:tcW w:type="dxa" w:w="345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5. Accountability &amp; Compliance</w:t>
            </w:r>
          </w:p>
        </w:tc>
        <w:tc>
          <w:tcPr>
            <w:tcW w:type="dxa" w:w="64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Procurement, audit, litigation and statutory obligations</w:t>
            </w:r>
          </w:p>
        </w:tc>
      </w:tr>
      <w:tr>
        <w:tc>
          <w:tcPr>
            <w:tcW w:type="dxa" w:w="345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6. Industrial &amp; Strategic Performance</w:t>
            </w:r>
          </w:p>
        </w:tc>
        <w:tc>
          <w:tcPr>
            <w:tcW w:type="dxa" w:w="64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Production, capacity, exports, employment, energy and carbon</w:t>
            </w:r>
          </w:p>
        </w:tc>
      </w:tr>
      <w:tr>
        <w:tc>
          <w:tcPr>
            <w:tcW w:type="dxa" w:w="345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7. Privatization &amp; Transformation</w:t>
            </w:r>
          </w:p>
        </w:tc>
        <w:tc>
          <w:tcPr>
            <w:tcW w:type="dxa" w:w="64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Privatization stages, approvals, valuation and due diligence</w:t>
            </w:r>
          </w:p>
        </w:tc>
      </w:tr>
      <w:tr>
        <w:tc>
          <w:tcPr>
            <w:tcW w:type="dxa" w:w="345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8. Evidence &amp; Document Management</w:t>
            </w:r>
          </w:p>
        </w:tc>
        <w:tc>
          <w:tcPr>
            <w:tcW w:type="dxa" w:w="64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Documents, evidence, versioning and contextual linking</w:t>
            </w:r>
          </w:p>
        </w:tc>
      </w:tr>
      <w:tr>
        <w:tc>
          <w:tcPr>
            <w:tcW w:type="dxa" w:w="345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9. Reporting &amp; Governance Workflow</w:t>
            </w:r>
          </w:p>
        </w:tc>
        <w:tc>
          <w:tcPr>
            <w:tcW w:type="dxa" w:w="64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Reporting cycles, certification, review, approval and audit trail</w:t>
            </w:r>
          </w:p>
        </w:tc>
      </w:tr>
      <w:tr>
        <w:tc>
          <w:tcPr>
            <w:tcW w:type="dxa" w:w="345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10. Intelligence &amp; Decision Support</w:t>
            </w:r>
          </w:p>
        </w:tc>
        <w:tc>
          <w:tcPr>
            <w:tcW w:type="dxa" w:w="64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Dashboards, KPIs, scorecards, risk, early warning and scenario support</w:t>
            </w:r>
          </w:p>
        </w:tc>
      </w:tr>
    </w:tbl>
    <w:p>
      <w:pPr>
        <w:widowControl/>
        <w:spacing w:after="40"/>
      </w:pPr>
    </w:p>
    <w:p>
      <w:pPr>
        <w:pStyle w:val="Heading1"/>
        <w:widowControl/>
      </w:pPr>
      <w:r>
        <w:t>8. Domain 1 - Enterprise and Ownership Intelligence</w:t>
      </w:r>
    </w:p>
    <w:p>
      <w:pPr>
        <w:pStyle w:val="Heading2"/>
        <w:widowControl/>
      </w:pPr>
      <w:r>
        <w:t>Core Modules</w:t>
      </w:r>
    </w:p>
    <w:p>
      <w:pPr>
        <w:pStyle w:val="ListBullet"/>
        <w:widowControl/>
        <w:spacing w:after="50"/>
      </w:pPr>
      <w:r>
        <w:rPr>
          <w:rFonts w:ascii="Arial" w:hAnsi="Arial"/>
        </w:rPr>
        <w:t>SOE Master Registry</w:t>
      </w:r>
    </w:p>
    <w:p>
      <w:pPr>
        <w:pStyle w:val="ListBullet"/>
        <w:widowControl/>
        <w:spacing w:after="50"/>
      </w:pPr>
      <w:r>
        <w:rPr>
          <w:rFonts w:ascii="Arial" w:hAnsi="Arial"/>
        </w:rPr>
        <w:t>Corporate Structure and Ownership</w:t>
      </w:r>
    </w:p>
    <w:p>
      <w:pPr>
        <w:pStyle w:val="ListBullet"/>
        <w:widowControl/>
        <w:spacing w:after="50"/>
      </w:pPr>
      <w:r>
        <w:rPr>
          <w:rFonts w:ascii="Arial" w:hAnsi="Arial"/>
        </w:rPr>
        <w:t>Subsidiaries, Associates and Joint Ventures</w:t>
      </w:r>
    </w:p>
    <w:p>
      <w:pPr>
        <w:pStyle w:val="Heading2"/>
        <w:widowControl/>
      </w:pPr>
      <w:r>
        <w:t>Strategic Purpose</w:t>
      </w:r>
    </w:p>
    <w:p>
      <w:pPr>
        <w:widowControl/>
      </w:pPr>
      <w:r>
        <w:rPr>
          <w:rFonts w:ascii="Arial" w:hAnsi="Arial"/>
        </w:rPr>
        <w:t>Establish the authoritative identity, legal status and ownership structure of each enterprise.</w:t>
      </w:r>
    </w:p>
    <w:p>
      <w:pPr>
        <w:pStyle w:val="Heading1"/>
        <w:widowControl/>
      </w:pPr>
      <w:r>
        <w:t>9. Domain 2 - Asset and Property Intelligence</w:t>
      </w:r>
    </w:p>
    <w:p>
      <w:pPr>
        <w:pStyle w:val="Heading2"/>
        <w:widowControl/>
      </w:pPr>
      <w:r>
        <w:t>Core Modules</w:t>
      </w:r>
    </w:p>
    <w:p>
      <w:pPr>
        <w:pStyle w:val="ListBullet"/>
        <w:widowControl/>
        <w:spacing w:after="50"/>
      </w:pPr>
      <w:r>
        <w:rPr>
          <w:rFonts w:ascii="Arial" w:hAnsi="Arial"/>
        </w:rPr>
        <w:t>Asset Registry</w:t>
      </w:r>
    </w:p>
    <w:p>
      <w:pPr>
        <w:pStyle w:val="ListBullet"/>
        <w:widowControl/>
        <w:spacing w:after="50"/>
      </w:pPr>
      <w:r>
        <w:rPr>
          <w:rFonts w:ascii="Arial" w:hAnsi="Arial"/>
        </w:rPr>
        <w:t>Land and Real Estate Management</w:t>
      </w:r>
    </w:p>
    <w:p>
      <w:pPr>
        <w:pStyle w:val="ListBullet"/>
        <w:widowControl/>
        <w:spacing w:after="50"/>
      </w:pPr>
      <w:r>
        <w:rPr>
          <w:rFonts w:ascii="Arial" w:hAnsi="Arial"/>
        </w:rPr>
        <w:t>Buildings and Infrastructure</w:t>
      </w:r>
    </w:p>
    <w:p>
      <w:pPr>
        <w:pStyle w:val="ListBullet"/>
        <w:widowControl/>
        <w:spacing w:after="50"/>
      </w:pPr>
      <w:r>
        <w:rPr>
          <w:rFonts w:ascii="Arial" w:hAnsi="Arial"/>
        </w:rPr>
        <w:t>Machinery and Productive Assets</w:t>
      </w:r>
    </w:p>
    <w:p>
      <w:pPr>
        <w:pStyle w:val="ListBullet"/>
        <w:widowControl/>
        <w:spacing w:after="50"/>
      </w:pPr>
      <w:r>
        <w:rPr>
          <w:rFonts w:ascii="Arial" w:hAnsi="Arial"/>
        </w:rPr>
        <w:t>Vehicles and Other Equipment</w:t>
      </w:r>
    </w:p>
    <w:p>
      <w:pPr>
        <w:pStyle w:val="ListBullet"/>
        <w:widowControl/>
        <w:spacing w:after="50"/>
      </w:pPr>
      <w:r>
        <w:rPr>
          <w:rFonts w:ascii="Arial" w:hAnsi="Arial"/>
        </w:rPr>
        <w:t>GIS and National Industrial Asset Map</w:t>
      </w:r>
    </w:p>
    <w:p>
      <w:pPr>
        <w:pStyle w:val="Heading2"/>
        <w:widowControl/>
      </w:pPr>
      <w:r>
        <w:t>Strategic Purpose</w:t>
      </w:r>
    </w:p>
    <w:p>
      <w:pPr>
        <w:widowControl/>
      </w:pPr>
      <w:r>
        <w:rPr>
          <w:rFonts w:ascii="Arial" w:hAnsi="Arial"/>
        </w:rPr>
        <w:t>Enable Government to know what assets exist, where they are located, what they are worth, whether they are operational, whether they are underutilized, whether they are encroached, whether they are under litigation and whether they can support investment or monetization.</w:t>
      </w:r>
    </w:p>
    <w:p>
      <w:pPr>
        <w:pStyle w:val="Heading1"/>
        <w:widowControl/>
      </w:pPr>
      <w:r>
        <w:t>10. Domain 3 - People and Governance Intelligence</w:t>
      </w:r>
    </w:p>
    <w:p>
      <w:pPr>
        <w:pStyle w:val="Heading2"/>
        <w:widowControl/>
      </w:pPr>
      <w:r>
        <w:t>Core Modules</w:t>
      </w:r>
    </w:p>
    <w:p>
      <w:pPr>
        <w:pStyle w:val="ListBullet"/>
        <w:widowControl/>
        <w:spacing w:after="50"/>
      </w:pPr>
      <w:r>
        <w:rPr>
          <w:rFonts w:ascii="Arial" w:hAnsi="Arial"/>
        </w:rPr>
        <w:t>Human Resources and Workforce</w:t>
      </w:r>
    </w:p>
    <w:p>
      <w:pPr>
        <w:pStyle w:val="ListBullet"/>
        <w:widowControl/>
        <w:spacing w:after="50"/>
      </w:pPr>
      <w:r>
        <w:rPr>
          <w:rFonts w:ascii="Arial" w:hAnsi="Arial"/>
        </w:rPr>
        <w:t>Board Governance</w:t>
      </w:r>
    </w:p>
    <w:p>
      <w:pPr>
        <w:pStyle w:val="ListBullet"/>
        <w:widowControl/>
        <w:spacing w:after="50"/>
      </w:pPr>
      <w:r>
        <w:rPr>
          <w:rFonts w:ascii="Arial" w:hAnsi="Arial"/>
        </w:rPr>
        <w:t>Executive Management</w:t>
      </w:r>
    </w:p>
    <w:p>
      <w:pPr>
        <w:pStyle w:val="ListBullet"/>
        <w:widowControl/>
        <w:spacing w:after="50"/>
      </w:pPr>
      <w:r>
        <w:rPr>
          <w:rFonts w:ascii="Arial" w:hAnsi="Arial"/>
        </w:rPr>
        <w:t>Governance Calendar</w:t>
      </w:r>
    </w:p>
    <w:p>
      <w:pPr>
        <w:pStyle w:val="Heading2"/>
        <w:widowControl/>
      </w:pPr>
      <w:r>
        <w:t>Strategic Purpose</w:t>
      </w:r>
    </w:p>
    <w:p>
      <w:pPr>
        <w:widowControl/>
      </w:pPr>
      <w:r>
        <w:rPr>
          <w:rFonts w:ascii="Arial" w:hAnsi="Arial"/>
        </w:rPr>
        <w:t>Strengthen visibility over institutional capacity, leadership structure and governance continuity.</w:t>
      </w:r>
    </w:p>
    <w:p>
      <w:pPr>
        <w:pStyle w:val="Heading1"/>
        <w:widowControl/>
      </w:pPr>
      <w:r>
        <w:t>11. Domain 4 - Financial and Fiscal Intelligence</w:t>
      </w:r>
    </w:p>
    <w:p>
      <w:pPr>
        <w:pStyle w:val="Heading2"/>
        <w:widowControl/>
      </w:pPr>
      <w:r>
        <w:t>Core Modules</w:t>
      </w:r>
    </w:p>
    <w:p>
      <w:pPr>
        <w:pStyle w:val="ListBullet"/>
        <w:widowControl/>
        <w:spacing w:after="50"/>
      </w:pPr>
      <w:r>
        <w:rPr>
          <w:rFonts w:ascii="Arial" w:hAnsi="Arial"/>
        </w:rPr>
        <w:t>Financial Performance and Reporting</w:t>
      </w:r>
    </w:p>
    <w:p>
      <w:pPr>
        <w:pStyle w:val="ListBullet"/>
        <w:widowControl/>
        <w:spacing w:after="50"/>
      </w:pPr>
      <w:r>
        <w:rPr>
          <w:rFonts w:ascii="Arial" w:hAnsi="Arial"/>
        </w:rPr>
        <w:t>Loans, Debt and Guarantees</w:t>
      </w:r>
    </w:p>
    <w:p>
      <w:pPr>
        <w:pStyle w:val="ListBullet"/>
        <w:widowControl/>
        <w:spacing w:after="50"/>
      </w:pPr>
      <w:r>
        <w:rPr>
          <w:rFonts w:ascii="Arial" w:hAnsi="Arial"/>
        </w:rPr>
        <w:t>Grants, Subsidies and Government Support</w:t>
      </w:r>
    </w:p>
    <w:p>
      <w:pPr>
        <w:pStyle w:val="ListBullet"/>
        <w:widowControl/>
        <w:spacing w:after="50"/>
      </w:pPr>
      <w:r>
        <w:rPr>
          <w:rFonts w:ascii="Arial" w:hAnsi="Arial"/>
        </w:rPr>
        <w:t>Financial Risk Monitoring</w:t>
      </w:r>
    </w:p>
    <w:p>
      <w:pPr>
        <w:pStyle w:val="Heading2"/>
        <w:widowControl/>
      </w:pPr>
      <w:r>
        <w:t>Strategic Purpose</w:t>
      </w:r>
    </w:p>
    <w:p>
      <w:pPr>
        <w:widowControl/>
      </w:pPr>
      <w:r>
        <w:rPr>
          <w:rFonts w:ascii="Arial" w:hAnsi="Arial"/>
        </w:rPr>
        <w:t>Enable Government to assess enterprise financial health, subsidy dependence, debt exposure, repayment obligations, profitability, liquidity, return on government capital and emerging fiscal risks.</w:t>
      </w:r>
    </w:p>
    <w:p>
      <w:pPr>
        <w:pStyle w:val="Heading1"/>
        <w:widowControl/>
      </w:pPr>
      <w:r>
        <w:t>12. Domain 5 - Accountability and Compliance</w:t>
      </w:r>
    </w:p>
    <w:p>
      <w:pPr>
        <w:pStyle w:val="Heading2"/>
        <w:widowControl/>
      </w:pPr>
      <w:r>
        <w:t>Core Modules</w:t>
      </w:r>
    </w:p>
    <w:p>
      <w:pPr>
        <w:pStyle w:val="ListBullet"/>
        <w:widowControl/>
        <w:spacing w:after="50"/>
      </w:pPr>
      <w:r>
        <w:rPr>
          <w:rFonts w:ascii="Arial" w:hAnsi="Arial"/>
        </w:rPr>
        <w:t>Procurement and Contract Oversight</w:t>
      </w:r>
    </w:p>
    <w:p>
      <w:pPr>
        <w:pStyle w:val="ListBullet"/>
        <w:widowControl/>
        <w:spacing w:after="50"/>
      </w:pPr>
      <w:r>
        <w:rPr>
          <w:rFonts w:ascii="Arial" w:hAnsi="Arial"/>
        </w:rPr>
        <w:t>Audit and PAC Observation Management</w:t>
      </w:r>
    </w:p>
    <w:p>
      <w:pPr>
        <w:pStyle w:val="ListBullet"/>
        <w:widowControl/>
        <w:spacing w:after="50"/>
      </w:pPr>
      <w:r>
        <w:rPr>
          <w:rFonts w:ascii="Arial" w:hAnsi="Arial"/>
        </w:rPr>
        <w:t>Litigation and Legal Exposure</w:t>
      </w:r>
    </w:p>
    <w:p>
      <w:pPr>
        <w:pStyle w:val="ListBullet"/>
        <w:widowControl/>
        <w:spacing w:after="50"/>
      </w:pPr>
      <w:r>
        <w:rPr>
          <w:rFonts w:ascii="Arial" w:hAnsi="Arial"/>
        </w:rPr>
        <w:t>Regulatory and Governance Compliance</w:t>
      </w:r>
    </w:p>
    <w:p>
      <w:pPr>
        <w:pStyle w:val="Heading2"/>
        <w:widowControl/>
      </w:pPr>
      <w:r>
        <w:t>Strategic Purpose</w:t>
      </w:r>
    </w:p>
    <w:p>
      <w:pPr>
        <w:widowControl/>
      </w:pPr>
      <w:r>
        <w:rPr>
          <w:rFonts w:ascii="Arial" w:hAnsi="Arial"/>
        </w:rPr>
        <w:t>Transform compliance and accountability matters from static documentation into trackable governance obligations.</w:t>
      </w:r>
    </w:p>
    <w:p>
      <w:pPr>
        <w:pStyle w:val="Heading1"/>
        <w:widowControl/>
      </w:pPr>
      <w:r>
        <w:t>13. Domain 6 - Industrial and Strategic Performance</w:t>
      </w:r>
    </w:p>
    <w:p>
      <w:pPr>
        <w:pStyle w:val="Heading2"/>
        <w:widowControl/>
      </w:pPr>
      <w:r>
        <w:t>Core Modules</w:t>
      </w:r>
    </w:p>
    <w:p>
      <w:pPr>
        <w:pStyle w:val="ListBullet"/>
        <w:widowControl/>
        <w:spacing w:after="50"/>
      </w:pPr>
      <w:r>
        <w:rPr>
          <w:rFonts w:ascii="Arial" w:hAnsi="Arial"/>
        </w:rPr>
        <w:t>Industrial Performance</w:t>
      </w:r>
    </w:p>
    <w:p>
      <w:pPr>
        <w:pStyle w:val="ListBullet"/>
        <w:widowControl/>
        <w:spacing w:after="50"/>
      </w:pPr>
      <w:r>
        <w:rPr>
          <w:rFonts w:ascii="Arial" w:hAnsi="Arial"/>
        </w:rPr>
        <w:t>Capacity Utilization</w:t>
      </w:r>
    </w:p>
    <w:p>
      <w:pPr>
        <w:pStyle w:val="ListBullet"/>
        <w:widowControl/>
        <w:spacing w:after="50"/>
      </w:pPr>
      <w:r>
        <w:rPr>
          <w:rFonts w:ascii="Arial" w:hAnsi="Arial"/>
        </w:rPr>
        <w:t>Production Monitoring</w:t>
      </w:r>
    </w:p>
    <w:p>
      <w:pPr>
        <w:pStyle w:val="ListBullet"/>
        <w:widowControl/>
        <w:spacing w:after="50"/>
      </w:pPr>
      <w:r>
        <w:rPr>
          <w:rFonts w:ascii="Arial" w:hAnsi="Arial"/>
        </w:rPr>
        <w:t>Export and Domestic Sales Performance</w:t>
      </w:r>
    </w:p>
    <w:p>
      <w:pPr>
        <w:pStyle w:val="ListBullet"/>
        <w:widowControl/>
        <w:spacing w:after="50"/>
      </w:pPr>
      <w:r>
        <w:rPr>
          <w:rFonts w:ascii="Arial" w:hAnsi="Arial"/>
        </w:rPr>
        <w:t>Employment Contribution</w:t>
      </w:r>
    </w:p>
    <w:p>
      <w:pPr>
        <w:pStyle w:val="ListBullet"/>
        <w:widowControl/>
        <w:spacing w:after="50"/>
      </w:pPr>
      <w:r>
        <w:rPr>
          <w:rFonts w:ascii="Arial" w:hAnsi="Arial"/>
        </w:rPr>
        <w:t>Energy and Carbon Indicators</w:t>
      </w:r>
    </w:p>
    <w:p>
      <w:pPr>
        <w:pStyle w:val="Heading2"/>
        <w:widowControl/>
      </w:pPr>
      <w:r>
        <w:t>Strategic Purpose</w:t>
      </w:r>
    </w:p>
    <w:p>
      <w:pPr>
        <w:widowControl/>
      </w:pPr>
      <w:r>
        <w:rPr>
          <w:rFonts w:ascii="Arial" w:hAnsi="Arial"/>
        </w:rPr>
        <w:t>Connect financial performance with actual industrial and economic contribution.</w:t>
      </w:r>
    </w:p>
    <w:p>
      <w:pPr>
        <w:pStyle w:val="Heading1"/>
        <w:widowControl/>
      </w:pPr>
      <w:r>
        <w:t>14. Domain 7 - Privatization and Transformation</w:t>
      </w:r>
    </w:p>
    <w:p>
      <w:pPr>
        <w:pStyle w:val="Heading2"/>
        <w:widowControl/>
      </w:pPr>
      <w:r>
        <w:t>Core Modules</w:t>
      </w:r>
    </w:p>
    <w:p>
      <w:pPr>
        <w:pStyle w:val="ListBullet"/>
        <w:widowControl/>
        <w:spacing w:after="50"/>
      </w:pPr>
      <w:r>
        <w:rPr>
          <w:rFonts w:ascii="Arial" w:hAnsi="Arial"/>
        </w:rPr>
        <w:t>Privatization Pipeline</w:t>
      </w:r>
    </w:p>
    <w:p>
      <w:pPr>
        <w:pStyle w:val="ListBullet"/>
        <w:widowControl/>
        <w:spacing w:after="50"/>
      </w:pPr>
      <w:r>
        <w:rPr>
          <w:rFonts w:ascii="Arial" w:hAnsi="Arial"/>
        </w:rPr>
        <w:t>Transaction Milestones</w:t>
      </w:r>
    </w:p>
    <w:p>
      <w:pPr>
        <w:pStyle w:val="ListBullet"/>
        <w:widowControl/>
        <w:spacing w:after="50"/>
      </w:pPr>
      <w:r>
        <w:rPr>
          <w:rFonts w:ascii="Arial" w:hAnsi="Arial"/>
        </w:rPr>
        <w:t>Valuation and Due Diligence</w:t>
      </w:r>
    </w:p>
    <w:p>
      <w:pPr>
        <w:pStyle w:val="ListBullet"/>
        <w:widowControl/>
        <w:spacing w:after="50"/>
      </w:pPr>
      <w:r>
        <w:rPr>
          <w:rFonts w:ascii="Arial" w:hAnsi="Arial"/>
        </w:rPr>
        <w:t>Approval Tracking</w:t>
      </w:r>
    </w:p>
    <w:p>
      <w:pPr>
        <w:pStyle w:val="ListBullet"/>
        <w:widowControl/>
        <w:spacing w:after="50"/>
      </w:pPr>
      <w:r>
        <w:rPr>
          <w:rFonts w:ascii="Arial" w:hAnsi="Arial"/>
        </w:rPr>
        <w:t>Post-Sale Monitoring</w:t>
      </w:r>
    </w:p>
    <w:p>
      <w:pPr>
        <w:pStyle w:val="Heading2"/>
        <w:widowControl/>
      </w:pPr>
      <w:r>
        <w:t>Strategic Purpose</w:t>
      </w:r>
    </w:p>
    <w:p>
      <w:pPr>
        <w:widowControl/>
      </w:pPr>
      <w:r>
        <w:rPr>
          <w:rFonts w:ascii="Arial" w:hAnsi="Arial"/>
        </w:rPr>
        <w:t>Convert privatization and restructuring activities into transparent, milestone-based processes.</w:t>
      </w:r>
    </w:p>
    <w:p>
      <w:pPr>
        <w:pStyle w:val="Heading1"/>
        <w:widowControl/>
      </w:pPr>
      <w:r>
        <w:t>15. Domain 8 - Evidence and Document Management</w:t>
      </w:r>
    </w:p>
    <w:p>
      <w:pPr>
        <w:pStyle w:val="Heading2"/>
        <w:widowControl/>
      </w:pPr>
      <w:r>
        <w:t>Core Modules</w:t>
      </w:r>
    </w:p>
    <w:p>
      <w:pPr>
        <w:pStyle w:val="ListBullet"/>
        <w:widowControl/>
        <w:spacing w:after="50"/>
      </w:pPr>
      <w:r>
        <w:rPr>
          <w:rFonts w:ascii="Arial" w:hAnsi="Arial"/>
        </w:rPr>
        <w:t>Document Repository</w:t>
      </w:r>
    </w:p>
    <w:p>
      <w:pPr>
        <w:pStyle w:val="ListBullet"/>
        <w:widowControl/>
        <w:spacing w:after="50"/>
      </w:pPr>
      <w:r>
        <w:rPr>
          <w:rFonts w:ascii="Arial" w:hAnsi="Arial"/>
        </w:rPr>
        <w:t>Evidence Linking</w:t>
      </w:r>
    </w:p>
    <w:p>
      <w:pPr>
        <w:pStyle w:val="ListBullet"/>
        <w:widowControl/>
        <w:spacing w:after="50"/>
      </w:pPr>
      <w:r>
        <w:rPr>
          <w:rFonts w:ascii="Arial" w:hAnsi="Arial"/>
        </w:rPr>
        <w:t>Document Versioning</w:t>
      </w:r>
    </w:p>
    <w:p>
      <w:pPr>
        <w:pStyle w:val="ListBullet"/>
        <w:widowControl/>
        <w:spacing w:after="50"/>
      </w:pPr>
      <w:r>
        <w:rPr>
          <w:rFonts w:ascii="Arial" w:hAnsi="Arial"/>
        </w:rPr>
        <w:t>Record-Level Attachments</w:t>
      </w:r>
    </w:p>
    <w:p>
      <w:pPr>
        <w:pStyle w:val="ListBullet"/>
        <w:widowControl/>
        <w:spacing w:after="50"/>
      </w:pPr>
      <w:r>
        <w:rPr>
          <w:rFonts w:ascii="Arial" w:hAnsi="Arial"/>
        </w:rPr>
        <w:t>Historical Document Archive</w:t>
      </w:r>
    </w:p>
    <w:p>
      <w:pPr>
        <w:pStyle w:val="Heading2"/>
        <w:widowControl/>
      </w:pPr>
      <w:r>
        <w:t>Strategic Purpose</w:t>
      </w:r>
    </w:p>
    <w:p>
      <w:pPr>
        <w:widowControl/>
      </w:pPr>
      <w:r>
        <w:rPr>
          <w:rFonts w:ascii="Arial" w:hAnsi="Arial"/>
        </w:rPr>
        <w:t>Ensure important data is supported by retrievable evidence and that records remain auditable over time.</w:t>
      </w:r>
    </w:p>
    <w:p>
      <w:pPr>
        <w:pStyle w:val="Heading1"/>
        <w:widowControl/>
      </w:pPr>
      <w:r>
        <w:t>16. Domain 9 - Reporting and Governance Workflow</w:t>
      </w:r>
    </w:p>
    <w:p>
      <w:pPr>
        <w:pStyle w:val="Heading2"/>
        <w:widowControl/>
      </w:pPr>
      <w:r>
        <w:t>Core Modules</w:t>
      </w:r>
    </w:p>
    <w:p>
      <w:pPr>
        <w:pStyle w:val="ListBullet"/>
        <w:widowControl/>
        <w:spacing w:after="50"/>
      </w:pPr>
      <w:r>
        <w:rPr>
          <w:rFonts w:ascii="Arial" w:hAnsi="Arial"/>
        </w:rPr>
        <w:t>Reporting Cycle Management</w:t>
      </w:r>
    </w:p>
    <w:p>
      <w:pPr>
        <w:pStyle w:val="ListBullet"/>
        <w:widowControl/>
        <w:spacing w:after="50"/>
      </w:pPr>
      <w:r>
        <w:rPr>
          <w:rFonts w:ascii="Arial" w:hAnsi="Arial"/>
        </w:rPr>
        <w:t>Submission Management</w:t>
      </w:r>
    </w:p>
    <w:p>
      <w:pPr>
        <w:pStyle w:val="ListBullet"/>
        <w:widowControl/>
        <w:spacing w:after="50"/>
      </w:pPr>
      <w:r>
        <w:rPr>
          <w:rFonts w:ascii="Arial" w:hAnsi="Arial"/>
        </w:rPr>
        <w:t>Review and Approval</w:t>
      </w:r>
    </w:p>
    <w:p>
      <w:pPr>
        <w:pStyle w:val="ListBullet"/>
        <w:widowControl/>
        <w:spacing w:after="50"/>
      </w:pPr>
      <w:r>
        <w:rPr>
          <w:rFonts w:ascii="Arial" w:hAnsi="Arial"/>
        </w:rPr>
        <w:t>CEO/CFO Certification</w:t>
      </w:r>
    </w:p>
    <w:p>
      <w:pPr>
        <w:pStyle w:val="ListBullet"/>
        <w:widowControl/>
        <w:spacing w:after="50"/>
      </w:pPr>
      <w:r>
        <w:rPr>
          <w:rFonts w:ascii="Arial" w:hAnsi="Arial"/>
        </w:rPr>
        <w:t>Digital Sign-Off</w:t>
      </w:r>
    </w:p>
    <w:p>
      <w:pPr>
        <w:pStyle w:val="ListBullet"/>
        <w:widowControl/>
        <w:spacing w:after="50"/>
      </w:pPr>
      <w:r>
        <w:rPr>
          <w:rFonts w:ascii="Arial" w:hAnsi="Arial"/>
        </w:rPr>
        <w:t>Query and Clarification Management</w:t>
      </w:r>
    </w:p>
    <w:p>
      <w:pPr>
        <w:pStyle w:val="ListBullet"/>
        <w:widowControl/>
        <w:spacing w:after="50"/>
      </w:pPr>
      <w:r>
        <w:rPr>
          <w:rFonts w:ascii="Arial" w:hAnsi="Arial"/>
        </w:rPr>
        <w:t>Tasks and Obligations</w:t>
      </w:r>
    </w:p>
    <w:p>
      <w:pPr>
        <w:pStyle w:val="ListBullet"/>
        <w:widowControl/>
        <w:spacing w:after="50"/>
      </w:pPr>
      <w:r>
        <w:rPr>
          <w:rFonts w:ascii="Arial" w:hAnsi="Arial"/>
        </w:rPr>
        <w:t>Notifications and Escalations</w:t>
      </w:r>
    </w:p>
    <w:p>
      <w:pPr>
        <w:pStyle w:val="ListBullet"/>
        <w:widowControl/>
        <w:spacing w:after="50"/>
      </w:pPr>
      <w:r>
        <w:rPr>
          <w:rFonts w:ascii="Arial" w:hAnsi="Arial"/>
        </w:rPr>
        <w:t>Version History and Audit Trail</w:t>
      </w:r>
    </w:p>
    <w:p>
      <w:pPr>
        <w:pStyle w:val="Heading2"/>
        <w:widowControl/>
      </w:pPr>
      <w:r>
        <w:t>Strategic Purpose</w:t>
      </w:r>
    </w:p>
    <w:p>
      <w:pPr>
        <w:widowControl/>
      </w:pPr>
      <w:r>
        <w:rPr>
          <w:rFonts w:ascii="Arial" w:hAnsi="Arial"/>
        </w:rPr>
        <w:t>Ensure that data entered into the platform becomes an official government record through a controlled governance process.</w:t>
      </w:r>
    </w:p>
    <w:p>
      <w:pPr>
        <w:pStyle w:val="Heading1"/>
        <w:widowControl/>
      </w:pPr>
      <w:r>
        <w:t>17. Domain 10 - Intelligence and Decision Support</w:t>
      </w:r>
    </w:p>
    <w:p>
      <w:pPr>
        <w:pStyle w:val="Heading2"/>
        <w:widowControl/>
      </w:pPr>
      <w:r>
        <w:t>Core Modules</w:t>
      </w:r>
    </w:p>
    <w:p>
      <w:pPr>
        <w:pStyle w:val="ListBullet"/>
        <w:widowControl/>
        <w:spacing w:after="50"/>
      </w:pPr>
      <w:r>
        <w:rPr>
          <w:rFonts w:ascii="Arial" w:hAnsi="Arial"/>
        </w:rPr>
        <w:t>Executive Dashboards</w:t>
      </w:r>
    </w:p>
    <w:p>
      <w:pPr>
        <w:pStyle w:val="ListBullet"/>
        <w:widowControl/>
        <w:spacing w:after="50"/>
      </w:pPr>
      <w:r>
        <w:rPr>
          <w:rFonts w:ascii="Arial" w:hAnsi="Arial"/>
        </w:rPr>
        <w:t>KPI Engine</w:t>
      </w:r>
    </w:p>
    <w:p>
      <w:pPr>
        <w:pStyle w:val="ListBullet"/>
        <w:widowControl/>
        <w:spacing w:after="50"/>
      </w:pPr>
      <w:r>
        <w:rPr>
          <w:rFonts w:ascii="Arial" w:hAnsi="Arial"/>
        </w:rPr>
        <w:t>SOE Performance Scorecards</w:t>
      </w:r>
    </w:p>
    <w:p>
      <w:pPr>
        <w:pStyle w:val="ListBullet"/>
        <w:widowControl/>
        <w:spacing w:after="50"/>
      </w:pPr>
      <w:r>
        <w:rPr>
          <w:rFonts w:ascii="Arial" w:hAnsi="Arial"/>
        </w:rPr>
        <w:t>Risk Intelligence</w:t>
      </w:r>
    </w:p>
    <w:p>
      <w:pPr>
        <w:pStyle w:val="ListBullet"/>
        <w:widowControl/>
        <w:spacing w:after="50"/>
      </w:pPr>
      <w:r>
        <w:rPr>
          <w:rFonts w:ascii="Arial" w:hAnsi="Arial"/>
        </w:rPr>
        <w:t>Early Warning</w:t>
      </w:r>
    </w:p>
    <w:p>
      <w:pPr>
        <w:pStyle w:val="ListBullet"/>
        <w:widowControl/>
        <w:spacing w:after="50"/>
      </w:pPr>
      <w:r>
        <w:rPr>
          <w:rFonts w:ascii="Arial" w:hAnsi="Arial"/>
        </w:rPr>
        <w:t>Cross-SOE Benchmarking</w:t>
      </w:r>
    </w:p>
    <w:p>
      <w:pPr>
        <w:pStyle w:val="ListBullet"/>
        <w:widowControl/>
        <w:spacing w:after="50"/>
      </w:pPr>
      <w:r>
        <w:rPr>
          <w:rFonts w:ascii="Arial" w:hAnsi="Arial"/>
        </w:rPr>
        <w:t>Asset Utilization Intelligence</w:t>
      </w:r>
    </w:p>
    <w:p>
      <w:pPr>
        <w:pStyle w:val="ListBullet"/>
        <w:widowControl/>
        <w:spacing w:after="50"/>
      </w:pPr>
      <w:r>
        <w:rPr>
          <w:rFonts w:ascii="Arial" w:hAnsi="Arial"/>
        </w:rPr>
        <w:t>Advanced Search</w:t>
      </w:r>
    </w:p>
    <w:p>
      <w:pPr>
        <w:pStyle w:val="ListBullet"/>
        <w:widowControl/>
        <w:spacing w:after="50"/>
      </w:pPr>
      <w:r>
        <w:rPr>
          <w:rFonts w:ascii="Arial" w:hAnsi="Arial"/>
        </w:rPr>
        <w:t>Executive Reporting</w:t>
      </w:r>
    </w:p>
    <w:p>
      <w:pPr>
        <w:pStyle w:val="ListBullet"/>
        <w:widowControl/>
        <w:spacing w:after="50"/>
      </w:pPr>
      <w:r>
        <w:rPr>
          <w:rFonts w:ascii="Arial" w:hAnsi="Arial"/>
        </w:rPr>
        <w:t>Scenario Analysis</w:t>
      </w:r>
    </w:p>
    <w:p>
      <w:pPr>
        <w:pStyle w:val="Heading2"/>
        <w:widowControl/>
      </w:pPr>
      <w:r>
        <w:t>Strategic Purpose</w:t>
      </w:r>
    </w:p>
    <w:p>
      <w:pPr>
        <w:widowControl/>
      </w:pPr>
      <w:r>
        <w:rPr>
          <w:rFonts w:ascii="Arial" w:hAnsi="Arial"/>
        </w:rPr>
        <w:t>Convert standardized SOE information into actionable intelligence for decision-makers.</w:t>
      </w:r>
    </w:p>
    <w:p>
      <w:pPr>
        <w:pStyle w:val="Heading1"/>
        <w:widowControl/>
      </w:pPr>
      <w:r>
        <w:t>18. Proposed Data Input Model</w:t>
      </w:r>
    </w:p>
    <w:p>
      <w:pPr>
        <w:widowControl/>
      </w:pPr>
      <w:r>
        <w:rPr>
          <w:rFonts w:ascii="Arial" w:hAnsi="Arial"/>
        </w:rPr>
        <w:t>The initial system should operate independently of external government APIs. Data capture should follow a hybrid model so that low-volume governance information, high-volume operational data and supporting evidence can be handled appropriately.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Input Channel</w:t>
            </w:r>
          </w:p>
        </w:tc>
        <w:tc>
          <w:tcPr>
            <w:tcW w:type="dxa" w:w="4608"/>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Best Suited For</w:t>
            </w:r>
          </w:p>
        </w:tc>
        <w:tc>
          <w:tcPr>
            <w:tcW w:type="dxa" w:w="3024"/>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Initial Role</w:t>
            </w:r>
          </w:p>
        </w:tc>
      </w:tr>
      <w:tr>
        <w:tc>
          <w:tcPr>
            <w:tcW w:type="dxa" w:w="223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Manual Structured Forms</w:t>
            </w:r>
          </w:p>
        </w:tc>
        <w:tc>
          <w:tcPr>
            <w:tcW w:type="dxa" w:w="46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Company profile, Board records, litigation, compliance, ownership and privatization stages</w:t>
            </w:r>
          </w:p>
        </w:tc>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Primary input for judgement-based and low-volume records</w:t>
            </w:r>
          </w:p>
        </w:tc>
      </w:tr>
      <w:tr>
        <w:tc>
          <w:tcPr>
            <w:tcW w:type="dxa" w:w="223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Standard Excel / CSV Upload</w:t>
            </w:r>
          </w:p>
        </w:tc>
        <w:tc>
          <w:tcPr>
            <w:tcW w:type="dxa" w:w="46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Employees, assets, machinery, vehicles, procurement, loans and audit observations</w:t>
            </w:r>
          </w:p>
        </w:tc>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Primary input for repetitive high-volume datasets</w:t>
            </w:r>
          </w:p>
        </w:tc>
      </w:tr>
      <w:tr>
        <w:tc>
          <w:tcPr>
            <w:tcW w:type="dxa" w:w="223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Document Upload</w:t>
            </w:r>
          </w:p>
        </w:tc>
        <w:tc>
          <w:tcPr>
            <w:tcW w:type="dxa" w:w="460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Audited accounts, property documents, notifications, court orders, valuation and audit reports</w:t>
            </w:r>
          </w:p>
        </w:tc>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Evidence and supporting records</w:t>
            </w:r>
          </w:p>
        </w:tc>
      </w:tr>
      <w:tr>
        <w:tc>
          <w:tcPr>
            <w:tcW w:type="dxa" w:w="223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Baseline Data Migration</w:t>
            </w:r>
          </w:p>
        </w:tc>
        <w:tc>
          <w:tcPr>
            <w:tcW w:type="dxa" w:w="460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Existing SOE records at initial onboarding</w:t>
            </w:r>
          </w:p>
        </w:tc>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One-time transition into the standardized platform</w:t>
            </w:r>
          </w:p>
        </w:tc>
      </w:tr>
    </w:tbl>
    <w:p>
      <w:pPr>
        <w:widowControl/>
        <w:spacing w:after="40"/>
      </w:pPr>
    </w:p>
    <w:p>
      <w:pPr>
        <w:pStyle w:val="Heading2"/>
        <w:widowControl/>
      </w:pPr>
      <w:r>
        <w:t>18.1 Baseline Migration Process</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c>
          <w:tcPr>
            <w:tcW w:type="dxa" w:w="1430"/>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Data Collection</w:t>
            </w:r>
          </w:p>
        </w:tc>
        <w:tc>
          <w:tcPr>
            <w:tcW w:type="dxa" w:w="1430"/>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Mapping</w:t>
            </w:r>
          </w:p>
        </w:tc>
        <w:tc>
          <w:tcPr>
            <w:tcW w:type="dxa" w:w="1430"/>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Cleaning</w:t>
            </w:r>
          </w:p>
        </w:tc>
        <w:tc>
          <w:tcPr>
            <w:tcW w:type="dxa" w:w="1430"/>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Import</w:t>
            </w:r>
          </w:p>
        </w:tc>
        <w:tc>
          <w:tcPr>
            <w:tcW w:type="dxa" w:w="1430"/>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Validation</w:t>
            </w:r>
          </w:p>
        </w:tc>
        <w:tc>
          <w:tcPr>
            <w:tcW w:type="dxa" w:w="1430"/>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SOE Verification</w:t>
            </w:r>
          </w:p>
        </w:tc>
        <w:tc>
          <w:tcPr>
            <w:tcW w:type="dxa" w:w="1430"/>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Baseline Approval</w:t>
            </w:r>
          </w:p>
        </w:tc>
      </w:tr>
    </w:tbl>
    <w:p>
      <w:pPr>
        <w:widowControl/>
        <w:spacing w:after="40"/>
      </w:pPr>
    </w:p>
    <w:p>
      <w:pPr>
        <w:widowControl/>
      </w:pPr>
      <w:r>
        <w:rPr>
          <w:rFonts w:ascii="Arial" w:hAnsi="Arial"/>
        </w:rPr>
        <w:t>The system should support future exception-based updating so SOEs can carry forward valid information and update only additions, disposals, changes or corrections instead of repeatedly recreating full datasets.</w:t>
      </w:r>
    </w:p>
    <w:p>
      <w:pPr>
        <w:widowControl/>
      </w:pPr>
      <w:r>
        <w:br w:type="page"/>
      </w:r>
    </w:p>
    <w:p>
      <w:pPr>
        <w:pStyle w:val="Heading1"/>
        <w:widowControl/>
      </w:pPr>
      <w:r>
        <w:t>19. Proposed End-to-End Workflow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Step</w:t>
            </w:r>
          </w:p>
        </w:tc>
        <w:tc>
          <w:tcPr>
            <w:tcW w:type="dxa" w:w="3096"/>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Stage</w:t>
            </w:r>
          </w:p>
        </w:tc>
        <w:tc>
          <w:tcPr>
            <w:tcW w:type="dxa" w:w="5976"/>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Outcome</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1</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Registration</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Each enterprise receives a unique system identity.</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2</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User &amp; Responsibility Assignment</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Users are assigned according to function and organizational responsibility.</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3</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Reporting Period Activation</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Ministry opens monthly, quarterly, annual or special reporting cycles.</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4</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Data Preparation</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departments prepare assigned information through forms, uploads and documents.</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5</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Validation</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System-based checks assess completeness, formatting, consistency and unusual changes.</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6</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Evidence Attachment</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Required supporting documents are linked to relevant records.</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7</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Internal SOE Review</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focal person verifies completeness across functions.</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8</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CEO / CFO Certification</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Designated senior officials formally certify the submission where applicable.</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9</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MoIP Review</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relevant Ministry Wing reviews submitted information.</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10</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Clarification / Return</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Specific records may be returned for clarification or correction.</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11</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Approval</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Validated submissions are formally approved.</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12</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Historical Locking</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Approved records are preserved as historical versions.</w:t>
            </w:r>
          </w:p>
        </w:tc>
      </w:tr>
      <w:tr>
        <w:tc>
          <w:tcPr>
            <w:tcW w:type="dxa" w:w="792"/>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13</w:t>
            </w:r>
          </w:p>
        </w:tc>
        <w:tc>
          <w:tcPr>
            <w:tcW w:type="dxa" w:w="309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Intelligence Processing</w:t>
            </w:r>
          </w:p>
        </w:tc>
        <w:tc>
          <w:tcPr>
            <w:tcW w:type="dxa" w:w="597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Approved data feeds dashboards, KPIs, risk indicators and analytical models.</w:t>
            </w:r>
          </w:p>
        </w:tc>
      </w:tr>
      <w:tr>
        <w:tc>
          <w:tcPr>
            <w:tcW w:type="dxa" w:w="792"/>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14</w:t>
            </w:r>
          </w:p>
        </w:tc>
        <w:tc>
          <w:tcPr>
            <w:tcW w:type="dxa" w:w="309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Continuous Monitoring</w:t>
            </w:r>
          </w:p>
        </w:tc>
        <w:tc>
          <w:tcPr>
            <w:tcW w:type="dxa" w:w="597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platform generates alerts and tasks for deadlines, obligations and significant risk events.</w:t>
            </w:r>
          </w:p>
        </w:tc>
      </w:tr>
    </w:tbl>
    <w:p>
      <w:pPr>
        <w:widowControl/>
        <w:spacing w:after="40"/>
      </w:pPr>
    </w:p>
    <w:tbl>
      <w:tblPr>
        <w:tblW w:type="auto" w:w="0"/>
        <w:jc w:val="center"/>
        <w:tblLayout w:type="fixed"/>
        <w:tblLook w:firstColumn="1" w:firstRow="1" w:lastColumn="0" w:lastRow="0" w:noHBand="0" w:noVBand="1" w:val="04A0"/>
      </w:tblPr>
      <w:tblGrid>
        <w:gridCol w:w="10008"/>
      </w:tblGrid>
      <w:tr>
        <w:tc>
          <w:tcPr>
            <w:tcW w:type="dxa" w:w="10166"/>
            <w:shd w:fill="EEF3F8"/>
            <w:tcMar>
              <w:top w:w="150" w:type="dxa"/>
              <w:start w:w="180" w:type="dxa"/>
              <w:bottom w:w="150" w:type="dxa"/>
              <w:end w:w="180" w:type="dxa"/>
            </w:tcMar>
            <w:tcBorders>
              <w:top w:val="nil"/>
              <w:left w:val="single" w:sz="18" w:color="163B5C"/>
              <w:bottom w:val="nil"/>
              <w:right w:val="nil"/>
            </w:tcBorders>
          </w:tcPr>
          <w:p>
            <w:pPr>
              <w:spacing w:after="60"/>
            </w:pPr>
            <w:r>
              <w:rPr>
                <w:rFonts w:ascii="Arial" w:hAnsi="Arial"/>
                <w:b/>
                <w:color w:val="163B5C"/>
                <w:sz w:val="22"/>
              </w:rPr>
              <w:t>Governance Principle</w:t>
            </w:r>
          </w:p>
          <w:p>
            <w:pPr>
              <w:spacing w:after="0"/>
            </w:pPr>
            <w:r>
              <w:rPr>
                <w:rFonts w:ascii="Arial" w:hAnsi="Arial"/>
                <w:color w:val="23313F"/>
                <w:sz w:val="19"/>
              </w:rPr>
              <w:t>Executive dashboards should consume governed data. A record should not become an authoritative executive metric merely because a user entered or uploaded it.</w:t>
            </w:r>
          </w:p>
        </w:tc>
      </w:tr>
    </w:tbl>
    <w:p>
      <w:pPr>
        <w:widowControl/>
        <w:spacing w:after="20"/>
      </w:pPr>
    </w:p>
    <w:p>
      <w:pPr>
        <w:pStyle w:val="Heading1"/>
        <w:widowControl/>
      </w:pPr>
      <w:r>
        <w:t>20. Proposed Dashboard Framework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Dashboard</w:t>
            </w:r>
          </w:p>
        </w:tc>
        <w:tc>
          <w:tcPr>
            <w:tcW w:type="dxa" w:w="6984"/>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Primary Focus</w:t>
            </w:r>
          </w:p>
        </w:tc>
      </w:tr>
      <w:tr>
        <w:tc>
          <w:tcPr>
            <w:tcW w:type="dxa" w:w="28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Dashboard</w:t>
            </w:r>
          </w:p>
        </w:tc>
        <w:tc>
          <w:tcPr>
            <w:tcW w:type="dxa" w:w="698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Submission status, missing information, returned items, pending certification, deadlines and data quality</w:t>
            </w:r>
          </w:p>
        </w:tc>
      </w:tr>
      <w:tr>
        <w:tc>
          <w:tcPr>
            <w:tcW w:type="dxa" w:w="288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MoIP Oversight Dashboard</w:t>
            </w:r>
          </w:p>
        </w:tc>
        <w:tc>
          <w:tcPr>
            <w:tcW w:type="dxa" w:w="698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submissions, overdue reporting, data quality concerns, governance gaps, financial deterioration and required reviews</w:t>
            </w:r>
          </w:p>
        </w:tc>
      </w:tr>
      <w:tr>
        <w:tc>
          <w:tcPr>
            <w:tcW w:type="dxa" w:w="28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Secretary Dashboard</w:t>
            </w:r>
          </w:p>
        </w:tc>
        <w:tc>
          <w:tcPr>
            <w:tcW w:type="dxa" w:w="698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Exceptions, overdue obligations, escalations, audit matters, loan repayments, Board vacancies and administrative interventions</w:t>
            </w:r>
          </w:p>
        </w:tc>
      </w:tr>
      <w:tr>
        <w:tc>
          <w:tcPr>
            <w:tcW w:type="dxa" w:w="288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Minister Dashboard</w:t>
            </w:r>
          </w:p>
        </w:tc>
        <w:tc>
          <w:tcPr>
            <w:tcW w:type="dxa" w:w="698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Portfolio health, government investment, assets, financial performance, fiscal exposure, governance risk, litigation, privatization and strategic asset opportunities</w:t>
            </w:r>
          </w:p>
        </w:tc>
      </w:tr>
      <w:tr>
        <w:tc>
          <w:tcPr>
            <w:tcW w:type="dxa" w:w="28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Strategic National View</w:t>
            </w:r>
          </w:p>
        </w:tc>
        <w:tc>
          <w:tcPr>
            <w:tcW w:type="dxa" w:w="698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Government capital employed, aggregate public asset value, fiscal burden, industrial output, employment, exports, privatization potential and contingent liabilities</w:t>
            </w:r>
          </w:p>
        </w:tc>
      </w:tr>
    </w:tbl>
    <w:p>
      <w:pPr>
        <w:widowControl/>
        <w:spacing w:after="40"/>
      </w:pPr>
    </w:p>
    <w:p>
      <w:pPr>
        <w:pStyle w:val="Heading1"/>
        <w:widowControl/>
      </w:pPr>
      <w:r>
        <w:t>21. Key Differentiating Features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Differentiator</w:t>
            </w:r>
          </w:p>
        </w:tc>
        <w:tc>
          <w:tcPr>
            <w:tcW w:type="dxa" w:w="684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Value</w:t>
            </w:r>
          </w:p>
        </w:tc>
      </w:tr>
      <w:tr>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Evidence-Based Data</w:t>
            </w:r>
          </w:p>
        </w:tc>
        <w:tc>
          <w:tcPr>
            <w:tcW w:type="dxa" w:w="684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Important records are directly linked to supporting evidence.</w:t>
            </w:r>
          </w:p>
        </w:tc>
      </w:tr>
      <w:tr>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Data Lineage</w:t>
            </w:r>
          </w:p>
        </w:tc>
        <w:tc>
          <w:tcPr>
            <w:tcW w:type="dxa" w:w="684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Executive KPIs can be traced to underlying approved records.</w:t>
            </w:r>
          </w:p>
        </w:tc>
      </w:tr>
      <w:tr>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Historical Versioning</w:t>
            </w:r>
          </w:p>
        </w:tc>
        <w:tc>
          <w:tcPr>
            <w:tcW w:type="dxa" w:w="684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Prior values are preserved instead of overwriting important government information.</w:t>
            </w:r>
          </w:p>
        </w:tc>
      </w:tr>
      <w:tr>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Governance Workflow</w:t>
            </w:r>
          </w:p>
        </w:tc>
        <w:tc>
          <w:tcPr>
            <w:tcW w:type="dxa" w:w="684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Information passes through submission, certification, review and approval before being treated as official.</w:t>
            </w:r>
          </w:p>
        </w:tc>
      </w:tr>
      <w:tr>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Early Warning</w:t>
            </w:r>
          </w:p>
        </w:tc>
        <w:tc>
          <w:tcPr>
            <w:tcW w:type="dxa" w:w="684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system proactively identifies emerging financial, governance, compliance, legal and operational risks.</w:t>
            </w:r>
          </w:p>
        </w:tc>
      </w:tr>
      <w:tr>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National Industrial Asset Intelligence</w:t>
            </w:r>
          </w:p>
        </w:tc>
        <w:tc>
          <w:tcPr>
            <w:tcW w:type="dxa" w:w="684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GIS and structured asset data identify underutilized, idle, encroached and potentially valuable assets.</w:t>
            </w:r>
          </w:p>
        </w:tc>
      </w:tr>
      <w:tr>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Cross-SOE Benchmarking</w:t>
            </w:r>
          </w:p>
        </w:tc>
        <w:tc>
          <w:tcPr>
            <w:tcW w:type="dxa" w:w="684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Standardized indicators enable comparison across SOEs and sectors.</w:t>
            </w:r>
          </w:p>
        </w:tc>
      </w:tr>
      <w:tr>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Enterprise Timeline</w:t>
            </w:r>
          </w:p>
        </w:tc>
        <w:tc>
          <w:tcPr>
            <w:tcW w:type="dxa" w:w="684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Major events, approvals, changes and risk developments are preserved chronologically for institutional memory.</w:t>
            </w:r>
          </w:p>
        </w:tc>
      </w:tr>
      <w:tr>
        <w:tc>
          <w:tcPr>
            <w:tcW w:type="dxa" w:w="302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Role-Specific Intelligence</w:t>
            </w:r>
          </w:p>
        </w:tc>
        <w:tc>
          <w:tcPr>
            <w:tcW w:type="dxa" w:w="684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same underlying data produces different experiences for operational, oversight and executive users.</w:t>
            </w:r>
          </w:p>
        </w:tc>
      </w:tr>
      <w:tr>
        <w:tc>
          <w:tcPr>
            <w:tcW w:type="dxa" w:w="302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Decision Support</w:t>
            </w:r>
          </w:p>
        </w:tc>
        <w:tc>
          <w:tcPr>
            <w:tcW w:type="dxa" w:w="684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The platform progressively supports evidence-based consideration of restructuring, privatization, merger, investment and asset monetization options.</w:t>
            </w:r>
          </w:p>
        </w:tc>
      </w:tr>
    </w:tbl>
    <w:p>
      <w:pPr>
        <w:widowControl/>
        <w:spacing w:after="40"/>
      </w:pPr>
    </w:p>
    <w:p>
      <w:pPr>
        <w:widowControl/>
      </w:pPr>
      <w:r>
        <w:br w:type="page"/>
      </w:r>
    </w:p>
    <w:p>
      <w:pPr>
        <w:pStyle w:val="Heading1"/>
        <w:widowControl/>
      </w:pPr>
      <w:r>
        <w:t>22. High-Level Technical Architecture</w:t>
      </w:r>
    </w:p>
    <w:p>
      <w:pPr>
        <w:widowControl/>
      </w:pPr>
      <w:r>
        <w:rPr>
          <w:rFonts w:ascii="Arial" w:hAnsi="Arial"/>
        </w:rPr>
        <w:t>The recommended initial architecture is a modular enterprise platform rather than a collection of disconnected applications. External systems are not required for the initial product to function.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Layer</w:t>
            </w:r>
          </w:p>
        </w:tc>
        <w:tc>
          <w:tcPr>
            <w:tcW w:type="dxa" w:w="756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Primary Components</w:t>
            </w:r>
          </w:p>
        </w:tc>
      </w:tr>
      <w:tr>
        <w:tc>
          <w:tcPr>
            <w:tcW w:type="dxa" w:w="230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Presentation Layer</w:t>
            </w:r>
          </w:p>
        </w:tc>
        <w:tc>
          <w:tcPr>
            <w:tcW w:type="dxa" w:w="75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SOE Portal, MoIP Oversight Portal and Executive Intelligence Portal</w:t>
            </w:r>
          </w:p>
        </w:tc>
      </w:tr>
      <w:tr>
        <w:tc>
          <w:tcPr>
            <w:tcW w:type="dxa" w:w="230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Application Layer</w:t>
            </w:r>
          </w:p>
        </w:tc>
        <w:tc>
          <w:tcPr>
            <w:tcW w:type="dxa" w:w="75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Business modules, workflow, certification, task management, validation and reporting</w:t>
            </w:r>
          </w:p>
        </w:tc>
      </w:tr>
      <w:tr>
        <w:tc>
          <w:tcPr>
            <w:tcW w:type="dxa" w:w="2304"/>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Data Layer</w:t>
            </w:r>
          </w:p>
        </w:tc>
        <w:tc>
          <w:tcPr>
            <w:tcW w:type="dxa" w:w="756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Relational database, geospatial database, document storage, historical records and audit trail</w:t>
            </w:r>
          </w:p>
        </w:tc>
      </w:tr>
      <w:tr>
        <w:tc>
          <w:tcPr>
            <w:tcW w:type="dxa" w:w="2304"/>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Intelligence Layer</w:t>
            </w:r>
          </w:p>
        </w:tc>
        <w:tc>
          <w:tcPr>
            <w:tcW w:type="dxa" w:w="756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KPIs, dashboards, risk indicators, GIS analytics, scorecards, early warning and reporting</w:t>
            </w:r>
          </w:p>
        </w:tc>
      </w:tr>
    </w:tbl>
    <w:p>
      <w:pPr>
        <w:widowControl/>
        <w:spacing w:after="40"/>
      </w:pPr>
    </w:p>
    <w:tbl>
      <w:tblPr>
        <w:tblW w:type="auto" w:w="0"/>
        <w:jc w:val="center"/>
        <w:tblLayout w:type="fixed"/>
        <w:tblLook w:firstColumn="1" w:firstRow="1" w:lastColumn="0" w:lastRow="0" w:noHBand="0" w:noVBand="1" w:val="04A0"/>
      </w:tblPr>
      <w:tblGrid>
        <w:gridCol w:w="10008"/>
      </w:tblGrid>
      <w:tr>
        <w:tc>
          <w:tcPr>
            <w:tcW w:type="dxa" w:w="10166"/>
            <w:shd w:fill="EEF4F2"/>
            <w:tcMar>
              <w:top w:w="150" w:type="dxa"/>
              <w:start w:w="180" w:type="dxa"/>
              <w:bottom w:w="150" w:type="dxa"/>
              <w:end w:w="180" w:type="dxa"/>
            </w:tcMar>
            <w:tcBorders>
              <w:top w:val="nil"/>
              <w:left w:val="single" w:sz="18" w:color="2F7D68"/>
              <w:bottom w:val="nil"/>
              <w:right w:val="nil"/>
            </w:tcBorders>
          </w:tcPr>
          <w:p>
            <w:pPr>
              <w:spacing w:after="60"/>
            </w:pPr>
            <w:r>
              <w:rPr>
                <w:rFonts w:ascii="Arial" w:hAnsi="Arial"/>
                <w:b/>
                <w:color w:val="2F7D68"/>
                <w:sz w:val="22"/>
              </w:rPr>
              <w:t>Architecture Principle</w:t>
            </w:r>
          </w:p>
          <w:p>
            <w:pPr>
              <w:spacing w:after="0"/>
            </w:pPr>
            <w:r>
              <w:rPr>
                <w:rFonts w:ascii="Arial" w:hAnsi="Arial"/>
                <w:color w:val="23313F"/>
                <w:sz w:val="19"/>
              </w:rPr>
              <w:t>Centralized authoritative data, decentralized departmental input, controlled governance workflows and a separate intelligence layer.</w:t>
            </w:r>
          </w:p>
        </w:tc>
      </w:tr>
    </w:tbl>
    <w:p>
      <w:pPr>
        <w:widowControl/>
        <w:spacing w:after="20"/>
      </w:pPr>
    </w:p>
    <w:p>
      <w:pPr>
        <w:pStyle w:val="Heading1"/>
        <w:widowControl/>
      </w:pPr>
      <w:r>
        <w:t>23. External Government Integrations - Future Phase</w:t>
      </w:r>
    </w:p>
    <w:p>
      <w:pPr>
        <w:widowControl/>
      </w:pPr>
      <w:r>
        <w:rPr>
          <w:rFonts w:ascii="Arial" w:hAnsi="Arial"/>
        </w:rPr>
        <w:t>External API integrations should be treated as a separate post-development phase. The initial platform must operate fully through structured manual entry, standardized bulk upload, document submission and controlled baseline migration.</w:t>
      </w:r>
    </w:p>
    <w:p>
      <w:pPr>
        <w:widowControl/>
      </w:pPr>
      <w:r>
        <w:rPr>
          <w:rFonts w:ascii="Arial" w:hAnsi="Arial"/>
        </w:rPr>
        <w:t>Potential future interoperability may include relevant systems maintained by:</w:t>
      </w:r>
    </w:p>
    <w:p>
      <w:pPr>
        <w:pStyle w:val="ListBullet"/>
        <w:widowControl/>
        <w:spacing w:after="50"/>
      </w:pPr>
      <w:r>
        <w:rPr>
          <w:rFonts w:ascii="Arial" w:hAnsi="Arial"/>
        </w:rPr>
        <w:t>SECP</w:t>
      </w:r>
    </w:p>
    <w:p>
      <w:pPr>
        <w:pStyle w:val="ListBullet"/>
        <w:widowControl/>
        <w:spacing w:after="50"/>
      </w:pPr>
      <w:r>
        <w:rPr>
          <w:rFonts w:ascii="Arial" w:hAnsi="Arial"/>
        </w:rPr>
        <w:t>FBR</w:t>
      </w:r>
    </w:p>
    <w:p>
      <w:pPr>
        <w:pStyle w:val="ListBullet"/>
        <w:widowControl/>
        <w:spacing w:after="50"/>
      </w:pPr>
      <w:r>
        <w:rPr>
          <w:rFonts w:ascii="Arial" w:hAnsi="Arial"/>
        </w:rPr>
        <w:t>AGPR</w:t>
      </w:r>
    </w:p>
    <w:p>
      <w:pPr>
        <w:pStyle w:val="ListBullet"/>
        <w:widowControl/>
        <w:spacing w:after="50"/>
      </w:pPr>
      <w:r>
        <w:rPr>
          <w:rFonts w:ascii="Arial" w:hAnsi="Arial"/>
        </w:rPr>
        <w:t>Auditor General</w:t>
      </w:r>
    </w:p>
    <w:p>
      <w:pPr>
        <w:pStyle w:val="ListBullet"/>
        <w:widowControl/>
        <w:spacing w:after="50"/>
      </w:pPr>
      <w:r>
        <w:rPr>
          <w:rFonts w:ascii="Arial" w:hAnsi="Arial"/>
        </w:rPr>
        <w:t>PPRA</w:t>
      </w:r>
    </w:p>
    <w:p>
      <w:pPr>
        <w:pStyle w:val="ListBullet"/>
        <w:widowControl/>
        <w:spacing w:after="50"/>
      </w:pPr>
      <w:r>
        <w:rPr>
          <w:rFonts w:ascii="Arial" w:hAnsi="Arial"/>
        </w:rPr>
        <w:t>Privatization Commission</w:t>
      </w:r>
    </w:p>
    <w:p>
      <w:pPr>
        <w:pStyle w:val="ListBullet"/>
        <w:widowControl/>
        <w:spacing w:after="50"/>
      </w:pPr>
      <w:r>
        <w:rPr>
          <w:rFonts w:ascii="Arial" w:hAnsi="Arial"/>
        </w:rPr>
        <w:t>Pakistan Bureau of Statistics</w:t>
      </w:r>
    </w:p>
    <w:p>
      <w:pPr>
        <w:pStyle w:val="ListBullet"/>
        <w:widowControl/>
        <w:spacing w:after="50"/>
      </w:pPr>
      <w:r>
        <w:rPr>
          <w:rFonts w:ascii="Arial" w:hAnsi="Arial"/>
        </w:rPr>
        <w:t>provincial land record authorities</w:t>
      </w:r>
    </w:p>
    <w:p>
      <w:pPr>
        <w:pStyle w:val="ListBullet"/>
        <w:widowControl/>
        <w:spacing w:after="50"/>
      </w:pPr>
      <w:r>
        <w:rPr>
          <w:rFonts w:ascii="Arial" w:hAnsi="Arial"/>
        </w:rPr>
        <w:t>other authorized government institutions</w:t>
      </w:r>
    </w:p>
    <w:p>
      <w:pPr>
        <w:widowControl/>
      </w:pPr>
      <w:r>
        <w:rPr>
          <w:rFonts w:ascii="Arial" w:hAnsi="Arial"/>
        </w:rPr>
        <w:t>The core data model should nevertheless remain integration-ready by preserving stable internal identifiers and external reference fields so future integrations can be added without redesigning the authoritative SOE records.</w:t>
      </w:r>
    </w:p>
    <w:p>
      <w:pPr>
        <w:pStyle w:val="Heading1"/>
        <w:widowControl/>
      </w:pPr>
      <w:r>
        <w:t>24. Information Security and Governance</w:t>
      </w:r>
    </w:p>
    <w:p>
      <w:pPr>
        <w:widowControl/>
      </w:pPr>
      <w:r>
        <w:rPr>
          <w:rFonts w:ascii="Arial" w:hAnsi="Arial"/>
        </w:rPr>
        <w:t>The system will contain sensitive institutional, financial, legal and personal data. Security and information governance must therefore be designed into the platform from the outset.</w:t>
      </w:r>
    </w:p>
    <w:p>
      <w:pPr>
        <w:pStyle w:val="ListBullet"/>
        <w:widowControl/>
        <w:spacing w:after="50"/>
      </w:pPr>
      <w:r>
        <w:rPr>
          <w:rFonts w:ascii="Arial" w:hAnsi="Arial"/>
        </w:rPr>
        <w:t>role-based access control</w:t>
      </w:r>
    </w:p>
    <w:p>
      <w:pPr>
        <w:pStyle w:val="ListBullet"/>
        <w:widowControl/>
        <w:spacing w:after="50"/>
      </w:pPr>
      <w:r>
        <w:rPr>
          <w:rFonts w:ascii="Arial" w:hAnsi="Arial"/>
        </w:rPr>
        <w:t>organization-level access restrictions</w:t>
      </w:r>
    </w:p>
    <w:p>
      <w:pPr>
        <w:pStyle w:val="ListBullet"/>
        <w:widowControl/>
        <w:spacing w:after="50"/>
      </w:pPr>
      <w:r>
        <w:rPr>
          <w:rFonts w:ascii="Arial" w:hAnsi="Arial"/>
        </w:rPr>
        <w:t>field-level restrictions for sensitive information</w:t>
      </w:r>
    </w:p>
    <w:p>
      <w:pPr>
        <w:pStyle w:val="ListBullet"/>
        <w:widowControl/>
        <w:spacing w:after="50"/>
      </w:pPr>
      <w:r>
        <w:rPr>
          <w:rFonts w:ascii="Arial" w:hAnsi="Arial"/>
        </w:rPr>
        <w:t>multi-factor authentication</w:t>
      </w:r>
    </w:p>
    <w:p>
      <w:pPr>
        <w:pStyle w:val="ListBullet"/>
        <w:widowControl/>
        <w:spacing w:after="50"/>
      </w:pPr>
      <w:r>
        <w:rPr>
          <w:rFonts w:ascii="Arial" w:hAnsi="Arial"/>
        </w:rPr>
        <w:t>encryption in transit and at rest</w:t>
      </w:r>
    </w:p>
    <w:p>
      <w:pPr>
        <w:pStyle w:val="ListBullet"/>
        <w:widowControl/>
        <w:spacing w:after="50"/>
      </w:pPr>
      <w:r>
        <w:rPr>
          <w:rFonts w:ascii="Arial" w:hAnsi="Arial"/>
        </w:rPr>
        <w:t>secure document storage</w:t>
      </w:r>
    </w:p>
    <w:p>
      <w:pPr>
        <w:pStyle w:val="ListBullet"/>
        <w:widowControl/>
        <w:spacing w:after="50"/>
      </w:pPr>
      <w:r>
        <w:rPr>
          <w:rFonts w:ascii="Arial" w:hAnsi="Arial"/>
        </w:rPr>
        <w:t>immutable audit logs</w:t>
      </w:r>
    </w:p>
    <w:p>
      <w:pPr>
        <w:pStyle w:val="ListBullet"/>
        <w:widowControl/>
        <w:spacing w:after="50"/>
      </w:pPr>
      <w:r>
        <w:rPr>
          <w:rFonts w:ascii="Arial" w:hAnsi="Arial"/>
        </w:rPr>
        <w:t>session controls</w:t>
      </w:r>
    </w:p>
    <w:p>
      <w:pPr>
        <w:pStyle w:val="ListBullet"/>
        <w:widowControl/>
        <w:spacing w:after="50"/>
      </w:pPr>
      <w:r>
        <w:rPr>
          <w:rFonts w:ascii="Arial" w:hAnsi="Arial"/>
        </w:rPr>
        <w:t>backup and disaster recovery</w:t>
      </w:r>
    </w:p>
    <w:p>
      <w:pPr>
        <w:pStyle w:val="ListBullet"/>
        <w:widowControl/>
        <w:spacing w:after="50"/>
      </w:pPr>
      <w:r>
        <w:rPr>
          <w:rFonts w:ascii="Arial" w:hAnsi="Arial"/>
        </w:rPr>
        <w:t>secure software development practices</w:t>
      </w:r>
    </w:p>
    <w:p>
      <w:pPr>
        <w:pStyle w:val="ListBullet"/>
        <w:widowControl/>
        <w:spacing w:after="50"/>
      </w:pPr>
      <w:r>
        <w:rPr>
          <w:rFonts w:ascii="Arial" w:hAnsi="Arial"/>
        </w:rPr>
        <w:t>activity monitoring</w:t>
      </w:r>
    </w:p>
    <w:p>
      <w:pPr>
        <w:pStyle w:val="ListBullet"/>
        <w:widowControl/>
        <w:spacing w:after="50"/>
      </w:pPr>
      <w:r>
        <w:rPr>
          <w:rFonts w:ascii="Arial" w:hAnsi="Arial"/>
        </w:rPr>
        <w:t>controlled administrative access</w:t>
      </w:r>
    </w:p>
    <w:p>
      <w:pPr>
        <w:widowControl/>
      </w:pPr>
      <w:r>
        <w:rPr>
          <w:rFonts w:ascii="Arial" w:hAnsi="Arial"/>
        </w:rPr>
        <w:t>Detailed security requirements should be finalized in consultation with relevant Government technology and cybersecurity authorities before production deployment.</w:t>
      </w:r>
    </w:p>
    <w:p>
      <w:pPr>
        <w:pStyle w:val="Heading1"/>
        <w:widowControl/>
      </w:pPr>
      <w:r>
        <w:t>25. Proposed Implementation Approach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Phase</w:t>
            </w:r>
          </w:p>
        </w:tc>
        <w:tc>
          <w:tcPr>
            <w:tcW w:type="dxa" w:w="2448"/>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Focus</w:t>
            </w:r>
          </w:p>
        </w:tc>
        <w:tc>
          <w:tcPr>
            <w:tcW w:type="dxa" w:w="6336"/>
            <w:shd w:fill="163B5C"/>
            <w:tcMar>
              <w:top w:w="90" w:type="dxa"/>
              <w:start w:w="110" w:type="dxa"/>
              <w:bottom w:w="90" w:type="dxa"/>
              <w:end w:w="110" w:type="dxa"/>
            </w:tcMar>
            <w:vAlign w:val="center"/>
            <w:tcBorders>
              <w:top w:val="single" w:sz="4" w:color="D9E1E6"/>
              <w:left w:val="single" w:sz="4" w:color="D9E1E6"/>
              <w:bottom w:val="single" w:sz="4" w:color="D9E1E6"/>
              <w:right w:val="single" w:sz="4" w:color="D9E1E6"/>
            </w:tcBorders>
          </w:tcPr>
          <w:p>
            <w:r>
              <w:rPr>
                <w:rFonts w:ascii="Arial" w:hAnsi="Arial"/>
                <w:b/>
                <w:color w:val="FFFFFF"/>
                <w:sz w:val="18"/>
              </w:rPr>
              <w:t>Primary Scope</w:t>
            </w:r>
          </w:p>
        </w:tc>
      </w:tr>
      <w:tr>
        <w:tc>
          <w:tcPr>
            <w:tcW w:type="dxa" w:w="10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1</w:t>
            </w:r>
          </w:p>
        </w:tc>
        <w:tc>
          <w:tcPr>
            <w:tcW w:type="dxa" w:w="244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Requirements &amp; Data Standardization</w:t>
            </w:r>
          </w:p>
        </w:tc>
        <w:tc>
          <w:tcPr>
            <w:tcW w:type="dxa" w:w="633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Validate SOE universe, finalize roles, conduct data discovery, define data dictionary, reporting frequencies, validation rules, KPIs and approval hierarchy.</w:t>
            </w:r>
          </w:p>
        </w:tc>
      </w:tr>
      <w:tr>
        <w:tc>
          <w:tcPr>
            <w:tcW w:type="dxa" w:w="108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2</w:t>
            </w:r>
          </w:p>
        </w:tc>
        <w:tc>
          <w:tcPr>
            <w:tcW w:type="dxa" w:w="244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Platform Foundation</w:t>
            </w:r>
          </w:p>
        </w:tc>
        <w:tc>
          <w:tcPr>
            <w:tcW w:type="dxa" w:w="633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Authentication, role management, SOE Registry, master data, workflow, document repository, audit trail and reporting cycles.</w:t>
            </w:r>
          </w:p>
        </w:tc>
      </w:tr>
      <w:tr>
        <w:tc>
          <w:tcPr>
            <w:tcW w:type="dxa" w:w="10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3</w:t>
            </w:r>
          </w:p>
        </w:tc>
        <w:tc>
          <w:tcPr>
            <w:tcW w:type="dxa" w:w="244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Core Business Modules</w:t>
            </w:r>
          </w:p>
        </w:tc>
        <w:tc>
          <w:tcPr>
            <w:tcW w:type="dxa" w:w="633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Assets, ownership, HR, Boards, executive management, financials, loans, grants, procurement, audit, litigation, compliance, industrial performance and privatization.</w:t>
            </w:r>
          </w:p>
        </w:tc>
      </w:tr>
      <w:tr>
        <w:tc>
          <w:tcPr>
            <w:tcW w:type="dxa" w:w="108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4</w:t>
            </w:r>
          </w:p>
        </w:tc>
        <w:tc>
          <w:tcPr>
            <w:tcW w:type="dxa" w:w="244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Baseline Migration &amp; SOE Onboarding</w:t>
            </w:r>
          </w:p>
        </w:tc>
        <w:tc>
          <w:tcPr>
            <w:tcW w:type="dxa" w:w="633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Existing-data collection, migration templates, bulk import, validation, user training and baseline verification.</w:t>
            </w:r>
          </w:p>
        </w:tc>
      </w:tr>
      <w:tr>
        <w:tc>
          <w:tcPr>
            <w:tcW w:type="dxa" w:w="10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5</w:t>
            </w:r>
          </w:p>
        </w:tc>
        <w:tc>
          <w:tcPr>
            <w:tcW w:type="dxa" w:w="244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Executive Intelligence</w:t>
            </w:r>
          </w:p>
        </w:tc>
        <w:tc>
          <w:tcPr>
            <w:tcW w:type="dxa" w:w="633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Minister and Secretary dashboards, portfolio analytics, GIS, scorecards, risk intelligence, early warning and executive reporting.</w:t>
            </w:r>
          </w:p>
        </w:tc>
      </w:tr>
      <w:tr>
        <w:tc>
          <w:tcPr>
            <w:tcW w:type="dxa" w:w="1080"/>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6</w:t>
            </w:r>
          </w:p>
        </w:tc>
        <w:tc>
          <w:tcPr>
            <w:tcW w:type="dxa" w:w="2448"/>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Stabilization &amp; Institutionalization</w:t>
            </w:r>
          </w:p>
        </w:tc>
        <w:tc>
          <w:tcPr>
            <w:tcW w:type="dxa" w:w="6336"/>
            <w:tcMar>
              <w:top w:w="85" w:type="dxa"/>
              <w:start w:w="110" w:type="dxa"/>
              <w:bottom w:w="85" w:type="dxa"/>
              <w:end w:w="110" w:type="dxa"/>
            </w:tcMar>
            <w:shd w:fill="F9FBFC"/>
            <w:tcBorders>
              <w:top w:val="single" w:sz="4" w:color="D9E1E6"/>
              <w:left w:val="single" w:sz="4" w:color="D9E1E6"/>
              <w:bottom w:val="single" w:sz="4" w:color="D9E1E6"/>
              <w:right w:val="single" w:sz="4" w:color="D9E1E6"/>
            </w:tcBorders>
          </w:tcPr>
          <w:p>
            <w:pPr>
              <w:spacing w:after="0"/>
            </w:pPr>
            <w:r>
              <w:rPr>
                <w:rFonts w:ascii="Arial" w:hAnsi="Arial"/>
                <w:color w:val="23313F"/>
                <w:sz w:val="17"/>
              </w:rPr>
              <w:t>UAT, security testing, performance testing, production deployment, training, operational support and system documentation.</w:t>
            </w:r>
          </w:p>
        </w:tc>
      </w:tr>
      <w:tr>
        <w:tc>
          <w:tcPr>
            <w:tcW w:type="dxa" w:w="1080"/>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Phase 7</w:t>
            </w:r>
          </w:p>
        </w:tc>
        <w:tc>
          <w:tcPr>
            <w:tcW w:type="dxa" w:w="2448"/>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External Integration</w:t>
            </w:r>
          </w:p>
        </w:tc>
        <w:tc>
          <w:tcPr>
            <w:tcW w:type="dxa" w:w="6336"/>
            <w:tcMar>
              <w:top w:w="85" w:type="dxa"/>
              <w:start w:w="110" w:type="dxa"/>
              <w:bottom w:w="85" w:type="dxa"/>
              <w:end w:w="110" w:type="dxa"/>
            </w:tcMar>
            <w:tcBorders>
              <w:top w:val="single" w:sz="4" w:color="D9E1E6"/>
              <w:left w:val="single" w:sz="4" w:color="D9E1E6"/>
              <w:bottom w:val="single" w:sz="4" w:color="D9E1E6"/>
              <w:right w:val="single" w:sz="4" w:color="D9E1E6"/>
            </w:tcBorders>
          </w:tcPr>
          <w:p>
            <w:pPr>
              <w:spacing w:after="0"/>
            </w:pPr>
            <w:r>
              <w:rPr>
                <w:rFonts w:ascii="Arial" w:hAnsi="Arial"/>
                <w:color w:val="23313F"/>
                <w:sz w:val="17"/>
              </w:rPr>
              <w:t>Post-development integration with selected government systems based on API availability, approvals and data-sharing arrangements.</w:t>
            </w:r>
          </w:p>
        </w:tc>
      </w:tr>
    </w:tbl>
    <w:p>
      <w:pPr>
        <w:widowControl/>
        <w:spacing w:after="40"/>
      </w:pPr>
    </w:p>
    <w:p>
      <w:pPr>
        <w:pStyle w:val="Heading1"/>
        <w:widowControl/>
      </w:pPr>
      <w:r>
        <w:t>26. Expected Outcomes</w:t>
      </w:r>
    </w:p>
    <w:p>
      <w:pPr>
        <w:pStyle w:val="ListBullet"/>
        <w:widowControl/>
        <w:spacing w:after="50"/>
      </w:pPr>
      <w:r>
        <w:rPr>
          <w:rFonts w:ascii="Arial" w:hAnsi="Arial"/>
        </w:rPr>
        <w:t>one authoritative SOE information environment</w:t>
      </w:r>
    </w:p>
    <w:p>
      <w:pPr>
        <w:pStyle w:val="ListBullet"/>
        <w:widowControl/>
        <w:spacing w:after="50"/>
      </w:pPr>
      <w:r>
        <w:rPr>
          <w:rFonts w:ascii="Arial" w:hAnsi="Arial"/>
        </w:rPr>
        <w:t>stronger visibility over public assets</w:t>
      </w:r>
    </w:p>
    <w:p>
      <w:pPr>
        <w:pStyle w:val="ListBullet"/>
        <w:widowControl/>
        <w:spacing w:after="50"/>
      </w:pPr>
      <w:r>
        <w:rPr>
          <w:rFonts w:ascii="Arial" w:hAnsi="Arial"/>
        </w:rPr>
        <w:t>standardized financial and governance reporting</w:t>
      </w:r>
    </w:p>
    <w:p>
      <w:pPr>
        <w:pStyle w:val="ListBullet"/>
        <w:widowControl/>
        <w:spacing w:after="50"/>
      </w:pPr>
      <w:r>
        <w:rPr>
          <w:rFonts w:ascii="Arial" w:hAnsi="Arial"/>
        </w:rPr>
        <w:t>improved Board and compliance monitoring</w:t>
      </w:r>
    </w:p>
    <w:p>
      <w:pPr>
        <w:pStyle w:val="ListBullet"/>
        <w:widowControl/>
        <w:spacing w:after="50"/>
      </w:pPr>
      <w:r>
        <w:rPr>
          <w:rFonts w:ascii="Arial" w:hAnsi="Arial"/>
        </w:rPr>
        <w:t>stronger audit follow-up</w:t>
      </w:r>
    </w:p>
    <w:p>
      <w:pPr>
        <w:pStyle w:val="ListBullet"/>
        <w:widowControl/>
        <w:spacing w:after="50"/>
      </w:pPr>
      <w:r>
        <w:rPr>
          <w:rFonts w:ascii="Arial" w:hAnsi="Arial"/>
        </w:rPr>
        <w:t>improved identification of fiscal risks</w:t>
      </w:r>
    </w:p>
    <w:p>
      <w:pPr>
        <w:pStyle w:val="ListBullet"/>
        <w:widowControl/>
        <w:spacing w:after="50"/>
      </w:pPr>
      <w:r>
        <w:rPr>
          <w:rFonts w:ascii="Arial" w:hAnsi="Arial"/>
        </w:rPr>
        <w:t>clearer visibility over underutilized assets</w:t>
      </w:r>
    </w:p>
    <w:p>
      <w:pPr>
        <w:pStyle w:val="ListBullet"/>
        <w:widowControl/>
        <w:spacing w:after="50"/>
      </w:pPr>
      <w:r>
        <w:rPr>
          <w:rFonts w:ascii="Arial" w:hAnsi="Arial"/>
        </w:rPr>
        <w:t>faster preparation of executive and Cabinet-level information</w:t>
      </w:r>
    </w:p>
    <w:p>
      <w:pPr>
        <w:pStyle w:val="ListBullet"/>
        <w:widowControl/>
        <w:spacing w:after="50"/>
      </w:pPr>
      <w:r>
        <w:rPr>
          <w:rFonts w:ascii="Arial" w:hAnsi="Arial"/>
        </w:rPr>
        <w:t>better institutional memory</w:t>
      </w:r>
    </w:p>
    <w:p>
      <w:pPr>
        <w:pStyle w:val="ListBullet"/>
        <w:widowControl/>
        <w:spacing w:after="50"/>
      </w:pPr>
      <w:r>
        <w:rPr>
          <w:rFonts w:ascii="Arial" w:hAnsi="Arial"/>
        </w:rPr>
        <w:t>reduced dependency on fragmented spreadsheets and manual correspondence</w:t>
      </w:r>
    </w:p>
    <w:p>
      <w:pPr>
        <w:pStyle w:val="ListBullet"/>
        <w:widowControl/>
        <w:spacing w:after="50"/>
      </w:pPr>
      <w:r>
        <w:rPr>
          <w:rFonts w:ascii="Arial" w:hAnsi="Arial"/>
        </w:rPr>
        <w:t>improved evidence-based policy and investment decisions</w:t>
      </w:r>
    </w:p>
    <w:p>
      <w:pPr>
        <w:pStyle w:val="Heading1"/>
        <w:widowControl/>
      </w:pPr>
      <w:r>
        <w:t>27. Proposed Success Indicators</w:t>
      </w:r>
    </w:p>
    <w:p>
      <w:pPr>
        <w:pStyle w:val="ListBullet"/>
        <w:widowControl/>
        <w:spacing w:after="50"/>
      </w:pPr>
      <w:r>
        <w:rPr>
          <w:rFonts w:ascii="Arial" w:hAnsi="Arial"/>
        </w:rPr>
        <w:t>percentage of target SOEs onboarded</w:t>
      </w:r>
    </w:p>
    <w:p>
      <w:pPr>
        <w:pStyle w:val="ListBullet"/>
        <w:widowControl/>
        <w:spacing w:after="50"/>
      </w:pPr>
      <w:r>
        <w:rPr>
          <w:rFonts w:ascii="Arial" w:hAnsi="Arial"/>
        </w:rPr>
        <w:t>percentage of required datasets digitized</w:t>
      </w:r>
    </w:p>
    <w:p>
      <w:pPr>
        <w:pStyle w:val="ListBullet"/>
        <w:widowControl/>
        <w:spacing w:after="50"/>
      </w:pPr>
      <w:r>
        <w:rPr>
          <w:rFonts w:ascii="Arial" w:hAnsi="Arial"/>
        </w:rPr>
        <w:t>submission completion rate</w:t>
      </w:r>
    </w:p>
    <w:p>
      <w:pPr>
        <w:pStyle w:val="ListBullet"/>
        <w:widowControl/>
        <w:spacing w:after="50"/>
      </w:pPr>
      <w:r>
        <w:rPr>
          <w:rFonts w:ascii="Arial" w:hAnsi="Arial"/>
        </w:rPr>
        <w:t>on-time reporting rate</w:t>
      </w:r>
    </w:p>
    <w:p>
      <w:pPr>
        <w:pStyle w:val="ListBullet"/>
        <w:widowControl/>
        <w:spacing w:after="50"/>
      </w:pPr>
      <w:r>
        <w:rPr>
          <w:rFonts w:ascii="Arial" w:hAnsi="Arial"/>
        </w:rPr>
        <w:t>percentage of approved records supported by required evidence</w:t>
      </w:r>
    </w:p>
    <w:p>
      <w:pPr>
        <w:pStyle w:val="ListBullet"/>
        <w:widowControl/>
        <w:spacing w:after="50"/>
      </w:pPr>
      <w:r>
        <w:rPr>
          <w:rFonts w:ascii="Arial" w:hAnsi="Arial"/>
        </w:rPr>
        <w:t>number and percentage of active assets with complete records</w:t>
      </w:r>
    </w:p>
    <w:p>
      <w:pPr>
        <w:pStyle w:val="ListBullet"/>
        <w:widowControl/>
        <w:spacing w:after="50"/>
      </w:pPr>
      <w:r>
        <w:rPr>
          <w:rFonts w:ascii="Arial" w:hAnsi="Arial"/>
        </w:rPr>
        <w:t>percentage of SOEs with complete Board information</w:t>
      </w:r>
    </w:p>
    <w:p>
      <w:pPr>
        <w:pStyle w:val="ListBullet"/>
        <w:widowControl/>
        <w:spacing w:after="50"/>
      </w:pPr>
      <w:r>
        <w:rPr>
          <w:rFonts w:ascii="Arial" w:hAnsi="Arial"/>
        </w:rPr>
        <w:t>reduction in overdue reporting</w:t>
      </w:r>
    </w:p>
    <w:p>
      <w:pPr>
        <w:pStyle w:val="ListBullet"/>
        <w:widowControl/>
        <w:spacing w:after="50"/>
      </w:pPr>
      <w:r>
        <w:rPr>
          <w:rFonts w:ascii="Arial" w:hAnsi="Arial"/>
        </w:rPr>
        <w:t>number of automated governance alerts generated and resolved</w:t>
      </w:r>
    </w:p>
    <w:p>
      <w:pPr>
        <w:pStyle w:val="ListBullet"/>
        <w:widowControl/>
        <w:spacing w:after="50"/>
      </w:pPr>
      <w:r>
        <w:rPr>
          <w:rFonts w:ascii="Arial" w:hAnsi="Arial"/>
        </w:rPr>
        <w:t>percentage of audit observations tracked digitally</w:t>
      </w:r>
    </w:p>
    <w:p>
      <w:pPr>
        <w:pStyle w:val="ListBullet"/>
        <w:widowControl/>
        <w:spacing w:after="50"/>
      </w:pPr>
      <w:r>
        <w:rPr>
          <w:rFonts w:ascii="Arial" w:hAnsi="Arial"/>
        </w:rPr>
        <w:t>utilisation of executive dashboards</w:t>
      </w:r>
    </w:p>
    <w:p>
      <w:pPr>
        <w:pStyle w:val="ListBullet"/>
        <w:widowControl/>
        <w:spacing w:after="50"/>
      </w:pPr>
      <w:r>
        <w:rPr>
          <w:rFonts w:ascii="Arial" w:hAnsi="Arial"/>
        </w:rPr>
        <w:t>reduction in time required to produce Ministry-level portfolio reports</w:t>
      </w:r>
    </w:p>
    <w:p>
      <w:pPr>
        <w:pStyle w:val="ListBullet"/>
        <w:widowControl/>
        <w:spacing w:after="50"/>
      </w:pPr>
      <w:r>
        <w:rPr>
          <w:rFonts w:ascii="Arial" w:hAnsi="Arial"/>
        </w:rPr>
        <w:t>percentage of historical reporting periods available digitally</w:t>
      </w:r>
    </w:p>
    <w:p>
      <w:pPr>
        <w:pStyle w:val="SmallNote"/>
        <w:widowControl/>
      </w:pPr>
      <w:r>
        <w:rPr>
          <w:rFonts w:ascii="Arial" w:hAnsi="Arial"/>
        </w:rPr>
        <w:t>Final targets should be agreed during the requirements and baseline phase.</w:t>
      </w:r>
    </w:p>
    <w:p>
      <w:pPr>
        <w:pStyle w:val="Heading1"/>
        <w:widowControl/>
      </w:pPr>
      <w:r>
        <w:t>28. Critical Project Dependencies</w:t>
      </w:r>
    </w:p>
    <w:p>
      <w:pPr>
        <w:widowControl/>
      </w:pPr>
      <w:r>
        <w:rPr>
          <w:rFonts w:ascii="Arial" w:hAnsi="Arial"/>
        </w:rPr>
        <w:t>Successful implementation will depend on more than software development. The following institutional inputs will be essential:</w:t>
      </w:r>
    </w:p>
    <w:p>
      <w:pPr>
        <w:pStyle w:val="ListBullet"/>
        <w:widowControl/>
        <w:spacing w:after="50"/>
      </w:pPr>
      <w:r>
        <w:rPr>
          <w:rFonts w:ascii="Arial" w:hAnsi="Arial"/>
        </w:rPr>
        <w:t>formal ownership of the platform within MoIP</w:t>
      </w:r>
    </w:p>
    <w:p>
      <w:pPr>
        <w:pStyle w:val="ListBullet"/>
        <w:widowControl/>
        <w:spacing w:after="50"/>
      </w:pPr>
      <w:r>
        <w:rPr>
          <w:rFonts w:ascii="Arial" w:hAnsi="Arial"/>
        </w:rPr>
        <w:t>nomination of focal persons in each SOE</w:t>
      </w:r>
    </w:p>
    <w:p>
      <w:pPr>
        <w:pStyle w:val="ListBullet"/>
        <w:widowControl/>
        <w:spacing w:after="50"/>
      </w:pPr>
      <w:r>
        <w:rPr>
          <w:rFonts w:ascii="Arial" w:hAnsi="Arial"/>
        </w:rPr>
        <w:t>standardized data definitions</w:t>
      </w:r>
    </w:p>
    <w:p>
      <w:pPr>
        <w:pStyle w:val="ListBullet"/>
        <w:widowControl/>
        <w:spacing w:after="50"/>
      </w:pPr>
      <w:r>
        <w:rPr>
          <w:rFonts w:ascii="Arial" w:hAnsi="Arial"/>
        </w:rPr>
        <w:t>agreement on reporting responsibilities</w:t>
      </w:r>
    </w:p>
    <w:p>
      <w:pPr>
        <w:pStyle w:val="ListBullet"/>
        <w:widowControl/>
        <w:spacing w:after="50"/>
      </w:pPr>
      <w:r>
        <w:rPr>
          <w:rFonts w:ascii="Arial" w:hAnsi="Arial"/>
        </w:rPr>
        <w:t>availability of baseline datasets</w:t>
      </w:r>
    </w:p>
    <w:p>
      <w:pPr>
        <w:pStyle w:val="ListBullet"/>
        <w:widowControl/>
        <w:spacing w:after="50"/>
      </w:pPr>
      <w:r>
        <w:rPr>
          <w:rFonts w:ascii="Arial" w:hAnsi="Arial"/>
        </w:rPr>
        <w:t>clear approval hierarchy</w:t>
      </w:r>
    </w:p>
    <w:p>
      <w:pPr>
        <w:pStyle w:val="ListBullet"/>
        <w:widowControl/>
        <w:spacing w:after="50"/>
      </w:pPr>
      <w:r>
        <w:rPr>
          <w:rFonts w:ascii="Arial" w:hAnsi="Arial"/>
        </w:rPr>
        <w:t>data-quality ownership</w:t>
      </w:r>
    </w:p>
    <w:p>
      <w:pPr>
        <w:pStyle w:val="ListBullet"/>
        <w:widowControl/>
        <w:spacing w:after="50"/>
      </w:pPr>
      <w:r>
        <w:rPr>
          <w:rFonts w:ascii="Arial" w:hAnsi="Arial"/>
        </w:rPr>
        <w:t>cybersecurity and hosting decisions</w:t>
      </w:r>
    </w:p>
    <w:p>
      <w:pPr>
        <w:pStyle w:val="ListBullet"/>
        <w:widowControl/>
        <w:spacing w:after="50"/>
      </w:pPr>
      <w:r>
        <w:rPr>
          <w:rFonts w:ascii="Arial" w:hAnsi="Arial"/>
        </w:rPr>
        <w:t>institutional adoption by SOEs</w:t>
      </w:r>
    </w:p>
    <w:p>
      <w:pPr>
        <w:pStyle w:val="ListBullet"/>
        <w:widowControl/>
        <w:spacing w:after="50"/>
      </w:pPr>
      <w:r>
        <w:rPr>
          <w:rFonts w:ascii="Arial" w:hAnsi="Arial"/>
        </w:rPr>
        <w:t>documented procedures for updating and certifying data</w:t>
      </w:r>
    </w:p>
    <w:tbl>
      <w:tblPr>
        <w:tblW w:type="auto" w:w="0"/>
        <w:jc w:val="center"/>
        <w:tblLayout w:type="fixed"/>
        <w:tblLook w:firstColumn="1" w:firstRow="1" w:lastColumn="0" w:lastRow="0" w:noHBand="0" w:noVBand="1" w:val="04A0"/>
      </w:tblPr>
      <w:tblGrid>
        <w:gridCol w:w="10008"/>
      </w:tblGrid>
      <w:tr>
        <w:tc>
          <w:tcPr>
            <w:tcW w:type="dxa" w:w="10166"/>
            <w:shd w:fill="FFF5E8"/>
            <w:tcMar>
              <w:top w:w="150" w:type="dxa"/>
              <w:start w:w="180" w:type="dxa"/>
              <w:bottom w:w="150" w:type="dxa"/>
              <w:end w:w="180" w:type="dxa"/>
            </w:tcMar>
            <w:tcBorders>
              <w:top w:val="nil"/>
              <w:left w:val="single" w:sz="18" w:color="B77A1B"/>
              <w:bottom w:val="nil"/>
              <w:right w:val="nil"/>
            </w:tcBorders>
          </w:tcPr>
          <w:p>
            <w:pPr>
              <w:spacing w:after="60"/>
            </w:pPr>
            <w:r>
              <w:rPr>
                <w:rFonts w:ascii="Arial" w:hAnsi="Arial"/>
                <w:b/>
                <w:color w:val="B77A1B"/>
                <w:sz w:val="22"/>
              </w:rPr>
              <w:t>Implementation Reality</w:t>
            </w:r>
          </w:p>
          <w:p>
            <w:pPr>
              <w:spacing w:after="0"/>
            </w:pPr>
            <w:r>
              <w:rPr>
                <w:rFonts w:ascii="Arial" w:hAnsi="Arial"/>
                <w:color w:val="23313F"/>
                <w:sz w:val="19"/>
              </w:rPr>
              <w:t>Without data governance, defined responsibilities and institutional adoption, even technically strong software risks becoming another reporting repository.</w:t>
            </w:r>
          </w:p>
        </w:tc>
      </w:tr>
    </w:tbl>
    <w:p>
      <w:pPr>
        <w:widowControl/>
        <w:spacing w:after="20"/>
      </w:pPr>
    </w:p>
    <w:p>
      <w:pPr>
        <w:pStyle w:val="Heading1"/>
        <w:widowControl/>
      </w:pPr>
      <w:r>
        <w:t>29. Strategic Value and Long-Term Vision</w:t>
      </w:r>
    </w:p>
    <w:p>
      <w:pPr>
        <w:widowControl/>
      </w:pPr>
      <w:r>
        <w:rPr>
          <w:rFonts w:ascii="Arial" w:hAnsi="Arial"/>
        </w:rPr>
        <w:t>The principal value of SOE-GAIP is not the digitization of forms. Its strategic value is the creation of a governed information chain in which enterprise information becomes authoritative, traceable and usable for decision-making.</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c>
          <w:tcPr>
            <w:tcW w:type="dxa" w:w="1251"/>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SOE Data</w:t>
            </w:r>
          </w:p>
        </w:tc>
        <w:tc>
          <w:tcPr>
            <w:tcW w:type="dxa" w:w="1251"/>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Validation</w:t>
            </w:r>
          </w:p>
        </w:tc>
        <w:tc>
          <w:tcPr>
            <w:tcW w:type="dxa" w:w="1251"/>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Evidence</w:t>
            </w:r>
          </w:p>
        </w:tc>
        <w:tc>
          <w:tcPr>
            <w:tcW w:type="dxa" w:w="1251"/>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Certification</w:t>
            </w:r>
          </w:p>
        </w:tc>
        <w:tc>
          <w:tcPr>
            <w:tcW w:type="dxa" w:w="1251"/>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MoIP Review</w:t>
            </w:r>
          </w:p>
        </w:tc>
        <w:tc>
          <w:tcPr>
            <w:tcW w:type="dxa" w:w="1251"/>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Authoritative Record</w:t>
            </w:r>
          </w:p>
        </w:tc>
        <w:tc>
          <w:tcPr>
            <w:tcW w:type="dxa" w:w="1251"/>
            <w:shd w:fill="EEF3F8"/>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Risk &amp; Intelligence</w:t>
            </w:r>
          </w:p>
        </w:tc>
        <w:tc>
          <w:tcPr>
            <w:tcW w:type="dxa" w:w="1251"/>
            <w:shd w:fill="EEF4F2"/>
            <w:tcMar>
              <w:top w:w="110" w:type="dxa"/>
              <w:start w:w="70" w:type="dxa"/>
              <w:bottom w:w="110" w:type="dxa"/>
              <w:end w:w="70" w:type="dxa"/>
            </w:tcMar>
            <w:tcBorders>
              <w:top w:val="single" w:sz="4" w:color="D9E1E6"/>
              <w:left w:val="single" w:sz="4" w:color="D9E1E6"/>
              <w:bottom w:val="single" w:sz="4" w:color="D9E1E6"/>
              <w:right w:val="single" w:sz="4" w:color="D9E1E6"/>
            </w:tcBorders>
          </w:tcPr>
          <w:p>
            <w:pPr>
              <w:jc w:val="center"/>
            </w:pPr>
            <w:r>
              <w:rPr>
                <w:rFonts w:ascii="Arial" w:hAnsi="Arial"/>
                <w:b/>
                <w:color w:val="23313F"/>
                <w:sz w:val="16"/>
              </w:rPr>
              <w:t>Executive Decision</w:t>
            </w:r>
          </w:p>
        </w:tc>
      </w:tr>
    </w:tbl>
    <w:p>
      <w:pPr>
        <w:widowControl/>
        <w:spacing w:after="40"/>
      </w:pPr>
    </w:p>
    <w:p>
      <w:pPr>
        <w:widowControl/>
      </w:pPr>
      <w:r>
        <w:rPr>
          <w:rFonts w:ascii="Arial" w:hAnsi="Arial"/>
        </w:rPr>
        <w:t>This approach transforms fragmented administrative information into structured public-sector intelligence and creates the foundation for industrial asset mapping, early warning, standardized performance scorecards and decision-support analysis.</w:t>
      </w:r>
    </w:p>
    <w:tbl>
      <w:tblPr>
        <w:tblW w:type="auto" w:w="0"/>
        <w:jc w:val="center"/>
        <w:tblLayout w:type="fixed"/>
        <w:tblLook w:firstColumn="1" w:firstRow="1" w:lastColumn="0" w:lastRow="0" w:noHBand="0" w:noVBand="1" w:val="04A0"/>
      </w:tblPr>
      <w:tblGrid>
        <w:gridCol w:w="10008"/>
      </w:tblGrid>
      <w:tr>
        <w:tc>
          <w:tcPr>
            <w:tcW w:type="dxa" w:w="10166"/>
            <w:shd w:fill="EEF3F8"/>
            <w:tcMar>
              <w:top w:w="150" w:type="dxa"/>
              <w:start w:w="180" w:type="dxa"/>
              <w:bottom w:w="150" w:type="dxa"/>
              <w:end w:w="180" w:type="dxa"/>
            </w:tcMar>
            <w:tcBorders>
              <w:top w:val="nil"/>
              <w:left w:val="single" w:sz="18" w:color="163B5C"/>
              <w:bottom w:val="nil"/>
              <w:right w:val="nil"/>
            </w:tcBorders>
          </w:tcPr>
          <w:p>
            <w:pPr>
              <w:spacing w:after="60"/>
            </w:pPr>
            <w:r>
              <w:rPr>
                <w:rFonts w:ascii="Arial" w:hAnsi="Arial"/>
                <w:b/>
                <w:color w:val="163B5C"/>
                <w:sz w:val="22"/>
              </w:rPr>
              <w:t>Long-Term Vision</w:t>
            </w:r>
          </w:p>
          <w:p>
            <w:pPr>
              <w:spacing w:after="0"/>
            </w:pPr>
            <w:r>
              <w:rPr>
                <w:rFonts w:ascii="Arial" w:hAnsi="Arial"/>
                <w:color w:val="23313F"/>
                <w:sz w:val="19"/>
              </w:rPr>
              <w:t>Every State-Owned Enterprise, every material public asset, every major governance obligation and every significant performance risk available through one authoritative decision-intelligence platform.</w:t>
            </w:r>
          </w:p>
        </w:tc>
      </w:tr>
    </w:tbl>
    <w:p>
      <w:pPr>
        <w:widowControl/>
        <w:spacing w:after="20"/>
      </w:pPr>
    </w:p>
    <w:p>
      <w:pPr>
        <w:widowControl/>
      </w:pPr>
      <w:r>
        <w:rPr>
          <w:rFonts w:ascii="Arial" w:hAnsi="Arial"/>
        </w:rPr>
        <w:t>If implemented in phases and supported by strong data governance, SOE-GAIP can evolve from a Ministry oversight portal into a national institutional capability for SOE governance, asset intelligence, fiscal-risk monitoring and strategic public-sector decision-making.</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872"/>
    </w:tblGrid>
    <w:tr>
      <w:tc>
        <w:tcPr>
          <w:tcW w:type="dxa" w:w="5112"/>
        </w:tcPr>
        <w:p>
          <w:r>
            <w:rPr>
              <w:rFonts w:ascii="Arial" w:hAnsi="Arial"/>
              <w:color w:val="5F6B76"/>
              <w:sz w:val="16"/>
            </w:rPr>
            <w:t>Ministry of Industries and Production | Government of Pakistan</w:t>
          </w:r>
        </w:p>
      </w:tc>
      <w:tc>
        <w:tcPr>
          <w:tcW w:type="dxa" w:w="5112"/>
        </w:tcPr>
        <w:p>
          <w:pPr>
            <w:jc w:val="right"/>
          </w:pPr>
          <w:r>
            <w:rPr>
              <w:rFonts w:ascii="Arial" w:hAnsi="Arial"/>
              <w:color w:val="646E78"/>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B76"/>
        <w:sz w:val="16"/>
      </w:rPr>
      <w:t>SOE-GAIP  |  Concept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63B5C"/>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D6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331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63B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ead">
    <w:name w:val="Section Lead"/>
    <w:pPr>
      <w:spacing w:after="120"/>
    </w:pPr>
    <w:rPr>
      <w:rFonts w:ascii="Arial" w:hAnsi="Arial"/>
      <w:b/>
      <w:color w:val="23313F"/>
      <w:sz w:val="22"/>
    </w:rPr>
  </w:style>
  <w:style w:type="paragraph" w:customStyle="1" w:styleId="SmallNote">
    <w:name w:val="Small Note"/>
    <w:pPr>
      <w:spacing w:after="60"/>
    </w:pPr>
    <w:rPr>
      <w:rFonts w:ascii="Arial" w:hAnsi="Arial"/>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SOE-GAIP Concept Note</dc:title>
  <dc:subject>State-Owned Enterprises Governance, Asset &amp; Performance Intelligence Platform</dc:subject>
  <dc:creator/>
  <cp:keywords>SOE, governance, asset intelligence, Ministry of Industries and Production</cp:keywords>
  <dc:description>generated by python-docx</dc:description>
  <cp:lastModifiedBy/>
  <cp:revision>1</cp:revision>
  <dcterms:created xsi:type="dcterms:W3CDTF">2013-12-23T23:15:00Z</dcterms:created>
  <dcterms:modified xsi:type="dcterms:W3CDTF">2013-12-23T23:15:00Z</dcterms:modified>
  <cp:category/>
</cp:coreProperties>
</file>