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  <w:jc w:val="center"/>
      </w:pPr>
      <w:r>
        <w:rPr>
          <w:rFonts w:ascii="Arial" w:hAnsi="Arial"/>
          <w:b/>
          <w:color w:val="17365D"/>
          <w:sz w:val="44"/>
        </w:rPr>
        <w:t>STATE-OWNED ENTERPRISES</w:t>
        <w:br/>
        <w:t>GOVERNANCE, ASSET &amp; PERFORMANCE</w:t>
        <w:br/>
        <w:t>INTELLIGENCE PLATFORM</w:t>
      </w:r>
    </w:p>
    <w:p>
      <w:pPr>
        <w:widowControl/>
        <w:jc w:val="center"/>
      </w:pPr>
      <w:r>
        <w:rPr>
          <w:b/>
          <w:color w:val="2F5597"/>
          <w:sz w:val="32"/>
        </w:rPr>
        <w:t>SOE-GAIP</w:t>
      </w:r>
    </w:p>
    <w:p>
      <w:pPr>
        <w:widowControl/>
      </w:pPr>
    </w:p>
    <w:p>
      <w:pPr>
        <w:widowControl/>
        <w:jc w:val="center"/>
      </w:pPr>
      <w:r>
        <w:rPr>
          <w:b/>
          <w:color w:val="222222"/>
          <w:sz w:val="36"/>
        </w:rPr>
        <w:t>System Architecture Document</w:t>
      </w:r>
    </w:p>
    <w:p>
      <w:pPr>
        <w:widowControl/>
        <w:jc w:val="center"/>
      </w:pPr>
      <w:r>
        <w:rPr>
          <w:color w:val="666666"/>
          <w:sz w:val="22"/>
        </w:rPr>
        <w:t>Production Architecture Blueprint</w:t>
      </w: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Document Code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SOE-GAIP-SAD-001</w:t>
            </w:r>
          </w:p>
        </w:tc>
      </w:tr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1.0</w:t>
            </w:r>
          </w:p>
        </w:tc>
      </w:tr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Draft for Stakeholder Validation</w:t>
            </w:r>
          </w:p>
        </w:tc>
      </w:tr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Prepared for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Ministry of Industries and Production, Government of Pakistan</w:t>
            </w:r>
          </w:p>
        </w:tc>
      </w:tr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Prepared by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Fruit of Sustainability (FOS)</w:t>
            </w:r>
          </w:p>
        </w:tc>
      </w:tr>
    </w:tbl>
    <w:p>
      <w:pPr>
        <w:widowControl/>
      </w:pPr>
    </w:p>
    <w:p>
      <w:pPr>
        <w:pStyle w:val="SmallNote"/>
        <w:widowControl/>
        <w:jc w:val="center"/>
      </w:pPr>
      <w:r>
        <w:rPr>
          <w:i/>
        </w:rPr>
        <w:t>This document is a structured project design baseline and remains subject to formal stakeholder validation, policy approval and detailed technical design.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Define the target technical architecture for initial SOE-GAIP development and establish clear boundaries between user portals, business services, governance services, data services and intelligence functions.</w:t>
            </w:r>
          </w:p>
        </w:tc>
      </w:tr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Covers logical architecture, application structure, data platform, workflow, imports, security, deployment, observability, performance, recovery and future integration readiness.</w:t>
            </w:r>
          </w:p>
        </w:tc>
      </w:tr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Basis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SOE-GAIP concept and module framework developed from the Ministry-focused SOE oversight requirements provided for this project.</w:t>
            </w:r>
          </w:p>
        </w:tc>
      </w:tr>
      <w:tr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Current Exclusion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External government API integrations are a future phase. The initial platform must be fully operational through internal APIs, manual forms, bulk imports and document uploads.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Table of Contents</w:t>
      </w:r>
    </w:p>
    <w:p>
      <w:pPr>
        <w:widowControl/>
        <w:ind w:left="0"/>
      </w:pPr>
      <w:r>
        <w:rPr>
          <w:b/>
          <w:sz w:val="21"/>
        </w:rPr>
        <w:t>1. Architecture Vision</w:t>
      </w:r>
    </w:p>
    <w:p>
      <w:pPr>
        <w:widowControl/>
        <w:ind w:left="0"/>
      </w:pPr>
      <w:r>
        <w:rPr>
          <w:b/>
          <w:sz w:val="21"/>
        </w:rPr>
        <w:t>2. Architecture Principles</w:t>
      </w:r>
    </w:p>
    <w:p>
      <w:pPr>
        <w:widowControl/>
        <w:ind w:left="0"/>
      </w:pPr>
      <w:r>
        <w:rPr>
          <w:b/>
          <w:sz w:val="21"/>
        </w:rPr>
        <w:t>3. Logical Architecture</w:t>
      </w:r>
    </w:p>
    <w:p>
      <w:pPr>
        <w:widowControl/>
        <w:ind w:left="0"/>
      </w:pPr>
      <w:r>
        <w:rPr>
          <w:b/>
          <w:sz w:val="21"/>
        </w:rPr>
        <w:t>4. Portal and Frontend Architecture</w:t>
      </w:r>
    </w:p>
    <w:p>
      <w:pPr>
        <w:widowControl/>
        <w:ind w:left="0"/>
      </w:pPr>
      <w:r>
        <w:rPr>
          <w:b/>
          <w:sz w:val="21"/>
        </w:rPr>
        <w:t>5. Backend and Domain Architecture</w:t>
      </w:r>
    </w:p>
    <w:p>
      <w:pPr>
        <w:widowControl/>
        <w:ind w:left="0"/>
      </w:pPr>
      <w:r>
        <w:rPr>
          <w:b/>
          <w:sz w:val="21"/>
        </w:rPr>
        <w:t>6. Data Architecture</w:t>
      </w:r>
    </w:p>
    <w:p>
      <w:pPr>
        <w:widowControl/>
        <w:ind w:left="0"/>
      </w:pPr>
      <w:r>
        <w:rPr>
          <w:b/>
          <w:sz w:val="21"/>
        </w:rPr>
        <w:t>7. Workflow and Event Architecture</w:t>
      </w:r>
    </w:p>
    <w:p>
      <w:pPr>
        <w:widowControl/>
        <w:ind w:left="0"/>
      </w:pPr>
      <w:r>
        <w:rPr>
          <w:b/>
          <w:sz w:val="21"/>
        </w:rPr>
        <w:t>8. Analytics and Intelligence Architecture</w:t>
      </w:r>
    </w:p>
    <w:p>
      <w:pPr>
        <w:widowControl/>
        <w:ind w:left="0"/>
      </w:pPr>
      <w:r>
        <w:rPr>
          <w:b/>
          <w:sz w:val="21"/>
        </w:rPr>
        <w:t>9. Security Architecture</w:t>
      </w:r>
    </w:p>
    <w:p>
      <w:pPr>
        <w:widowControl/>
        <w:ind w:left="0"/>
      </w:pPr>
      <w:r>
        <w:rPr>
          <w:b/>
          <w:sz w:val="21"/>
        </w:rPr>
        <w:t>10. Deployment Architecture</w:t>
      </w:r>
    </w:p>
    <w:p>
      <w:pPr>
        <w:widowControl/>
        <w:ind w:left="0"/>
      </w:pPr>
      <w:r>
        <w:rPr>
          <w:b/>
          <w:sz w:val="21"/>
        </w:rPr>
        <w:t>11. Operations and Observability</w:t>
      </w:r>
    </w:p>
    <w:p>
      <w:pPr>
        <w:widowControl/>
        <w:ind w:left="0"/>
      </w:pPr>
      <w:r>
        <w:rPr>
          <w:b/>
          <w:sz w:val="21"/>
        </w:rPr>
        <w:t>12. Performance and Scalability</w:t>
      </w:r>
    </w:p>
    <w:p>
      <w:pPr>
        <w:widowControl/>
        <w:ind w:left="0"/>
      </w:pPr>
      <w:r>
        <w:rPr>
          <w:b/>
          <w:sz w:val="21"/>
        </w:rPr>
        <w:t>13. Backup, Recovery and Continuity</w:t>
      </w:r>
    </w:p>
    <w:p>
      <w:pPr>
        <w:widowControl/>
        <w:ind w:left="0"/>
      </w:pPr>
      <w:r>
        <w:rPr>
          <w:b/>
          <w:sz w:val="21"/>
        </w:rPr>
        <w:t>14. Technology Direction</w:t>
      </w:r>
    </w:p>
    <w:p>
      <w:pPr>
        <w:widowControl/>
        <w:ind w:left="0"/>
      </w:pPr>
      <w:r>
        <w:rPr>
          <w:b/>
          <w:sz w:val="21"/>
        </w:rPr>
        <w:t>15. Future Integration Readiness</w:t>
      </w:r>
    </w:p>
    <w:p>
      <w:pPr>
        <w:widowControl/>
        <w:ind w:left="0"/>
      </w:pPr>
      <w:r>
        <w:rPr>
          <w:b/>
          <w:sz w:val="21"/>
        </w:rPr>
        <w:t>16. Architecture Decisions and Constraints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Architecture Vision</w:t>
      </w:r>
    </w:p>
    <w:p>
      <w:pPr>
        <w:widowControl/>
      </w:pPr>
      <w:r>
        <w:t>The recommended architecture is a secure, modular and workflow-driven enterprise platform with a centralized authoritative data model and a separate intelligence layer. It should be simple enough to operate reliably within a government environment, but structured enough to scale into a national SOE intelligence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  <w:sz w:val="20"/>
              </w:rPr>
              <w:t>Recommended Pattern</w:t>
              <w:br/>
            </w:r>
            <w:r>
              <w:rPr>
                <w:sz w:val="19"/>
              </w:rPr>
              <w:t>Role-aware multi-portal frontend + API-first modular monolith backend + PostgreSQL/PostGIS + object storage + asynchronous job processing + centralized governance services + analytics/intelligence layer.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2. Architecture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064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Architecture Consequence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Authoritative core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Official data lives in one governed transactional platform. Dashboards and AI never become an independent source of truth.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Modular monolith first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Business domains are strongly separated in code, but initially deployed as one backend application to reduce distributed-system complexity.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API-first internally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All frontend experiences consume documented internal APIs. This supports future mobile, integration and reuse.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Workflow over free-form status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Submissions, reviews, approvals and corrections use controlled state transitions.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Evidence by design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Documents and evidence are linked to exact records rather than stored as an unrelated file dump.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History is immutable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Approved snapshots and audit history are retained.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Asynchronous heavy work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Imports, report generation, document processing and analytics refreshes use background jobs.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Configurable policy rules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Thresholds and reporting rules are configurable where government policy may change.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Integration-ready, not integration-dependent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External government APIs are excluded from Phase 1 but future adapters can be added without redesigning core domains.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Security by least privilege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Access combines role, organization scope, record scope and field sensitivity.</w:t>
            </w:r>
          </w:p>
        </w:tc>
      </w:tr>
    </w:tbl>
    <w:p>
      <w:pPr>
        <w:pStyle w:val="Heading1"/>
        <w:widowControl/>
      </w:pPr>
      <w:r>
        <w:t>3. Logical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064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Responsibilities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Experience Layer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SOE Portal; MoIP Oversight Portal; Executive Intelligence Portal; Administration.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Application API Layer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Authenticated REST APIs, request validation, authorization, orchestration and API versioning.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Business Domain Layer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SOE Registry, Ownership, Assets, HR, Board, Executives, Finance, Loans/Grants, Procurement, Audit, Litigation, Compliance, Privatization, Industrial Performance and Documents.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Governance Services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Reporting cycles, workflow, certification, review, tasks, notifications, escalation, audit trail, versioning and data-quality rules.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Data Platform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PostgreSQL, PostGIS, object storage, cache, staging tables and historical snapshots.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Intelligence Layer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KPI engine, risk engine, scorecards, early warning, GIS analytics, search, reports and executive dashboard read models.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Background Processing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Queue, worker processes, import validation, report generation, scheduled alerts, analytics refresh and document checks.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Future Integration Boundary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Adapter layer reserved for future external government systems. No dependency in initial release.</w:t>
            </w:r>
          </w:p>
        </w:tc>
      </w:tr>
    </w:tbl>
    <w:p>
      <w:pPr>
        <w:pStyle w:val="Heading2"/>
        <w:widowControl/>
      </w:pPr>
      <w:r>
        <w:t>3.1 Reference Logical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USER EXPERIENCES</w:t>
            </w:r>
          </w:p>
        </w:tc>
      </w:tr>
      <w:tr>
        <w:tc>
          <w:tcPr>
            <w:tcW w:type="dxa" w:w="10080"/>
            <w:shd w:fill="2F55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INTERNAL APPLICATION API</w:t>
            </w:r>
          </w:p>
        </w:tc>
      </w:tr>
      <w:tr>
        <w:tc>
          <w:tcPr>
            <w:tcW w:type="dxa" w:w="10080"/>
            <w:shd w:fill="D9EAF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9"/>
              </w:rPr>
              <w:t>BUSINESS DOMAINS + GOVERNANCE SERVICES</w:t>
            </w:r>
          </w:p>
        </w:tc>
      </w:tr>
      <w:tr>
        <w:tc>
          <w:tcPr>
            <w:tcW w:type="dxa" w:w="10080"/>
            <w:shd w:fill="E2F0D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9"/>
              </w:rPr>
              <w:t>AUTHORITATIVE DATA PLATFORM</w:t>
            </w:r>
          </w:p>
        </w:tc>
      </w:tr>
      <w:tr>
        <w:tc>
          <w:tcPr>
            <w:tcW w:type="dxa" w:w="10080"/>
            <w:shd w:fill="FFF2C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9"/>
              </w:rPr>
              <w:t>BACKGROUND JOBS / QUEUE</w:t>
            </w:r>
          </w:p>
        </w:tc>
      </w:tr>
      <w:tr>
        <w:tc>
          <w:tcPr>
            <w:tcW w:type="dxa" w:w="10080"/>
            <w:shd w:fill="FCE4D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9"/>
              </w:rPr>
              <w:t>INTELLIGENCE + REPORTING LAYER</w:t>
            </w:r>
          </w:p>
        </w:tc>
      </w:tr>
      <w:tr>
        <w:tc>
          <w:tcPr>
            <w:tcW w:type="dxa" w:w="10080"/>
            <w:shd w:fill="EDEDE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2222"/>
                <w:sz w:val="19"/>
              </w:rPr>
              <w:t>FUTURE EXTERNAL INTEGRATION ADAPTERS (POST-DEVELOPMENT)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4. Portal and Frontend Architecture</w:t>
      </w:r>
    </w:p>
    <w:p>
      <w:pPr>
        <w:widowControl/>
      </w:pPr>
      <w:r>
        <w:t>The system should use one shared frontend design system and shared application components while exposing different role-specific experiences. This avoids separate codebases that diverge over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920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Portal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UX Focus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SOE Portal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Data preparation, bulk upload, evidence, completeness, tasks, certification and query response.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MoIP Oversight Portal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Portfolio queue, review, clarification, comparison, exceptions, approval and escalation.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Executive Intelligence Portal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Secretary and Minister dashboards, risk, assets, fiscal exposure, strategic opportunities and drill-down.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Administration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Users, roles, organizations, master data, reporting cycles, rules and configuration.</w:t>
            </w:r>
          </w:p>
        </w:tc>
      </w:tr>
    </w:tbl>
    <w:p>
      <w:pPr>
        <w:pStyle w:val="Heading2"/>
        <w:widowControl/>
      </w:pPr>
      <w:r>
        <w:t>4.1 Frontend Design Rules</w:t>
      </w:r>
    </w:p>
    <w:p>
      <w:pPr>
        <w:pStyle w:val="ListBullet"/>
        <w:widowControl/>
      </w:pPr>
      <w:r>
        <w:t>Use a shared component library for forms, tables, filters, status badges, charts, maps and workflow controls.</w:t>
      </w:r>
    </w:p>
    <w:p>
      <w:pPr>
        <w:pStyle w:val="ListBullet"/>
        <w:widowControl/>
      </w:pPr>
      <w:r>
        <w:t>Route visibility is determined by permission, not by frontend-only hiding.</w:t>
      </w:r>
    </w:p>
    <w:p>
      <w:pPr>
        <w:pStyle w:val="ListBullet"/>
        <w:widowControl/>
      </w:pPr>
      <w:r>
        <w:t>Heavy data-entry screens use autosave where safe, clear draft states and loss-of-work protection.</w:t>
      </w:r>
    </w:p>
    <w:p>
      <w:pPr>
        <w:pStyle w:val="ListBullet"/>
        <w:widowControl/>
      </w:pPr>
      <w:r>
        <w:t>Executive screens prioritize exceptions and decisions over raw data density.</w:t>
      </w:r>
    </w:p>
    <w:p>
      <w:pPr>
        <w:pStyle w:val="ListBullet"/>
        <w:widowControl/>
      </w:pPr>
      <w:r>
        <w:t>Large tables use server-side pagination, filtering and export rather than rendering all rows in the browser.</w:t>
      </w:r>
    </w:p>
    <w:p>
      <w:pPr>
        <w:pStyle w:val="ListBullet"/>
        <w:widowControl/>
      </w:pPr>
      <w:r>
        <w:t>All KPI components must show data period and status such as approved, provisional or pending verification where relevant.</w:t>
      </w:r>
    </w:p>
    <w:p>
      <w:pPr>
        <w:pStyle w:val="Heading1"/>
        <w:widowControl/>
      </w:pPr>
      <w:r>
        <w:t>5. Backend and Domain Architecture</w:t>
      </w:r>
    </w:p>
    <w:p>
      <w:pPr>
        <w:widowControl/>
      </w:pPr>
      <w:r>
        <w:t>A modular monolith is recommended for initial development. Each domain owns its service layer, data-access rules, validation, permissions and API endpoints, but all modules deploy within one controlled backend runtime.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064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Owns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Identity &amp; Access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Authentication integration, roles, scopes and permissions.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Organization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SOE master, ownership and corporate hierarchy.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Assets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Land, buildings, machinery, vehicles, equipment and GIS.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People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HR, positions, consultants and workforce aggregates.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Boards, executives, committees, declarations and governance calendar.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Finance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Financial periods, metrics, statements, loans, debt, guarantees, grants and subsidies.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Accountability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Procurement, audit paras, litigation and compliance.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Transformation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Privatization milestones and industrial performance.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Documents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File metadata, evidence links, versions and classification.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Workflow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Reporting cycles, submissions, certification, review and approval.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Tasks &amp; Alerts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Obligations, reminders, escalation and early warning.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Intelligence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KPIs, scores, risk, benchmarks, dashboard read models and reports.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Administration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Master data, configurable rules, thresholds and system settings.</w:t>
            </w:r>
          </w:p>
        </w:tc>
      </w:tr>
    </w:tbl>
    <w:p>
      <w:pPr>
        <w:pStyle w:val="Heading2"/>
        <w:widowControl/>
      </w:pPr>
      <w:r>
        <w:t>5.1 Internal API Conventions</w:t>
      </w:r>
    </w:p>
    <w:p>
      <w:pPr>
        <w:pStyle w:val="ListBullet"/>
        <w:widowControl/>
      </w:pPr>
      <w:r>
        <w:t>Use versioned endpoints such as /api/v1/organizations, /api/v1/assets and /api/v1/reporting-periods.</w:t>
      </w:r>
    </w:p>
    <w:p>
      <w:pPr>
        <w:pStyle w:val="ListBullet"/>
        <w:widowControl/>
      </w:pPr>
      <w:r>
        <w:t>Use consistent pagination, filtering, sorting and error response formats.</w:t>
      </w:r>
    </w:p>
    <w:p>
      <w:pPr>
        <w:pStyle w:val="ListBullet"/>
        <w:widowControl/>
      </w:pPr>
      <w:r>
        <w:t>Validate all write requests at API boundary and again at domain service level for business rules.</w:t>
      </w:r>
    </w:p>
    <w:p>
      <w:pPr>
        <w:pStyle w:val="ListBullet"/>
        <w:widowControl/>
      </w:pPr>
      <w:r>
        <w:t>Never trust organization identifiers supplied by the browser without authorization checks against the authenticated user scope.</w:t>
      </w:r>
    </w:p>
    <w:p>
      <w:pPr>
        <w:pStyle w:val="ListBullet"/>
        <w:widowControl/>
      </w:pPr>
      <w:r>
        <w:t>Use idempotency keys for sensitive repeatable operations such as imports, certification or document upload finalization where appropriate.</w:t>
      </w:r>
    </w:p>
    <w:p>
      <w:pPr>
        <w:pStyle w:val="ListBullet"/>
        <w:widowControl/>
      </w:pPr>
      <w:r>
        <w:t>Generate API documentation from the implementation and maintain it as part of the build pipeline.</w:t>
      </w:r>
    </w:p>
    <w:p>
      <w:pPr>
        <w:pStyle w:val="Heading1"/>
        <w:widowControl/>
      </w:pPr>
      <w:r>
        <w:t>6. Data Architecture</w:t>
      </w:r>
    </w:p>
    <w:p>
      <w:pPr>
        <w:pStyle w:val="Heading2"/>
        <w:widowControl/>
      </w:pPr>
      <w:r>
        <w:t>6.1 Primary Transaction Database</w:t>
      </w:r>
    </w:p>
    <w:p>
      <w:pPr>
        <w:widowControl/>
      </w:pPr>
      <w:r>
        <w:t>PostgreSQL is recommended as the authoritative transactional database because the system is strongly relational and requires referential integrity, historical reporting and consistent transactions across related governance records.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7200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Core Entity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Organization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SOE identity and administrative profile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OrganizationRelationship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Holding, subsidiary, associate and JV relationships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ReportingPeriod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Monthly, quarterly, annual or special reporting scope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Asset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Common asset identity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LandAsset / Building / Machine / Vehicle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Asset subtype details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Employee / Position / Consultant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Workforce and position records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Board / BoardMember / Committee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Governance records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FinancialSubmission / FinancialMetric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Period financial data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Loan / Guarantee / Grant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Fiscal exposure and support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ProcurementContract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Procurement oversight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Audit / AuditPara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Audit accountability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LitigationCase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Legal exposure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ComplianceRequirement / ComplianceSubmission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Obligations and evidence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PrivatizationCase / Milestone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Transformation pipeline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IndustrialPerformance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Capacity, output, export, employment, energy and carbon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Document / DocumentLink / DocumentVersion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Evidence and file lineage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Submission / Certification / Review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Governed reporting lifecycle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Task / Alert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Action and early warning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AuditLog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Immutable material activity history</w:t>
            </w:r>
          </w:p>
        </w:tc>
      </w:tr>
    </w:tbl>
    <w:p>
      <w:pPr>
        <w:pStyle w:val="Heading2"/>
        <w:widowControl/>
      </w:pPr>
      <w:r>
        <w:t>6.2 Geospatial Data</w:t>
      </w:r>
    </w:p>
    <w:p>
      <w:pPr>
        <w:widowControl/>
      </w:pPr>
      <w:r>
        <w:t>PostGIS should extend PostgreSQL for coordinates, land polygons and spatial queries. GIS is a first-class data capability, not only a visual map component.</w:t>
      </w:r>
    </w:p>
    <w:p>
      <w:pPr>
        <w:pStyle w:val="ListBullet"/>
        <w:widowControl/>
      </w:pPr>
      <w:r>
        <w:t>Point geometry for facilities, buildings or equipment locations.</w:t>
      </w:r>
    </w:p>
    <w:p>
      <w:pPr>
        <w:pStyle w:val="ListBullet"/>
        <w:widowControl/>
      </w:pPr>
      <w:r>
        <w:t>Polygon geometry for land parcels where boundary data is available.</w:t>
      </w:r>
    </w:p>
    <w:p>
      <w:pPr>
        <w:pStyle w:val="ListBullet"/>
        <w:widowControl/>
      </w:pPr>
      <w:r>
        <w:t>Spatial indexing for geographic filtering.</w:t>
      </w:r>
    </w:p>
    <w:p>
      <w:pPr>
        <w:pStyle w:val="ListBullet"/>
        <w:widowControl/>
      </w:pPr>
      <w:r>
        <w:t>Location master data for province, district, tehsil and other administrative units.</w:t>
      </w:r>
    </w:p>
    <w:p>
      <w:pPr>
        <w:pStyle w:val="ListBullet"/>
        <w:widowControl/>
      </w:pPr>
      <w:r>
        <w:t>Map layers filtered by SOE, asset type, utilization, litigation, encroachment and valuation status.</w:t>
      </w:r>
    </w:p>
    <w:p>
      <w:pPr>
        <w:pStyle w:val="Heading2"/>
        <w:widowControl/>
      </w:pPr>
      <w:r>
        <w:t>6.3 Document Storage</w:t>
      </w:r>
    </w:p>
    <w:p>
      <w:pPr>
        <w:widowControl/>
      </w:pPr>
      <w:r>
        <w:t>Document binaries should be stored in S3-compatible object storage or an approved government equivalent. PostgreSQL stores only metadata, classification, version, checksum, access context and relationships to business records.</w:t>
      </w:r>
    </w:p>
    <w:p>
      <w:pPr>
        <w:pStyle w:val="Heading2"/>
        <w:widowControl/>
      </w:pPr>
      <w:r>
        <w:t>6.4 Cache and Background Queue</w:t>
      </w:r>
    </w:p>
    <w:p>
      <w:pPr>
        <w:pStyle w:val="ListBullet"/>
        <w:widowControl/>
      </w:pPr>
      <w:r>
        <w:t>Redis may be used for short-lived cache, session support if required, rate limiting and background job coordination.</w:t>
      </w:r>
    </w:p>
    <w:p>
      <w:pPr>
        <w:pStyle w:val="ListBullet"/>
        <w:widowControl/>
      </w:pPr>
      <w:r>
        <w:t>RabbitMQ or a durable Redis-based job queue may be used for imports, scheduled alerts, report generation, document checks and analytics refresh.</w:t>
      </w:r>
    </w:p>
    <w:p>
      <w:pPr>
        <w:pStyle w:val="ListBullet"/>
        <w:widowControl/>
      </w:pPr>
      <w:r>
        <w:t>Queue technology should be selected based on hosting support and operational capability rather than preference alone.</w:t>
      </w:r>
    </w:p>
    <w:p>
      <w:pPr>
        <w:pStyle w:val="Heading2"/>
        <w:widowControl/>
      </w:pPr>
      <w:r>
        <w:t>6.5 Data Import Staging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  <w:sz w:val="20"/>
              </w:rPr>
              <w:t>Mandatory Import Pattern</w:t>
              <w:br/>
            </w:r>
            <w:r>
              <w:rPr>
                <w:sz w:val="19"/>
              </w:rPr>
              <w:t>Upload file → Parse to staging → Schema validation → Reference validation → Duplicate detection → Business rules → Historical comparison → Exception report → User confirmation → Authoritative records.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7. Workflow and Event Architecture</w:t>
      </w:r>
    </w:p>
    <w:p>
      <w:pPr>
        <w:pStyle w:val="Heading2"/>
        <w:widowControl/>
      </w:pPr>
      <w:r>
        <w:t>7.1 Workflow State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064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Draft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SOE team prepares data; editable within permission.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Internal Review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SOE focal person validates internal completeness.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Ready for Certification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Required sections complete and validation blockers cleared.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Certified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Authorized certifier signs required submission content.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Submitted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Officially transmitted to MoIP workflow.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Under Review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Assigned reviewer evaluates content.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Clarification Requested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Specific issues require SOE response.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Resubmitted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Returned records updated and formally resubmitted.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Approved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Authorized Ministry reviewer approves content.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Locked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Historical snapshot preserved; no direct overwrite.</w:t>
            </w:r>
          </w:p>
        </w:tc>
      </w:tr>
    </w:tbl>
    <w:p>
      <w:pPr>
        <w:pStyle w:val="Heading2"/>
        <w:widowControl/>
      </w:pPr>
      <w:r>
        <w:t>7.2 Internal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344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Typical Consumers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FinancialSubmissionApproved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Refresh financial KPIs; recalculate risk; update dashboard read model; append audit event.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BoardMemberCreatedOrUpdated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Recalculate expiry schedule and governance alerts.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AssetStatusChanged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Refresh utilization analytics and relevant map layers.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AuditParaOverdue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Create or escalate task and update accountability indicators.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ReportingPeriodOpened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Create SOE workspaces and required obligations.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SubmissionLocked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Create immutable snapshot reference and analytics refresh request.</w:t>
            </w:r>
          </w:p>
        </w:tc>
      </w:tr>
    </w:tbl>
    <w:p>
      <w:pPr>
        <w:widowControl/>
      </w:pPr>
      <w:r>
        <w:t>These events may be implemented through an internal event bus within the modular monolith. Distributed event streaming is not required for the initial release.</w:t>
      </w:r>
    </w:p>
    <w:p>
      <w:pPr>
        <w:pStyle w:val="Heading1"/>
        <w:widowControl/>
      </w:pPr>
      <w:r>
        <w:t>8. Analytics and Intelligence Architecture</w:t>
      </w:r>
    </w:p>
    <w:p>
      <w:pPr>
        <w:widowControl/>
      </w:pPr>
      <w:r>
        <w:t>Analytics should read from approved data and should not modify authoritative transaction records. For the initial release, a separate data warehouse is optional. Reporting views, materialized views or a dedicated read schema can support dashboards. A warehouse can be introduced later if data volume or analytical complexity warrants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920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Architecture Role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KPI Engine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Central formulas, source fields, period logic and versioned definitions.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Risk Engine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Rule-based financial, governance, compliance, legal, audit and asset risk dimensions.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Scorecards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Cross-SOE performance comparison using approved dimensions and weights.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Early Warning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Rules applied to dates, overdue obligations, financial changes and other conditions.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GIS Analytics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Asset location, utilization, legal status, valuation and opportunity filtering.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Dashboard Read Models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Pre-aggregated queries optimized for executive and oversight screens.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Reporting Engine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Excel/PDF-compatible portfolio, SOE, asset, financial, governance, audit, legal and privatization outputs.</w:t>
            </w:r>
          </w:p>
        </w:tc>
      </w:tr>
    </w:tbl>
    <w:p>
      <w:pPr>
        <w:pStyle w:val="Heading1"/>
        <w:widowControl/>
      </w:pPr>
      <w:r>
        <w:t>9. Security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Area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Architecture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OIDC/OAuth2-compatible identity provider or approved government identity mechanism; MFA for privileged roles.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Authorization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RBAC + organization scope + record context + field sensitivity.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Data protection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TLS in transit, encryption at rest, secure secrets management and encrypted backups.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Sensitive fields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Restricted access to CNIC, salary, disciplinary records and other personal data.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Documents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Private object storage, signed/controlled download access, malware scanning and file validation.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Auditability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Immutable audit records for material writes, workflow actions and administration.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Application security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Input validation, CSRF protection where applicable, secure headers, dependency scanning, rate limiting and OWASP-aligned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Administrative security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No direct production data edits through normal administrator UI. Exceptional corrections must use governed process.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Environment separation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Distinct development, test/UAT, staging and production environments.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Logging privacy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Logs must avoid storing passwords, tokens, full CNICs or unnecessary sensitive payloads.</w:t>
            </w:r>
          </w:p>
        </w:tc>
      </w:tr>
    </w:tbl>
    <w:p>
      <w:pPr>
        <w:pStyle w:val="Heading1"/>
        <w:widowControl/>
      </w:pPr>
      <w:r>
        <w:t>10. Deployment Architecture</w:t>
      </w:r>
    </w:p>
    <w:p>
      <w:pPr>
        <w:widowControl/>
      </w:pPr>
      <w:r>
        <w:t>Containerized deployment is recommended. The exact hosting environment should be aligned with the Government hosting authority. Kubernetes is not required unless scale, availability or infrastructure standards justify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064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Deployment Role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Reverse Proxy / Load Balancer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TLS termination, routing and multiple application instances.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Stateless web deployment or server-side rendered application as selected.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Multiple stateless application instances where availability requires.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Worker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Separate background worker processes for imports, reports, schedules and heavy processing.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PostgreSQL/PostGIS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Managed or highly controlled database with replication and point-in-time recovery.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Object Storage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Durable, private and backed-up document storage.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Redis / Queue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Optional cache and background job infrastructure.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Monitoring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Central application logs, infrastructure metrics, database monitoring, queue monitoring and error tracking.</w:t>
            </w:r>
          </w:p>
        </w:tc>
      </w:tr>
    </w:tbl>
    <w:p>
      <w:pPr>
        <w:pStyle w:val="Heading1"/>
        <w:widowControl/>
      </w:pPr>
      <w:r>
        <w:t>11. Operations and Observability</w:t>
      </w:r>
    </w:p>
    <w:p>
      <w:pPr>
        <w:pStyle w:val="ListBullet"/>
        <w:widowControl/>
      </w:pPr>
      <w:r>
        <w:t>Central structured application logging with correlation IDs.</w:t>
      </w:r>
    </w:p>
    <w:p>
      <w:pPr>
        <w:pStyle w:val="ListBullet"/>
        <w:widowControl/>
      </w:pPr>
      <w:r>
        <w:t>Separate immutable business audit trail from technical application logs.</w:t>
      </w:r>
    </w:p>
    <w:p>
      <w:pPr>
        <w:pStyle w:val="ListBullet"/>
        <w:widowControl/>
      </w:pPr>
      <w:r>
        <w:t>Health checks for web, API, database, queue and object storage dependencies.</w:t>
      </w:r>
    </w:p>
    <w:p>
      <w:pPr>
        <w:pStyle w:val="ListBullet"/>
        <w:widowControl/>
      </w:pPr>
      <w:r>
        <w:t>Error tracking with stack trace and release version.</w:t>
      </w:r>
    </w:p>
    <w:p>
      <w:pPr>
        <w:pStyle w:val="ListBullet"/>
        <w:widowControl/>
      </w:pPr>
      <w:r>
        <w:t>Background job monitoring including retry count and dead-letter handling.</w:t>
      </w:r>
    </w:p>
    <w:p>
      <w:pPr>
        <w:pStyle w:val="ListBullet"/>
        <w:widowControl/>
      </w:pPr>
      <w:r>
        <w:t>Database query performance monitoring and storage growth monitoring.</w:t>
      </w:r>
    </w:p>
    <w:p>
      <w:pPr>
        <w:pStyle w:val="ListBullet"/>
        <w:widowControl/>
      </w:pPr>
      <w:r>
        <w:t>Security event monitoring for repeated failed logins, privilege changes and unusual administrative activity.</w:t>
      </w:r>
    </w:p>
    <w:p>
      <w:pPr>
        <w:pStyle w:val="ListBullet"/>
        <w:widowControl/>
      </w:pPr>
      <w:r>
        <w:t>Operational runbooks for backup restore, queue failure, storage outage and release rollback.</w:t>
      </w:r>
    </w:p>
    <w:p>
      <w:pPr>
        <w:pStyle w:val="Heading1"/>
        <w:widowControl/>
      </w:pPr>
      <w:r>
        <w:t>12. Performance and Scalability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Approach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Interactive requests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Optimize common API responses for sub-second backend processing under agreed load where practical.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Dashboard queries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Use indexed queries, read models, caching or pre-aggregation for cross-SOE aggregates.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Large tables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Server-side pagination and filters.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Bulk imports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Asynchronous processing with progress, validation report and resumable correction flow.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Exports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Asynchronous generation for large reports.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Documents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Direct or controlled object-storage streaming rather than loading full files into application memory.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Scale-out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Application and worker instances should be horizontally scalable because they remain stateless.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Use indexes, partitioning where justified and archival strategy as historical volume grows.</w:t>
            </w:r>
          </w:p>
        </w:tc>
      </w:tr>
    </w:tbl>
    <w:p>
      <w:pPr>
        <w:pStyle w:val="Heading1"/>
        <w:widowControl/>
      </w:pPr>
      <w:r>
        <w:t>13. Backup, Recovery and Continuity</w:t>
      </w:r>
    </w:p>
    <w:p>
      <w:pPr>
        <w:pStyle w:val="ListBullet"/>
        <w:widowControl/>
      </w:pPr>
      <w:r>
        <w:t>Automated database backups with point-in-time recovery capability.</w:t>
      </w:r>
    </w:p>
    <w:p>
      <w:pPr>
        <w:pStyle w:val="ListBullet"/>
        <w:widowControl/>
      </w:pPr>
      <w:r>
        <w:t>Redundant document storage and tested restore procedures.</w:t>
      </w:r>
    </w:p>
    <w:p>
      <w:pPr>
        <w:pStyle w:val="ListBullet"/>
        <w:widowControl/>
      </w:pPr>
      <w:r>
        <w:t>Backup encryption and access logging.</w:t>
      </w:r>
    </w:p>
    <w:p>
      <w:pPr>
        <w:pStyle w:val="ListBullet"/>
        <w:widowControl/>
      </w:pPr>
      <w:r>
        <w:t>Regular restore drills in a non-production environment.</w:t>
      </w:r>
    </w:p>
    <w:p>
      <w:pPr>
        <w:pStyle w:val="ListBullet"/>
        <w:widowControl/>
      </w:pPr>
      <w:r>
        <w:t>Documented disaster-recovery runbook.</w:t>
      </w:r>
    </w:p>
    <w:p>
      <w:pPr>
        <w:pStyle w:val="ListBullet"/>
        <w:widowControl/>
      </w:pPr>
      <w:r>
        <w:t>Final Recovery Point Objective (RPO) and Recovery Time Objective (RTO) to be approved with the hosting authority before production sign-off.</w:t>
      </w:r>
    </w:p>
    <w:p>
      <w:pPr>
        <w:pStyle w:val="Heading1"/>
        <w:widowControl/>
      </w:pPr>
      <w:r>
        <w:t>14. Technology Direction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064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Preferred Direction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React / Next.js or equivalent enterprise web framework.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NestJS/Node.js or .NET, subject to team capability and Government technology standards.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Primary Database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PostgreSQL.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GIS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PostGIS plus MapLibre/Leaflet or approved map provider.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Object Storage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S3-compatible storage or approved equivalent.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Cache / Jobs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Redis and/or RabbitMQ depending on hosting support.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Search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PostgreSQL full-text initially; OpenSearch/Elasticsearch only when advanced search volume justifies it.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Containers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Docker.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CI/CD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Git-based pipeline with automated tests, dependency/security scanning and controlled promotion between environments.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Reporting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Server-generated Excel and PDF-compatible outputs.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Identity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7"/>
              </w:rPr>
              <w:t>OIDC/OAuth2-compatible provider or approved government SSO mechanism.</w:t>
            </w:r>
          </w:p>
        </w:tc>
      </w:tr>
    </w:tbl>
    <w:p>
      <w:pPr>
        <w:pStyle w:val="Heading1"/>
        <w:widowControl/>
      </w:pPr>
      <w:r>
        <w:t>15. Future Integration Readiness</w:t>
      </w:r>
    </w:p>
    <w:p>
      <w:pPr>
        <w:widowControl/>
      </w:pPr>
      <w:r>
        <w:t>Phase 1 must not depend on external government APIs. However, the architecture should deliberately preserve an integration boundary for a later phase.</w:t>
      </w:r>
    </w:p>
    <w:p>
      <w:pPr>
        <w:pStyle w:val="ListBullet"/>
        <w:widowControl/>
      </w:pPr>
      <w:r>
        <w:t>Store stable internal IDs plus external-reference fields such as SECP registration number, NTN, PPRA reference or land-record reference where relevant.</w:t>
      </w:r>
    </w:p>
    <w:p>
      <w:pPr>
        <w:pStyle w:val="ListBullet"/>
        <w:widowControl/>
      </w:pPr>
      <w:r>
        <w:t>Use internal APIs rather than direct frontend-to-database access.</w:t>
      </w:r>
    </w:p>
    <w:p>
      <w:pPr>
        <w:pStyle w:val="ListBullet"/>
        <w:widowControl/>
      </w:pPr>
      <w:r>
        <w:t>Keep external-specific transformation logic outside core business services.</w:t>
      </w:r>
    </w:p>
    <w:p>
      <w:pPr>
        <w:pStyle w:val="ListBullet"/>
        <w:widowControl/>
      </w:pPr>
      <w:r>
        <w:t>Plan a future adapter/integration service for authentication, retries, mapping, synchronization status and integration audit history.</w:t>
      </w:r>
    </w:p>
    <w:p>
      <w:pPr>
        <w:pStyle w:val="ListBullet"/>
        <w:widowControl/>
      </w:pPr>
      <w:r>
        <w:t>External verification should supplement the authoritative workflow rather than bypass certification and review rules.</w:t>
      </w:r>
    </w:p>
    <w:p>
      <w:pPr>
        <w:pStyle w:val="Heading1"/>
        <w:widowControl/>
      </w:pPr>
      <w:r>
        <w:t>16. Architecture Decisions and Constraints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5616"/>
      </w:tblGrid>
      <w:tr>
        <w:trPr>
          <w:tblHeader w:val="true"/>
        </w:trPr>
        <w:tc>
          <w:tcPr>
            <w:tcW w:type="dxa" w:w="33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33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ADR-001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Modular monolith for initial backend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Reduces operational complexity while preserving clear business boundaries.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PostgreSQL/PostGIS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Supports relational governance data and first-class GIS in one mature platform.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ADR-003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Object storage for documents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Avoids database bloat and supports secure, scalable evidence storage.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ADR-004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Asynchronous background processing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Protects interactive performance during imports, reports and scheduled jobs.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ADR-005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Approved data feeds intelligence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Prevents dashboards or AI outputs from becoming an uncontrolled source of truth.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ADR-006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External APIs deferred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Initial release remains operational through manual forms, bulk import and evidence upload. Integrations are Phase 2.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ADR-007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Configurable policy thresholds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Avoids hardcoding values that require Government approval or may change.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ADR-008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Separate audit log from application logs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Ensures business accountability is preserved even if technical logs rotate.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66666"/>
        <w:sz w:val="16"/>
      </w:rPr>
      <w:t>Fruit of Sustainability (FOS) | Working Draft</w:t>
    </w:r>
  </w:p>
  <w:p>
    <w:pPr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SOE-GAIP-SAD-001 | SOE-GAIP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2F559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