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color w:val="548dd4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30"/>
          <w:szCs w:val="30"/>
          <w:u w:val="single"/>
          <w:rtl w:val="0"/>
        </w:rPr>
        <w:t xml:space="preserve">CEDAW-Aligned Indicator Matrix: GBV &amp; TFGBV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ind w:left="1080" w:hanging="720"/>
        <w:rPr>
          <w:rFonts w:ascii="Times New Roman" w:cs="Times New Roman" w:eastAsia="Times New Roman" w:hAnsi="Times New Roman"/>
          <w:color w:val="548dd4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u w:val="single"/>
          <w:rtl w:val="0"/>
        </w:rPr>
        <w:t xml:space="preserve">STRUCTURAL INDICATORS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Existence of legal, policy, and institutional frameworks</w:t>
      </w:r>
    </w:p>
    <w:tbl>
      <w:tblPr>
        <w:tblStyle w:val="Table1"/>
        <w:tblpPr w:leftFromText="180" w:rightFromText="180" w:topFromText="0" w:bottomFromText="0" w:vertAnchor="text" w:horzAnchor="text" w:tblpX="0" w:tblpY="1"/>
        <w:tblW w:w="8640.0" w:type="dxa"/>
        <w:jc w:val="left"/>
        <w:tblLayout w:type="fixed"/>
        <w:tblLook w:val="0400"/>
      </w:tblPr>
      <w:tblGrid>
        <w:gridCol w:w="1443"/>
        <w:gridCol w:w="1607"/>
        <w:gridCol w:w="2543"/>
        <w:gridCol w:w="1125"/>
        <w:gridCol w:w="1922"/>
        <w:tblGridChange w:id="0">
          <w:tblGrid>
            <w:gridCol w:w="1443"/>
            <w:gridCol w:w="1607"/>
            <w:gridCol w:w="2543"/>
            <w:gridCol w:w="1125"/>
            <w:gridCol w:w="19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Indicator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Definition / Measurement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Primary Data 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Legal Basis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Legal Framework (GBV)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Comprehensive GBV legislation in force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National law criminalizes domestic violence, sexual violence (including marital rape), sexual harassment, and harmful practices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Statute review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CEDAW Arts. 1–2; General Recommendation (GR) 35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Legal Recognition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GBV recognized as discrimination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Law or policy explicitly defines GBV as discrimination against women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Statute / policy review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CEDAW Art. 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Policy Framework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National GBV action plan adopted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Existence of a time-bound, costed GBV strategy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Govt. policy documents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 35 para 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Institutional Mechanism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National GBV coordination mechanism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Designated inter-ministerial body mandated to coordinate GBV response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Govt. notification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Due diligence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TFGBV Criminalization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TFGBV offences criminalized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Laws address cyberstalking, online sexual harassment, threats, non-consensual image sharing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Penal / cyber laws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 35 para 20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Platform Regulation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Digital platform obligations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Legal duty for platforms to prevent, remove, and report TFGBV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Regulatory framework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Due diligence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Remedies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Survivor access to remedies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Availability of protection orders, takedown orders, civil remedies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Law / rules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CEDAW Art. 2(c)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1"/>
        </w:numPr>
        <w:ind w:left="1080" w:hanging="72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PROCESS INDICATORS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State action, implementation, and due diligence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A. Prevention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00000000002" w:type="dxa"/>
        <w:jc w:val="left"/>
        <w:tblLayout w:type="fixed"/>
        <w:tblLook w:val="0400"/>
      </w:tblPr>
      <w:tblGrid>
        <w:gridCol w:w="1239"/>
        <w:gridCol w:w="2335"/>
        <w:gridCol w:w="2643"/>
        <w:gridCol w:w="1437"/>
        <w:gridCol w:w="986"/>
        <w:tblGridChange w:id="0">
          <w:tblGrid>
            <w:gridCol w:w="1239"/>
            <w:gridCol w:w="2335"/>
            <w:gridCol w:w="2643"/>
            <w:gridCol w:w="1437"/>
            <w:gridCol w:w="98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Indicator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Measurement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Education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Schools with GBV prevention education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% of schools implementing GBV-related curricula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Ministry of Education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Awareness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National GBV awareness campaigns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 of campaigns conducted by State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Govt. reports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Capacity Building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Officials trained on GBV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% of police, judges, prosecutors trained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Training records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TFGBV Capacity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Cyber-GBV trained personnel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% of cyber units trained on TFGBV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Law enforcement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Digital Literacy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Online safety programmes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Existence and coverage of State-led programmes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ICT Ministry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Biennial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color w:val="548dd4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48dd4"/>
          <w:sz w:val="24"/>
          <w:szCs w:val="24"/>
          <w:u w:val="single"/>
          <w:rtl w:val="0"/>
        </w:rPr>
        <w:t xml:space="preserve">B. Protection and Support</w:t>
      </w:r>
    </w:p>
    <w:tbl>
      <w:tblPr>
        <w:tblStyle w:val="Table3"/>
        <w:tblW w:w="8640.0" w:type="dxa"/>
        <w:jc w:val="left"/>
        <w:tblLayout w:type="fixed"/>
        <w:tblLook w:val="0400"/>
      </w:tblPr>
      <w:tblGrid>
        <w:gridCol w:w="1222"/>
        <w:gridCol w:w="2287"/>
        <w:gridCol w:w="2904"/>
        <w:gridCol w:w="1241"/>
        <w:gridCol w:w="986"/>
        <w:tblGridChange w:id="0">
          <w:tblGrid>
            <w:gridCol w:w="1222"/>
            <w:gridCol w:w="2287"/>
            <w:gridCol w:w="2904"/>
            <w:gridCol w:w="1241"/>
            <w:gridCol w:w="98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Indicator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Measurement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Shelter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Shelters per 100,000 women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Ratio of shelters to female population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Social welfare dept.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Helplines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24/7 GBV helpline operational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National helpline available nationwide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Govt. services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Survivor Support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Survivors receiving psychosocial care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% of registered survivors receiving services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 providers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TFGBV Support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Digital evidence mechanisms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Availability of mechanisms to preserve digital evidence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Police / courts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Platform Response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Average takedown time (hours)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Time between complaint and content removal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Platform reports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</w:t>
            </w:r>
          </w:p>
        </w:tc>
      </w:tr>
    </w:tbl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color w:val="548d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color w:val="548d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color w:val="548d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color w:val="548dd4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48dd4"/>
          <w:sz w:val="24"/>
          <w:szCs w:val="24"/>
          <w:u w:val="single"/>
          <w:rtl w:val="0"/>
        </w:rPr>
        <w:t xml:space="preserve">C. Access to Justice &amp; Accountability</w:t>
      </w:r>
    </w:p>
    <w:tbl>
      <w:tblPr>
        <w:tblStyle w:val="Table4"/>
        <w:tblW w:w="8640.000000000002" w:type="dxa"/>
        <w:jc w:val="left"/>
        <w:tblLayout w:type="fixed"/>
        <w:tblLook w:val="0400"/>
      </w:tblPr>
      <w:tblGrid>
        <w:gridCol w:w="1234"/>
        <w:gridCol w:w="2137"/>
        <w:gridCol w:w="3098"/>
        <w:gridCol w:w="1185"/>
        <w:gridCol w:w="986"/>
        <w:tblGridChange w:id="0">
          <w:tblGrid>
            <w:gridCol w:w="1234"/>
            <w:gridCol w:w="2137"/>
            <w:gridCol w:w="3098"/>
            <w:gridCol w:w="1185"/>
            <w:gridCol w:w="98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Indicator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Measurement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Reporting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GBV complaints registered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 of GBV complaints filed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Police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Prosecution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GBV prosecution rate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% of reported cases prosecuted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Prosecutor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Conviction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GBV conviction rate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% of prosecuted cases resulting in conviction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Court records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TFGBV Justice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TFGBV cases adjudicated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 of TFGBV cases reaching adjudication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Courts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Timeliness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Average case duration (months)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Time from filing to judgment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Court statistics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</w:t>
            </w:r>
          </w:p>
        </w:tc>
      </w:tr>
    </w:tbl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numPr>
          <w:ilvl w:val="0"/>
          <w:numId w:val="1"/>
        </w:numPr>
        <w:ind w:left="1080" w:hanging="72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OUTCOME INDICATORS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Impact on prevalence, safety, and equality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ind w:left="36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A. Prevalence &amp; Incidence</w:t>
      </w:r>
    </w:p>
    <w:tbl>
      <w:tblPr>
        <w:tblStyle w:val="Table5"/>
        <w:tblW w:w="8640.0" w:type="dxa"/>
        <w:jc w:val="left"/>
        <w:tblLayout w:type="fixed"/>
        <w:tblLook w:val="0400"/>
      </w:tblPr>
      <w:tblGrid>
        <w:gridCol w:w="1171"/>
        <w:gridCol w:w="2417"/>
        <w:gridCol w:w="2863"/>
        <w:gridCol w:w="1332"/>
        <w:gridCol w:w="857"/>
        <w:tblGridChange w:id="0">
          <w:tblGrid>
            <w:gridCol w:w="1171"/>
            <w:gridCol w:w="2417"/>
            <w:gridCol w:w="2863"/>
            <w:gridCol w:w="1332"/>
            <w:gridCol w:w="85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Indicator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Measurement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Legal Basis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IPV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Intimate partner violence prevalence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Women experiencing IPV (12-month / lifetime)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Population surveys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SDG 5.2.1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Sexual Violence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Sexual violence prevalence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Lifetime experience of sexual violence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Surveys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SDG 5.2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Femicide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Femicide 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Gender-related killings per 100,000 women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Police / health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 35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TFGBV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Online harassment prevalence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Women experiencing online abuse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Surveys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 35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Image Abuse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Image-based abuse prevalence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Non-consensual image sharing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Surveys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 35</w:t>
            </w:r>
          </w:p>
        </w:tc>
      </w:tr>
    </w:tbl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color w:val="548dd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color w:val="548dd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color w:val="548dd4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48dd4"/>
          <w:sz w:val="24"/>
          <w:szCs w:val="24"/>
          <w:u w:val="single"/>
          <w:rtl w:val="0"/>
        </w:rPr>
        <w:t xml:space="preserve">B. Access to Justice &amp; Social Norms</w:t>
      </w:r>
    </w:p>
    <w:tbl>
      <w:tblPr>
        <w:tblStyle w:val="Table6"/>
        <w:tblW w:w="8640.000000000002" w:type="dxa"/>
        <w:jc w:val="left"/>
        <w:tblLayout w:type="fixed"/>
        <w:tblLook w:val="0400"/>
      </w:tblPr>
      <w:tblGrid>
        <w:gridCol w:w="1109"/>
        <w:gridCol w:w="2518"/>
        <w:gridCol w:w="2441"/>
        <w:gridCol w:w="1450"/>
        <w:gridCol w:w="1122"/>
        <w:tblGridChange w:id="0">
          <w:tblGrid>
            <w:gridCol w:w="1109"/>
            <w:gridCol w:w="2518"/>
            <w:gridCol w:w="2441"/>
            <w:gridCol w:w="1450"/>
            <w:gridCol w:w="11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Indicator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Measurement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Legal Basis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Reporting Gap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Reporting rate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% of survivors reporting incidents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Surveys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CEDAW Art. 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Survivor Trust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Satisfaction with justice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Survivor satisfaction surveys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Independent surveys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Due diligence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Social Norms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Rejection of GBV-justifying attitudes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Attitude surveys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National surveys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CEDAW Art.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Repeat Harm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Repeat victimization 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% experiencing repeated GBV/TFGBV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Police / surveys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 35</w:t>
            </w:r>
          </w:p>
        </w:tc>
      </w:tr>
    </w:tbl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P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