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2865" w14:textId="77777777" w:rsidR="003549ED" w:rsidRPr="003549ED" w:rsidRDefault="003549ED" w:rsidP="00BC1AD4">
      <w:pPr>
        <w:jc w:val="both"/>
      </w:pPr>
    </w:p>
    <w:p w14:paraId="0D9F71E0" w14:textId="77777777" w:rsidR="003549ED" w:rsidRPr="003549ED" w:rsidRDefault="003549ED" w:rsidP="00BC1AD4">
      <w:pPr>
        <w:jc w:val="both"/>
      </w:pPr>
      <w:r w:rsidRPr="003549ED">
        <w:rPr>
          <w:b/>
          <w:bCs/>
        </w:rPr>
        <w:t>RESEARCH PROPOSAL TEMPLATE /</w:t>
      </w:r>
    </w:p>
    <w:p w14:paraId="38E06748" w14:textId="77777777" w:rsidR="003549ED" w:rsidRPr="003549ED" w:rsidRDefault="003549ED" w:rsidP="00BC1AD4">
      <w:pPr>
        <w:jc w:val="both"/>
      </w:pPr>
      <w:r w:rsidRPr="003549ED">
        <w:rPr>
          <w:b/>
          <w:bCs/>
        </w:rPr>
        <w:t>THUYẾT MINH ĐỀ CƯƠNG NGHIÊN CỨU</w:t>
      </w:r>
    </w:p>
    <w:p w14:paraId="13E704E2"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3BACD2B6"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B30FC5" w14:textId="77777777" w:rsidR="003549ED" w:rsidRPr="003549ED" w:rsidRDefault="003549ED" w:rsidP="00BC1AD4">
            <w:pPr>
              <w:jc w:val="both"/>
            </w:pPr>
            <w:r w:rsidRPr="003549ED">
              <w:rPr>
                <w:b/>
                <w:bCs/>
              </w:rPr>
              <w:t>Research title</w:t>
            </w:r>
          </w:p>
          <w:p w14:paraId="1070BEDA"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
              <w:t>Explainable CLV Ranking and Uplift-Aware Customer Targeting Across Retail Contexts</w:t>
            </w:r>
          </w:p>
        </w:tc>
      </w:tr>
      <w:tr w:rsidR="003549ED" w:rsidRPr="003549ED" w14:paraId="25AC2C2A"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C5A4B"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C0E8B5" w14:textId="77777777" w:rsidR="003549ED" w:rsidRPr="003549ED" w:rsidRDefault="003E4210" w:rsidP="00BC1AD4">
            <w:pPr>
              <w:jc w:val="both"/>
            </w:pPr>
            <w:r>
              <w:t>Nguyễn Hoàng Linh</w:t>
            </w:r>
          </w:p>
        </w:tc>
      </w:tr>
      <w:tr w:rsidR="003549ED" w:rsidRPr="003549ED" w14:paraId="07A96843"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271AE0" w14:textId="77777777" w:rsidR="003549ED" w:rsidRPr="003549ED" w:rsidRDefault="003549ED" w:rsidP="00BC1AD4">
            <w:pPr>
              <w:jc w:val="both"/>
            </w:pPr>
            <w:r w:rsidRPr="003549ED">
              <w:rPr>
                <w:b/>
                <w:bCs/>
              </w:rPr>
              <w:t>Members</w:t>
            </w:r>
          </w:p>
          <w:p w14:paraId="4C3EF87D"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CFA994" w14:textId="77777777" w:rsidR="003549ED" w:rsidRPr="003549ED" w:rsidRDefault="003E4210" w:rsidP="00BC1AD4">
            <w:pPr>
              <w:jc w:val="both"/>
            </w:pPr>
            <w:r>
              <w:t>Nguyễn Vũ Minh Ánh – SE203412</w:t>
            </w:r>
          </w:p>
        </w:tc>
      </w:tr>
    </w:tbl>
    <w:p w14:paraId="09118F7C" w14:textId="77777777" w:rsidR="003549ED" w:rsidRPr="003E4210" w:rsidRDefault="003549ED" w:rsidP="00BC1AD4">
      <w:pPr>
        <w:jc w:val="both"/>
      </w:pPr>
    </w:p>
    <w:p w14:paraId="01BA43EB"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27FCA60C" w14:textId="77777777" w:rsidR="00E10C77" w:rsidRDefault="00E10C77" w:rsidP="00BC1AD4">
      <w:pPr>
        <w:jc w:val="both"/>
        <w:rPr>
          <w:iCs/>
        </w:rPr>
      </w:pPr>
      <w:r w:rsidRPr="00E10C77">
        <w:rPr>
          <w:iCs/>
          <w:lang w:val="en-US"/>
        </w:rPr>
        <w:t>This proposal presents a deployment-oriented study that connects Customer Lifetime Value (CLV) ranking with uplift-aware customer targeting across multiple retail contexts. Phase 1 answered who is valuable; Phase 2 asks who is worth targeting. The study re-estimates an explainable two-stage Hurdle-Semantic CLV model across UK online retail and US grocery data, then estimates uplift (incremental treatment effect) on a randomised supermarket SMS campaign, and finally fuses the two into a value-adjusted uplift targeting rule. Following the PBL + RBL framework, the project builds a complete Python and SQL pipeline (ingestion, cleaning, EDA, feature engineering, modelling, evaluation, dashboard) and benchmarks more than five predictive models against published baselines using business-oriented metrics: Normalized Gini and Revenue Capture@10% for CLV, and Qini AUC and uplift@K for targeting. A central design commitment is causal cleanliness: only the randomised campaign is used for causal uplift. The expected contribution is an explainable, reproducible framework that identifies customers who are both valuable and incrementally persuadable for budget-constrained marketing.</w:t>
      </w:r>
      <w:proofErr w:type="spellStart"/>
      <w:r w:rsidRPr="00E10C77">
        <w:rPr>
          <w:iCs/>
          <w:lang w:val="en-US"/>
        </w:rPr>
      </w:r>
      <w:proofErr w:type="spellEnd"/>
      <w:r w:rsidRPr="00E10C77">
        <w:rPr>
          <w:iCs/>
          <w:lang w:val="en-US"/>
        </w:rPr>
      </w:r>
      <w:proofErr w:type="gramStart"/>
      <w:r w:rsidRPr="00E10C77">
        <w:rPr>
          <w:iCs/>
          <w:lang w:val="en-US"/>
        </w:rPr>
      </w:r>
      <w:proofErr w:type="gramEnd"/>
      <w:r w:rsidRPr="00E10C77">
        <w:rPr>
          <w:iCs/>
          <w:lang w:val="en-US"/>
        </w:rPr>
      </w:r>
      <w:proofErr w:type="spellStart"/>
      <w:r w:rsidRPr="00E10C77">
        <w:rPr>
          <w:iCs/>
          <w:lang w:val="en-US"/>
        </w:rPr>
      </w:r>
      <w:proofErr w:type="spellEnd"/>
      <w:r w:rsidRPr="00E10C77">
        <w:rPr>
          <w:iCs/>
          <w:lang w:val="en-US"/>
        </w:rPr>
      </w:r>
    </w:p>
    <w:p w14:paraId="46F13E00" w14:textId="0E8BE5D4" w:rsidR="003E4210" w:rsidRPr="003E4210" w:rsidRDefault="00566206" w:rsidP="00BC1AD4">
      <w:pPr>
        <w:jc w:val="both"/>
        <w:rPr>
          <w:lang w:val="en-US"/>
        </w:rPr>
      </w:pPr>
      <w:r w:rsidRPr="00566206">
        <w:rPr>
          <w:b/>
          <w:bCs/>
          <w:lang w:val="en-US"/>
        </w:rPr>
        <w:t>Key words: Customer Lifetime Value, Uplift Modelling, Hurdle Model, Explainability,</w:t>
      </w:r>
      <w:r w:rsidR="003E4210" w:rsidRPr="003E4210">
        <w:rPr>
          <w:lang w:val="en-US"/>
        </w:rPr>
      </w:r>
    </w:p>
    <w:p w14:paraId="2FE456ED" w14:textId="77777777" w:rsidR="00566206" w:rsidRPr="003E4210" w:rsidRDefault="003E4210" w:rsidP="00BC1AD4">
      <w:pPr>
        <w:jc w:val="both"/>
      </w:pPr>
      <w:r w:rsidRPr="003E4210">
        <w:rPr>
          <w:lang w:val="en-US"/>
        </w:rPr>
        <w:t>Conformal Prediction, Cross-Context Generalisation, Campaign Targeting, SQL, Python</w:t>
      </w:r>
    </w:p>
    <w:p w14:paraId="65E77C2A" w14:textId="77777777" w:rsidR="00566206" w:rsidRPr="00566206" w:rsidRDefault="00566206" w:rsidP="00BC1AD4">
      <w:pPr>
        <w:jc w:val="both"/>
        <w:rPr>
          <w:b/>
          <w:bCs/>
          <w:lang w:val="en-US"/>
        </w:rPr>
      </w:pPr>
    </w:p>
    <w:p w14:paraId="7C934EB1"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3A3ECAAC"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15F1F164" w14:textId="15DF4F31"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r/>
      <w:r w:rsidR="00E02C11"/>
      <w:r/>
      <w:r w:rsidR="00E02C11"/>
      <w:r/>
      <w:r w:rsidR="00E02C11"/>
      <w:r/>
    </w:p>
    <w:p w14:paraId="7DC6590C" w14:textId="5961EABD" w:rsidR="001235D3" w:rsidRDefault="00000000" w:rsidP="00BC1AD4">
      <w:pPr>
        <w:jc w:val="both"/>
      </w:pPr>
      <w:r>
        <w:t>In parallel, uplift modelling estimates the incremental effect of a marketing action rather than the response level (Gutierrez &amp; Gerardy, 2017), using meta-learners such as the X-Learner (Kunzel et al., 2019) and causal forests. Although CLV and uplift are both mature, they are seldom studied together or across heterogeneous retail contexts. This gap motivates a unified, explainable framework that ranks customers by value, estimates their persuadability, and fuses the two for budget-constrained targeting.</w:t>
      </w:r>
      <w:r w:rsidR="00E02C11"/>
      <w:r/>
      <w:r w:rsidR="00E02C11"/>
      <w:r/>
    </w:p>
    <w:p w14:paraId="3D532BC1" w14:textId="77777777" w:rsidR="00566206" w:rsidRPr="00566206" w:rsidRDefault="00566206" w:rsidP="00BC1AD4">
      <w:pPr>
        <w:jc w:val="both"/>
        <w:rPr>
          <w:b/>
          <w:bCs/>
          <w:i/>
          <w:lang w:val="en-US"/>
        </w:rPr>
      </w:pPr>
    </w:p>
    <w:p w14:paraId="3AC25179"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18870FC9" w14:textId="329DC790"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0CCC29F7" w14:textId="52120643"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4E4F9B65" w14:textId="054CB36F" w:rsidR="00A14426" w:rsidRDefault="00A14426" w:rsidP="00BC1AD4">
      <w:pPr>
        <w:jc w:val="both"/>
      </w:pPr>
      <w:r>
        <w:t>Marketing budgets are finite, so allocating retention incentives uniformly is inefficient. Future revenue and campaign response are both concentrated, but in different customers: the highest-value customers are often already loyal, while the truly persuadable may be of moderate value. This study addresses the practical problem of identifying, before a campaign, which customers are both valuable and incrementally responsive, so that limited budget is concentrated where it changes behaviour.</w:t>
      </w:r>
      <w:r/>
    </w:p>
    <w:p w14:paraId="7B1E2169" w14:textId="5F095D49" w:rsidR="00566206" w:rsidRPr="00566206" w:rsidRDefault="00A14426" w:rsidP="00BC1AD4">
      <w:pPr>
        <w:jc w:val="both"/>
        <w:rPr>
          <w:b/>
          <w:bCs/>
          <w:i/>
          <w:lang w:val="en-US"/>
        </w:rPr>
      </w:pPr>
      <w:r>
        <w:t>The necessity of the research lies in connecting two mechanisms that value-only models conflate: whether a customer is valuable, and whether a campaign actually changes their behaviour. A two-stage Hurdle model separates purchase incidence from spend magnitude; uplift learners estimate incremental effect on a randomised campaign; and a value-adjusted uplift score fuses the two. Beyond accuracy, the study emphasises cross-context robustness, SHAP interpretation, calibrated uncertainty, and transparent significance testing, yielding a reproducible decision-support framework for value-based, risk-aware targeting.</w:t>
      </w:r>
    </w:p>
    <w:p w14:paraId="4DF4BE71"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213CFD58" w14:textId="5F149076" w:rsidR="00473905" w:rsidRDefault="00473905" w:rsidP="00BC1AD4">
      <w:pPr>
        <w:jc w:val="both"/>
      </w:pPr>
      <w:r>
        <w:t>The project pursues five concrete objectives, each mapped to the proposed workflow:</w:t>
      </w:r>
    </w:p>
    <w:p w14:paraId="30BD223D" w14:textId="32F6EE23" w:rsidR="00473905" w:rsidRDefault="00473905" w:rsidP="00BC1AD4">
      <w:pPr>
        <w:jc w:val="both"/>
      </w:pPr>
      <w:r w:rsidRPr="00473905">
        <w:rPr>
          <w:b/>
          <w:bCs/>
        </w:rPr>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r/>
    </w:p>
    <w:p w14:paraId="78A2DD54" w14:textId="461A8470" w:rsidR="00473905" w:rsidRDefault="00473905" w:rsidP="00BC1AD4">
      <w:pPr>
        <w:jc w:val="both"/>
      </w:pPr>
      <w:r w:rsidRPr="00473905">
        <w:rPr>
          <w:b/>
          <w:bCs/>
        </w:rPr>
        <w:t>O2. Re-estimate the explainable Hurdle-Semantic CLV model across the UK online-retail and US grocery contexts under a walk-forward (temporal) protocol aligned with prior work, and test, with paired tests and bootstrap confidence intervals, whether the framework is robust and which feature groups (behavioural, sequence, semantic) add ranking value via leave-one-group-out ablation. This addresses RQ1 and RQ2.</w:t>
      </w:r>
      <w:r/>
    </w:p>
    <w:p w14:paraId="13D254DC" w14:textId="0257A0B9" w:rsidR="00473905" w:rsidRDefault="00473905" w:rsidP="00BC1AD4">
      <w:pPr>
        <w:jc w:val="both"/>
      </w:pPr>
      <w:r w:rsidRPr="00473905">
        <w:rPr>
          <w:b/>
          <w:bCs/>
        </w:rPr>
        <w:t>O3. Train, tune, and compare more than five predictive models, including CLV regressors (Mean, Monetary, RFM, Ridge, Random Forest, XGBoost, LightGBM, and the proposed Hurdle) against probabilistic baselines, and uplift learners (S/T/X-Learner, class transformation) against response and random baselines.</w:t>
      </w:r>
      <w:r/>
    </w:p>
    <w:p w14:paraId="070E267C" w14:textId="77777777" w:rsidR="00473905" w:rsidRDefault="00473905" w:rsidP="00BC1AD4">
      <w:pPr>
        <w:jc w:val="both"/>
      </w:pPr>
      <w:r w:rsidRPr="00473905">
        <w:rPr>
          <w:b/>
          <w:bCs/>
        </w:rPr>
        <w:t>O4. On the randomised X5 campaign, evaluate whether uplift-aware targeting outperforms CLV-only, RFM-only, and response-model targeting, using Qini AUC, AUUC, and uplift@K. This addresses RQ3.</w:t>
      </w:r>
      <w:r/>
    </w:p>
    <w:p w14:paraId="44E71D1E" w14:textId="77777777" w:rsidR="00473905" w:rsidRDefault="00473905" w:rsidP="00BC1AD4">
      <w:pPr>
        <w:jc w:val="both"/>
      </w:pPr>
    </w:p>
    <w:p w14:paraId="1CF487A2" w14:textId="7154D8F8" w:rsidR="00566206" w:rsidRPr="00566206" w:rsidRDefault="00473905" w:rsidP="00BC1AD4">
      <w:pPr>
        <w:jc w:val="both"/>
        <w:rPr>
          <w:b/>
          <w:bCs/>
          <w:i/>
          <w:lang w:val="en-US"/>
        </w:rPr>
      </w:pPr>
      <w:r w:rsidRPr="00473905">
        <w:rPr>
          <w:b/>
          <w:bCs/>
        </w:rPr>
        <w:t>O5. Combine predicted value with uplift into a value-adjusted policy, simulate campaign profit under budget constraints, and deliver an interactive targeting dashboard and a complete AI Audit Log documenting the Human Delta. This addresses RQ4.</w:t>
      </w:r>
      <w:r/>
    </w:p>
    <w:p w14:paraId="6C042492"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5FBE341" w14:textId="4F252B80"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causal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ten-week PBL + RBL schedule. Production deployment is out of scope.</w:t>
      </w:r>
      <w:r w:rsidR="00477A88" w:rsidRPr="00477A88"/>
      <w:r/>
      <w:r w:rsidR="00E02C11"/>
      <w:r/>
      <w:r w:rsidR="00E02C11"/>
      <w:r/>
    </w:p>
    <w:p w14:paraId="5B4A3C4F"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49F87ABD" w14:textId="77777777" w:rsidR="001235D3" w:rsidRDefault="00000000" w:rsidP="00BC1AD4">
      <w:pPr>
        <w:jc w:val="both"/>
      </w:pPr>
      <w:r>
        <w:t>The project is feasible within ten weeks. All datasets are public and of moderate size, running on a standard laptop without specialised hardware. Tools are open-source and mature (pandas, scikit-learn, XGBoost, LightGBM, SHAP, scikit-uplift, DuckDB, Plotly). The main risk is the large X5 purchase history (~670 MB) over an unreliable link, mitigated by a resumable, integrity-checked downloader with a manual fallback. Other risks (causal misuse, overclaiming, leakage between phases) are mitigated by restricting causal estimation to the randomised design, reporting bootstrap confidence intervals, and isolating Phase 2 in a separate write-guarded project tree. A pinned environment and a single reproduction script ensure reproducibility.</w:t>
      </w:r>
    </w:p>
    <w:p w14:paraId="5C898EE8"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6C2FFA27" w14:textId="66547505" w:rsidR="00473905" w:rsidRPr="00473905" w:rsidRDefault="00473905" w:rsidP="00BC1AD4">
      <w:pPr>
        <w:jc w:val="both"/>
        <w:rPr>
          <w:bCs/>
        </w:rPr>
      </w:pPr>
      <w:r w:rsidRPr="00BC1AD4">
        <w:rPr>
          <w:b/>
        </w:rPr>
        <w:t>Pipeline (SQL + Python). The project follows an end-to-end pipeline covering ingestion, cleaning, EDA, feature engineering, modelling, evaluation, and dashboard reporting. SQL analytics on DuckDB support per-customer RFM, RFM segmentation, cohort activity, zero-rate-by-context, treatment/control balance, top-value customers, and top-response vs top-uplift decile overlap. A shared Python normaliser maps every dataset to a common transaction schema so the same feature code (RFM, behavioural, monthly-sequence, and semantic-graph features) runs on each context without leakage.</w:t>
      </w:r>
      <w:r w:rsidRPr="00473905">
        <w:rPr>
          <w:bCs/>
        </w:rPr>
      </w:r>
      <w:r w:rsidRPr="00473905">
        <w:rPr>
          <w:bCs/>
        </w:rPr>
      </w:r>
    </w:p>
    <w:p w14:paraId="1CF6963A" w14:textId="49F2817E" w:rsidR="00473905" w:rsidRPr="00473905" w:rsidRDefault="00473905" w:rsidP="00BC1AD4">
      <w:pPr>
        <w:jc w:val="both"/>
        <w:rPr>
          <w:bCs/>
        </w:rPr>
      </w:pPr>
      <w:r w:rsidRPr="00BC1AD4">
        <w:rPr>
          <w:b/>
        </w:rPr>
        <w:t>Modelling core (proposed contribution). Module A is a two-stage LightGBM Hurdle CLV model: Stage 1 estimates purchase incidence P(y&gt;0 | x); Stage 2 estimates conditional log-spend for positive customers; the outputs recombine with a lognormal correction. Module B builds semantic product embeddings via PPMI co-occurrence and truncated SVD, and revenue-weighted customer taste vectors. Module C estimates uplift with S/T/X-Learners and class transformation. Module D scores customers by value-adjusted uplift, the product of predicted uplift and a historical-spend value proxy.</w:t>
      </w:r>
      <w:r w:rsidRPr="00473905">
        <w:rPr>
          <w:bCs/>
        </w:rPr>
      </w:r>
      <w:r w:rsidR="00BC1AD4" w:rsidRPr="00BC1AD4">
        <w:rPr>
          <w:bCs/>
        </w:rPr>
      </w:r>
      <w:r w:rsidRPr="00473905">
        <w:rPr>
          <w:bCs/>
        </w:rPr>
      </w:r>
      <w:r w:rsidR="00BC1AD4" w:rsidRPr="00BC1AD4">
        <w:rPr>
          <w:bCs/>
        </w:rPr>
      </w:r>
      <w:r w:rsidRPr="00473905">
        <w:rPr>
          <w:bCs/>
        </w:rPr>
      </w:r>
    </w:p>
    <w:p w14:paraId="5143B15D" w14:textId="77777777" w:rsidR="00473905" w:rsidRDefault="00473905" w:rsidP="00BC1AD4">
      <w:pPr>
        <w:jc w:val="both"/>
        <w:rPr>
          <w:bCs/>
        </w:rPr>
      </w:pPr>
      <w:r w:rsidRPr="00473905">
        <w:rPr>
          <w:bCs/>
        </w:rPr>
        <w:t>Benchmark models. For CLV, the Hurdle model is benchmarked against Mean and Monetary baselines, an RFM score, Ridge, Random Forest, and XGBoost. For uplift, the learners are benchmarked against a response model (which ranks by purchase probability) and a random baseline. This comfortably exceeds the five-model requirement and compares against published baselines on both the CLV and the uplift side.</w:t>
      </w:r>
    </w:p>
    <w:p w14:paraId="7537E8B9" w14:textId="6EC2703D" w:rsidR="001235D3" w:rsidRDefault="00473905" w:rsidP="00BC1AD4">
      <w:pPr>
        <w:jc w:val="both"/>
      </w:pPr>
      <w:r w:rsidRPr="00473905">
        <w:rPr>
          <w:b/>
        </w:rPr>
        <w:t>Tuning and evaluation. CLV is a forecasting task, so we use a walk-forward (temporal) protocol rather than a random split: for the e-commerce context we reuse the prior walk-forward windows and feature set so results are temporally valid and directly comparable with prior work, and for grocery we build week-level observation-to-prediction windows; metrics are reported as the mean and standard deviation across windows. The primary tier reports ranking quality (Normalized Gini, Revenue Capture@10%) for CLV and Qini AUC, AUUC and uplift@K for uplift; the secondary tier reports MAE/RMSE and decile calibration, with conformalized quantile regression for valid prediction intervals. To attribute feature value honestly we run a leave-one-group-out ablation (dropping behavioural, sequence and semantic groups in turn) with paired tests across windows. For the campaign we verify a balanced treatment/control design via standardised mean differences, analyse the overlap between value-based and uplift-based targeting, and run a profit sensitivity sweep over contact-cost and margin assumptions. Significance is assessed with paired tests and bootstrap confidence intervals, and any non-significant result (notably dollar-level profit differences) is reported transparently rather than overclaimed.</w:t>
      </w:r>
      <w:r w:rsidRPr="00473905">
        <w:rPr>
          <w:bCs/>
        </w:rPr>
      </w:r>
      <w:r w:rsidR="00BC1AD4">
        <w:rPr>
          <w:bCs/>
        </w:rPr>
      </w:r>
      <w:r w:rsidR="00BC1AD4" w:rsidRPr="00BC1AD4">
        <w:rPr>
          <w:bCs/>
          <w:vertAlign w:val="superscript"/>
        </w:rPr>
      </w:r>
      <w:r w:rsidRPr="00473905">
        <w:rPr>
          <w:bCs/>
        </w:rPr>
      </w:r>
    </w:p>
    <w:p w14:paraId="7CE7E528"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674F3BB8" w14:textId="77777777" w:rsidR="001235D3" w:rsidRDefault="00000000" w:rsidP="00BC1AD4">
      <w:pPr>
        <w:jc w:val="both"/>
      </w:pPr>
      <w:r>
        <w:t>The project is executed over ten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1625"/>
        <w:gridCol w:w="2697"/>
        <w:gridCol w:w="2611"/>
      </w:tblGrid>
      <w:tr w:rsidR="00566206" w:rsidRPr="00566206" w14:paraId="6B61CD4C"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65B2FC59" w14:textId="77777777" w:rsidR="00566206" w:rsidRPr="00566206" w:rsidRDefault="00566206" w:rsidP="00BC1AD4">
            <w:pPr>
              <w:jc w:val="both"/>
              <w:rPr>
                <w:b/>
                <w:bCs/>
                <w:lang w:val="en-US"/>
              </w:rPr>
            </w:pPr>
            <w:r w:rsidRPr="00566206">
              <w:rPr>
                <w:b/>
                <w:bCs/>
                <w:lang w:val="en-US"/>
              </w:rPr>
              <w:t>No.</w:t>
            </w:r>
          </w:p>
        </w:tc>
        <w:tc>
          <w:tcPr>
            <w:tcW w:w="1530" w:type="dxa"/>
            <w:tcBorders>
              <w:top w:val="single" w:sz="4" w:space="0" w:color="000000"/>
              <w:left w:val="single" w:sz="4" w:space="0" w:color="000000"/>
              <w:bottom w:val="single" w:sz="4" w:space="0" w:color="000000"/>
              <w:right w:val="single" w:sz="4" w:space="0" w:color="000000"/>
            </w:tcBorders>
            <w:hideMark/>
          </w:tcPr>
          <w:p w14:paraId="1E87E1DD" w14:textId="77777777" w:rsidR="00566206" w:rsidRPr="00566206" w:rsidRDefault="00566206" w:rsidP="00BC1AD4">
            <w:pPr>
              <w:jc w:val="both"/>
              <w:rPr>
                <w:b/>
                <w:bCs/>
                <w:lang w:val="en-US"/>
              </w:rPr>
            </w:pPr>
            <w:r w:rsidRPr="00566206">
              <w:rPr>
                <w:b/>
                <w:bCs/>
                <w:lang w:val="en-US"/>
              </w:rPr>
              <w:t>Date</w:t>
            </w:r>
          </w:p>
        </w:tc>
        <w:tc>
          <w:tcPr>
            <w:tcW w:w="1624" w:type="dxa"/>
            <w:tcBorders>
              <w:top w:val="single" w:sz="4" w:space="0" w:color="000000"/>
              <w:left w:val="single" w:sz="4" w:space="0" w:color="000000"/>
              <w:bottom w:val="single" w:sz="4" w:space="0" w:color="000000"/>
              <w:right w:val="single" w:sz="4" w:space="0" w:color="000000"/>
            </w:tcBorders>
            <w:hideMark/>
          </w:tcPr>
          <w:p w14:paraId="5DF0949B" w14:textId="77777777" w:rsidR="00566206" w:rsidRPr="00566206" w:rsidRDefault="00566206" w:rsidP="00BC1AD4">
            <w:pPr>
              <w:jc w:val="both"/>
              <w:rPr>
                <w:b/>
                <w:bCs/>
                <w:lang w:val="en-US"/>
              </w:rPr>
            </w:pPr>
            <w:r w:rsidRPr="00566206">
              <w:rPr>
                <w:b/>
                <w:bCs/>
                <w:lang w:val="en-US"/>
              </w:rPr>
              <w:t>Task</w:t>
            </w:r>
          </w:p>
        </w:tc>
        <w:tc>
          <w:tcPr>
            <w:tcW w:w="2696" w:type="dxa"/>
            <w:tcBorders>
              <w:top w:val="single" w:sz="4" w:space="0" w:color="000000"/>
              <w:left w:val="single" w:sz="4" w:space="0" w:color="000000"/>
              <w:bottom w:val="single" w:sz="4" w:space="0" w:color="000000"/>
              <w:right w:val="single" w:sz="4" w:space="0" w:color="000000"/>
            </w:tcBorders>
            <w:hideMark/>
          </w:tcPr>
          <w:p w14:paraId="7181D66C" w14:textId="77777777" w:rsidR="00566206" w:rsidRPr="00566206" w:rsidRDefault="00566206" w:rsidP="00BC1AD4">
            <w:pPr>
              <w:jc w:val="both"/>
              <w:rPr>
                <w:b/>
                <w:bCs/>
                <w:lang w:val="en-US"/>
              </w:rPr>
            </w:pPr>
            <w:r w:rsidRPr="00566206">
              <w:rPr>
                <w:b/>
                <w:bCs/>
                <w:lang w:val="en-US"/>
              </w:rPr>
              <w:t>Output</w:t>
            </w:r>
          </w:p>
        </w:tc>
        <w:tc>
          <w:tcPr>
            <w:tcW w:w="2610" w:type="dxa"/>
            <w:tcBorders>
              <w:top w:val="single" w:sz="4" w:space="0" w:color="000000"/>
              <w:left w:val="single" w:sz="4" w:space="0" w:color="000000"/>
              <w:bottom w:val="single" w:sz="4" w:space="0" w:color="000000"/>
              <w:right w:val="single" w:sz="4" w:space="0" w:color="000000"/>
            </w:tcBorders>
            <w:hideMark/>
          </w:tcPr>
          <w:p w14:paraId="1D0BDE74" w14:textId="77777777" w:rsidR="00566206" w:rsidRPr="00566206" w:rsidRDefault="00566206" w:rsidP="00BC1AD4">
            <w:pPr>
              <w:jc w:val="both"/>
              <w:rPr>
                <w:b/>
                <w:bCs/>
                <w:lang w:val="en-US"/>
              </w:rPr>
            </w:pPr>
            <w:r w:rsidRPr="00566206">
              <w:rPr>
                <w:b/>
                <w:bCs/>
                <w:lang w:val="en-US"/>
              </w:rPr>
              <w:t>Person in charge</w:t>
            </w:r>
          </w:p>
        </w:tc>
      </w:tr>
      <w:tr w:rsidR="00566206" w:rsidRPr="00566206" w14:paraId="76478DDD"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1</w:t>
            </w:r>
          </w:p>
        </w:tc>
        <w:tc>
          <w:tcPr>
            <w:tcW w:w="1530" w:type="dxa"/>
            <w:tcBorders>
              <w:top w:val="single" w:sz="4" w:space="0" w:color="000000"/>
              <w:left w:val="single" w:sz="4" w:space="0" w:color="000000"/>
              <w:bottom w:val="single" w:sz="4" w:space="0" w:color="000000"/>
              <w:right w:val="single" w:sz="4" w:space="0" w:color="000000"/>
            </w:tcBorders>
            <w:hideMark/>
          </w:tcPr>
          <w:p>
            <w:r>
              <w:t>Week 1</w:t>
            </w:r>
          </w:p>
        </w:tc>
        <w:tc>
          <w:tcPr>
            <w:tcW w:w="1624" w:type="dxa"/>
            <w:tcBorders>
              <w:top w:val="single" w:sz="4" w:space="0" w:color="000000"/>
              <w:left w:val="single" w:sz="4" w:space="0" w:color="000000"/>
              <w:bottom w:val="single" w:sz="4" w:space="0" w:color="000000"/>
              <w:right w:val="single" w:sz="4" w:space="0" w:color="000000"/>
            </w:tcBorders>
          </w:tcPr>
          <w:p>
            <w:r>
              <w:t>Dataset audits and feasibility gating (treatment balance, zero-rate, skew) for X5 and Dunnhumby.</w:t>
            </w:r>
          </w:p>
        </w:tc>
        <w:tc>
          <w:tcPr>
            <w:tcW w:w="2696" w:type="dxa"/>
            <w:tcBorders>
              <w:top w:val="single" w:sz="4" w:space="0" w:color="000000"/>
              <w:left w:val="single" w:sz="4" w:space="0" w:color="000000"/>
              <w:bottom w:val="single" w:sz="4" w:space="0" w:color="000000"/>
              <w:right w:val="single" w:sz="4" w:space="0" w:color="000000"/>
            </w:tcBorders>
          </w:tcPr>
          <w:p>
            <w:r>
              <w:t>audit statistics CSVs, feasibility JSONs, audit figures.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566206" w:rsidRPr="00566206" w14:paraId="65EE808B"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2</w:t>
            </w:r>
          </w:p>
        </w:tc>
        <w:tc>
          <w:tcPr>
            <w:tcW w:w="1530" w:type="dxa"/>
            <w:tcBorders>
              <w:top w:val="single" w:sz="4" w:space="0" w:color="000000"/>
              <w:left w:val="single" w:sz="4" w:space="0" w:color="000000"/>
              <w:bottom w:val="single" w:sz="4" w:space="0" w:color="000000"/>
              <w:right w:val="single" w:sz="4" w:space="0" w:color="000000"/>
            </w:tcBorders>
          </w:tcPr>
          <w:p>
            <w:r>
              <w:t>Week 2</w:t>
            </w:r>
          </w:p>
        </w:tc>
        <w:tc>
          <w:tcPr>
            <w:tcW w:w="1624" w:type="dxa"/>
            <w:tcBorders>
              <w:top w:val="single" w:sz="4" w:space="0" w:color="000000"/>
              <w:left w:val="single" w:sz="4" w:space="0" w:color="000000"/>
              <w:bottom w:val="single" w:sz="4" w:space="0" w:color="000000"/>
              <w:right w:val="single" w:sz="4" w:space="0" w:color="000000"/>
            </w:tcBorders>
          </w:tcPr>
          <w:p>
            <w:r>
              <w:t>Shared feature pipeline (RFM, behavioural, sequence, semantic-graph) across contexts; validate on Online Retail II.</w:t>
            </w:r>
          </w:p>
        </w:tc>
        <w:tc>
          <w:tcPr>
            <w:tcW w:w="2696" w:type="dxa"/>
            <w:tcBorders>
              <w:top w:val="single" w:sz="4" w:space="0" w:color="000000"/>
              <w:left w:val="single" w:sz="4" w:space="0" w:color="000000"/>
              <w:bottom w:val="single" w:sz="4" w:space="0" w:color="000000"/>
              <w:right w:val="single" w:sz="4" w:space="0" w:color="000000"/>
            </w:tcBorders>
          </w:tcPr>
          <w:p>
            <w:r>
              <w:t>feature tables, semantic embeddings, schema modules.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566206" w:rsidRPr="00566206" w14:paraId="73692508"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r>
              <w:t>3</w:t>
            </w:r>
          </w:p>
        </w:tc>
        <w:tc>
          <w:tcPr>
            <w:tcW w:w="1530" w:type="dxa"/>
            <w:tcBorders>
              <w:top w:val="single" w:sz="4" w:space="0" w:color="000000"/>
              <w:left w:val="single" w:sz="4" w:space="0" w:color="000000"/>
              <w:bottom w:val="single" w:sz="4" w:space="0" w:color="000000"/>
              <w:right w:val="single" w:sz="4" w:space="0" w:color="000000"/>
            </w:tcBorders>
          </w:tcPr>
          <w:p>
            <w:r>
              <w:t>Week 3</w:t>
            </w:r>
          </w:p>
        </w:tc>
        <w:tc>
          <w:tcPr>
            <w:tcW w:w="1624" w:type="dxa"/>
            <w:tcBorders>
              <w:top w:val="single" w:sz="4" w:space="0" w:color="000000"/>
              <w:left w:val="single" w:sz="4" w:space="0" w:color="000000"/>
              <w:bottom w:val="single" w:sz="4" w:space="0" w:color="000000"/>
              <w:right w:val="single" w:sz="4" w:space="0" w:color="000000"/>
            </w:tcBorders>
          </w:tcPr>
          <w:p>
            <w:r>
              <w:t>CLV window design (week-level for grocery); leakage-safe observation/prediction split.</w:t>
            </w:r>
          </w:p>
        </w:tc>
        <w:tc>
          <w:tcPr>
            <w:tcW w:w="2696" w:type="dxa"/>
            <w:tcBorders>
              <w:top w:val="single" w:sz="4" w:space="0" w:color="000000"/>
              <w:left w:val="single" w:sz="4" w:space="0" w:color="000000"/>
              <w:bottom w:val="single" w:sz="4" w:space="0" w:color="000000"/>
              <w:right w:val="single" w:sz="4" w:space="0" w:color="000000"/>
            </w:tcBorders>
          </w:tcPr>
          <w:p>
            <w:r>
              <w:t>walk-forward windows, window parquet files.</w:t>
            </w:r>
          </w:p>
        </w:tc>
        <w:tc>
          <w:tcPr>
            <w:tcW w:w="2610" w:type="dxa"/>
            <w:tcBorders>
              <w:top w:val="single" w:sz="4" w:space="0" w:color="000000"/>
              <w:left w:val="single" w:sz="4" w:space="0" w:color="000000"/>
              <w:bottom w:val="single" w:sz="4" w:space="0" w:color="000000"/>
              <w:right w:val="single" w:sz="4" w:space="0" w:color="000000"/>
            </w:tcBorders>
          </w:tcPr>
          <w:p>
            <w:r>
              <w:t>Group 11</w:t>
            </w:r>
          </w:p>
        </w:tc>
      </w:tr>
      <w:tr w:rsidR="001235D3" w14:paraId="3D8044D5" w14:textId="77777777">
        <w:tc>
          <w:tcPr>
            <w:tcW w:w="626" w:type="dxa"/>
          </w:tcPr>
          <w:p>
            <w:r>
              <w:t>4</w:t>
            </w:r>
          </w:p>
        </w:tc>
        <w:tc>
          <w:tcPr>
            <w:tcW w:w="1531" w:type="dxa"/>
          </w:tcPr>
          <w:p>
            <w:r>
              <w:t>Week 4</w:t>
            </w:r>
          </w:p>
        </w:tc>
        <w:tc>
          <w:tcPr>
            <w:tcW w:w="1625" w:type="dxa"/>
          </w:tcPr>
          <w:p>
            <w:r>
              <w:t>Cross-context CLV benchmark (8 models) and Hurdle feature-group ablation.</w:t>
            </w:r>
          </w:p>
        </w:tc>
        <w:tc>
          <w:tcPr>
            <w:tcW w:w="2697" w:type="dxa"/>
          </w:tcPr>
          <w:p>
            <w:r>
              <w:t>benchmark CSVs, ablation CSVs, revenue-capture figures.</w:t>
            </w:r>
          </w:p>
        </w:tc>
        <w:tc>
          <w:tcPr>
            <w:tcW w:w="2611" w:type="dxa"/>
          </w:tcPr>
          <w:p>
            <w:r>
              <w:t>Group 11</w:t>
            </w:r>
          </w:p>
        </w:tc>
      </w:tr>
      <w:tr>
        <w:tc>
          <w:tcPr>
            <w:tcW w:type="dxa" w:w="626"/>
          </w:tcPr>
          <w:p>
            <w:r>
              <w:t>5</w:t>
            </w:r>
          </w:p>
        </w:tc>
        <w:tc>
          <w:tcPr>
            <w:tcW w:type="dxa" w:w="1531"/>
          </w:tcPr>
          <w:p>
            <w:r>
              <w:t>Week 5</w:t>
            </w:r>
          </w:p>
        </w:tc>
        <w:tc>
          <w:tcPr>
            <w:tcW w:type="dxa" w:w="1625"/>
          </w:tcPr>
          <w:p>
            <w:r>
              <w:t>Explainability (SHAP per Hurdle stage) and uncertainty (conformal quantile regression).</w:t>
            </w:r>
          </w:p>
        </w:tc>
        <w:tc>
          <w:tcPr>
            <w:tcW w:type="dxa" w:w="2697"/>
          </w:tcPr>
          <w:p>
            <w:r>
              <w:t>SHAP tables/figures, CQR coverage CSVs.</w:t>
            </w:r>
          </w:p>
        </w:tc>
        <w:tc>
          <w:tcPr>
            <w:tcW w:type="dxa" w:w="2611"/>
          </w:tcPr>
          <w:p>
            <w:r>
              <w:t>Group 11</w:t>
            </w:r>
          </w:p>
        </w:tc>
      </w:tr>
      <w:tr>
        <w:tc>
          <w:tcPr>
            <w:tcW w:type="dxa" w:w="626"/>
          </w:tcPr>
          <w:p>
            <w:r>
              <w:t>6</w:t>
            </w:r>
          </w:p>
        </w:tc>
        <w:tc>
          <w:tcPr>
            <w:tcW w:type="dxa" w:w="1531"/>
          </w:tcPr>
          <w:p>
            <w:r>
              <w:t>Week 6</w:t>
            </w:r>
          </w:p>
        </w:tc>
        <w:tc>
          <w:tcPr>
            <w:tcW w:type="dxa" w:w="1625"/>
          </w:tcPr>
          <w:p>
            <w:r>
              <w:t>X5 uplift feature engineering from 45.7M pre-communication lines; uplift baselines.</w:t>
            </w:r>
          </w:p>
        </w:tc>
        <w:tc>
          <w:tcPr>
            <w:tcW w:type="dxa" w:w="2697"/>
          </w:tcPr>
          <w:p>
            <w:r>
              <w:t>x5 uplift feature table, baseline Qini.</w:t>
            </w:r>
          </w:p>
        </w:tc>
        <w:tc>
          <w:tcPr>
            <w:tcW w:type="dxa" w:w="2611"/>
          </w:tcPr>
          <w:p>
            <w:r>
              <w:t>Group 11</w:t>
            </w:r>
          </w:p>
        </w:tc>
      </w:tr>
      <w:tr>
        <w:tc>
          <w:tcPr>
            <w:tcW w:type="dxa" w:w="626"/>
          </w:tcPr>
          <w:p>
            <w:r>
              <w:t>7</w:t>
            </w:r>
          </w:p>
        </w:tc>
        <w:tc>
          <w:tcPr>
            <w:tcW w:type="dxa" w:w="1531"/>
          </w:tcPr>
          <w:p>
            <w:r>
              <w:t>Week 7</w:t>
            </w:r>
          </w:p>
        </w:tc>
        <w:tc>
          <w:tcPr>
            <w:tcW w:type="dxa" w:w="1625"/>
          </w:tcPr>
          <w:p>
            <w:r>
              <w:t>Advanced uplift learners (S/T/X-Learner, class transformation) with Qini/AUUC.</w:t>
            </w:r>
          </w:p>
        </w:tc>
        <w:tc>
          <w:tcPr>
            <w:tcW w:type="dxa" w:w="2697"/>
          </w:tcPr>
          <w:p>
            <w:r>
              <w:t>uplift model comparison CSV, Qini curves.</w:t>
            </w:r>
          </w:p>
        </w:tc>
        <w:tc>
          <w:tcPr>
            <w:tcW w:type="dxa" w:w="2611"/>
          </w:tcPr>
          <w:p>
            <w:r>
              <w:t>Group 11</w:t>
            </w:r>
          </w:p>
        </w:tc>
      </w:tr>
      <w:tr>
        <w:tc>
          <w:tcPr>
            <w:tcW w:type="dxa" w:w="626"/>
          </w:tcPr>
          <w:p>
            <w:r>
              <w:t>8</w:t>
            </w:r>
          </w:p>
        </w:tc>
        <w:tc>
          <w:tcPr>
            <w:tcW w:type="dxa" w:w="1531"/>
          </w:tcPr>
          <w:p>
            <w:r>
              <w:t>Week 8</w:t>
            </w:r>
          </w:p>
        </w:tc>
        <w:tc>
          <w:tcPr>
            <w:tcW w:type="dxa" w:w="1625"/>
          </w:tcPr>
          <w:p>
            <w:r>
              <w:t>Value-adjusted uplift policy and profit/incremental-revenue simulation.</w:t>
            </w:r>
          </w:p>
        </w:tc>
        <w:tc>
          <w:tcPr>
            <w:tcW w:type="dxa" w:w="2697"/>
          </w:tcPr>
          <w:p>
            <w:r>
              <w:t>policy comparison CSV, profit figures.</w:t>
            </w:r>
          </w:p>
        </w:tc>
        <w:tc>
          <w:tcPr>
            <w:tcW w:type="dxa" w:w="2611"/>
          </w:tcPr>
          <w:p>
            <w:r>
              <w:t>Group 11</w:t>
            </w:r>
          </w:p>
        </w:tc>
      </w:tr>
      <w:tr>
        <w:tc>
          <w:tcPr>
            <w:tcW w:type="dxa" w:w="626"/>
          </w:tcPr>
          <w:p>
            <w:r>
              <w:t>9</w:t>
            </w:r>
          </w:p>
        </w:tc>
        <w:tc>
          <w:tcPr>
            <w:tcW w:type="dxa" w:w="1531"/>
          </w:tcPr>
          <w:p>
            <w:r>
              <w:t>Week 9</w:t>
            </w:r>
          </w:p>
        </w:tc>
        <w:tc>
          <w:tcPr>
            <w:tcW w:type="dxa" w:w="1625"/>
          </w:tcPr>
          <w:p>
            <w:r>
              <w:t>Robustness: bootstrap confidence intervals and paired significance; transferable insights.</w:t>
            </w:r>
          </w:p>
        </w:tc>
        <w:tc>
          <w:tcPr>
            <w:tcW w:type="dxa" w:w="2697"/>
          </w:tcPr>
          <w:p>
            <w:r>
              <w:t>robustness CSVs, significance summary.</w:t>
            </w:r>
          </w:p>
        </w:tc>
        <w:tc>
          <w:tcPr>
            <w:tcW w:type="dxa" w:w="2611"/>
          </w:tcPr>
          <w:p>
            <w:r>
              <w:t>Group 11</w:t>
            </w:r>
          </w:p>
        </w:tc>
      </w:tr>
      <w:tr>
        <w:tc>
          <w:tcPr>
            <w:tcW w:type="dxa" w:w="626"/>
          </w:tcPr>
          <w:p>
            <w:r>
              <w:t>10</w:t>
            </w:r>
          </w:p>
        </w:tc>
        <w:tc>
          <w:tcPr>
            <w:tcW w:type="dxa" w:w="1531"/>
          </w:tcPr>
          <w:p>
            <w:r>
              <w:t>Week 10</w:t>
            </w:r>
          </w:p>
        </w:tc>
        <w:tc>
          <w:tcPr>
            <w:tcW w:type="dxa" w:w="1625"/>
          </w:tcPr>
          <w:p>
            <w:r>
              <w:t>Report writing (Springer template), reproducibility package, and final AI Audit Log.</w:t>
            </w:r>
          </w:p>
        </w:tc>
        <w:tc>
          <w:tcPr>
            <w:tcW w:type="dxa" w:w="2697"/>
          </w:tcPr>
          <w:p>
            <w:r>
              <w:t>final report PDF, reproduce_all script, AI Audit Log.</w:t>
            </w:r>
          </w:p>
        </w:tc>
        <w:tc>
          <w:tcPr>
            <w:tcW w:type="dxa" w:w="2611"/>
          </w:tcPr>
          <w:p>
            <w:r>
              <w:t>Group 11</w:t>
            </w:r>
          </w:p>
        </w:tc>
      </w:tr>
    </w:tbl>
    <w:p w14:paraId="7CDD7D30" w14:textId="77777777" w:rsidR="00566206" w:rsidRPr="00566206" w:rsidRDefault="00566206" w:rsidP="00BC1AD4">
      <w:pPr>
        <w:jc w:val="both"/>
        <w:rPr>
          <w:b/>
          <w:bCs/>
          <w:lang w:val="en-US"/>
        </w:rPr>
      </w:pPr>
    </w:p>
    <w:p w14:paraId="58188429" w14:textId="77777777" w:rsidR="00566206" w:rsidRPr="00566206" w:rsidRDefault="00566206" w:rsidP="00BC1AD4">
      <w:pPr>
        <w:jc w:val="both"/>
        <w:rPr>
          <w:b/>
          <w:bCs/>
          <w:lang w:val="en-US"/>
        </w:rPr>
      </w:pPr>
      <w:r w:rsidRPr="00566206">
        <w:rPr>
          <w:b/>
          <w:bCs/>
          <w:lang w:val="en-US"/>
        </w:rPr>
        <w:t>Computational Resource Requirements (if any)</w:t>
      </w:r>
    </w:p>
    <w:p w14:paraId="3F92FE1F" w14:textId="1A2DDC16"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is done by chunked streaming and completes in minutes on CPU; all models train in minutes. No GPU is required. All code and artefacts are stored in a GitHub repository, isolated under a Phase 2 project tree, and reproduced via a single script.</w:t>
      </w:r>
      <w:r w:rsidR="00E02C11"/>
      <w:r/>
    </w:p>
    <w:p w14:paraId="052BD451"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37F27818" w14:textId="5F42A8EA" w:rsidR="00566206" w:rsidRPr="00566206" w:rsidRDefault="00BC1AD4" w:rsidP="00BC1AD4">
      <w:pPr>
        <w:jc w:val="both"/>
        <w:rPr>
          <w:b/>
          <w:bCs/>
          <w:lang w:val="en-US"/>
        </w:rPr>
      </w:pPr>
      <w:r>
        <w:t>The project is expected to deliver a reproducible Python-SQL pipeline spanning three retail contexts, a cross-context CLV benchmark with bootstrap confidence intervals, and an uplift and value-adjusted targeting study on the randomised campaign. Expected findings include: the Hurdle-Semantic framework transfers across contexts but with a context-dependent mechanism; behavioural and semantic features add significant ranking value beyond RFM; response-based targeting underperforms uplift-aware targeting; and value-adjusted uplift gives the most promising profit under tight budgets, reported with honest significance caveats. Final outputs include SHAP explanations, conformal intervals, an interactive targeting dashboard, a 10-12 page Springer report, and a complete AI Audit Log demonstrating the Human Delta.</w:t>
      </w:r>
      <w:r/>
      <w:r/>
    </w:p>
    <w:p w14:paraId="6BF5FE44" w14:textId="77777777" w:rsidR="00566206" w:rsidRPr="00566206" w:rsidRDefault="00566206" w:rsidP="00BC1AD4">
      <w:pPr>
        <w:jc w:val="both"/>
        <w:rPr>
          <w:b/>
          <w:bCs/>
          <w:lang w:val="en-US"/>
        </w:rPr>
      </w:pPr>
      <w:r w:rsidRPr="00566206">
        <w:rPr>
          <w:b/>
          <w:bCs/>
          <w:lang w:val="en-US"/>
        </w:rPr>
        <w:t xml:space="preserve">References </w:t>
      </w:r>
    </w:p>
    <w:p w14:paraId="572876D4" w14:textId="7241BCF2" w:rsidR="001235D3" w:rsidRDefault="00000000" w:rsidP="00BC1AD4">
      <w:pPr>
        <w:jc w:val="both"/>
      </w:pPr>
      <w:r>
        <w:rPr>
          <w:b/>
        </w:rPr>
        <w:t>[1]  Fader, P. S., Hardie, B. G. S., &amp; Lee, K. L. (2005). Counting your customers the easy way: An alternative to the Pareto/NBD model. Marketing Science, 24(2), 275-284.</w:t>
      </w:r>
      <w:r/>
      <w:r w:rsidR="00BC1AD4"/>
      <w:r/>
    </w:p>
    <w:p w14:paraId="4663943B" w14:textId="77777777" w:rsidR="001235D3" w:rsidRDefault="00000000" w:rsidP="00BC1AD4">
      <w:pPr>
        <w:jc w:val="both"/>
      </w:pPr>
      <w:r>
        <w:rPr>
          <w:b/>
        </w:rPr>
        <w:t>[2]  Wang, X., Liu, T., &amp; Miao, J. (2019). A deep probabilistic model for customer lifetime value prediction. arXiv:1912.07753.</w:t>
      </w:r>
      <w:r/>
    </w:p>
    <w:p w14:paraId="753A86E1" w14:textId="77777777" w:rsidR="001235D3" w:rsidRDefault="00000000" w:rsidP="00BC1AD4">
      <w:pPr>
        <w:jc w:val="both"/>
      </w:pPr>
      <w:r>
        <w:rPr>
          <w:b/>
        </w:rPr>
        <w:t>[3]  Romano, Y., Patterson, E., &amp; Candes, E. (2019). Conformalized quantile regression. Advances in Neural Information Processing Systems, 32.</w:t>
      </w:r>
      <w:r/>
    </w:p>
    <w:p w14:paraId="615551B5" w14:textId="2E57DA30" w:rsidR="001235D3" w:rsidRDefault="00000000" w:rsidP="00BC1AD4">
      <w:pPr>
        <w:jc w:val="both"/>
      </w:pPr>
      <w:r>
        <w:rPr>
          <w:b/>
        </w:rPr>
        <w:t>[4]  Gutierrez, P., &amp; Gerardy, J.-Y. (2017). Causal inference and uplift modelling: A review of the literature. Proceedings of Machine Learning Research, 67, 1-13.</w:t>
      </w:r>
      <w:r/>
      <w:r w:rsidR="00BC1AD4"/>
      <w:r/>
    </w:p>
    <w:p w14:paraId="212C8338" w14:textId="3F088E13" w:rsidR="001235D3" w:rsidRDefault="00000000" w:rsidP="00BC1AD4">
      <w:pPr>
        <w:jc w:val="both"/>
      </w:pPr>
      <w:r>
        <w:rPr>
          <w:b/>
        </w:rPr>
        <w:t>[5]  Kunzel, S. R., Sekhon, J. S., Bickel, P. J., &amp; Yu, B. (2019). Metalearners for estimating heterogeneous treatment effects using machine learning. PNAS, 116(10), 4156-4165.</w:t>
      </w:r>
      <w:r w:rsidR="00A14426">
        <w:rPr>
          <w:b/>
        </w:rPr>
      </w:r>
      <w:r w:rsidR="00A14426" w:rsidRPr="00A14426">
        <w:rPr>
          <w:bCs/>
        </w:rPr>
      </w:r>
      <w:r w:rsidR="00A14426" w:rsidRPr="00A14426">
        <w:rPr>
          <w:b/>
        </w:rPr>
      </w:r>
      <w:hyperlink r:id="rId5" w:tgtFrame="_new" w:history="1">
        <w:r w:rsidR="00A14426" w:rsidRPr="00A14426">
          <w:rPr>
            <w:rStyle w:val="Hyperlink"/>
            <w:b/>
          </w:rPr>
          <w:t>https://doi.org/10.24432/C5CG6D</w:t>
        </w:r>
      </w:hyperlink>
    </w:p>
    <w:sectPr w:rsidR="001235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97B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4</cp:revision>
  <dcterms:created xsi:type="dcterms:W3CDTF">2026-06-03T08:34:00Z</dcterms:created>
  <dcterms:modified xsi:type="dcterms:W3CDTF">2026-06-03T13:47:00Z</dcterms:modified>
</cp:coreProperties>
</file>