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67D2" w14:textId="77777777" w:rsidR="003549ED" w:rsidRPr="003549ED" w:rsidRDefault="003549ED" w:rsidP="00BC1AD4">
      <w:pPr>
        <w:jc w:val="both"/>
      </w:pPr>
    </w:p>
    <w:p w14:paraId="3856AFA4" w14:textId="77777777" w:rsidR="003549ED" w:rsidRPr="003549ED" w:rsidRDefault="003549ED" w:rsidP="00BC1AD4">
      <w:pPr>
        <w:jc w:val="both"/>
      </w:pPr>
      <w:r w:rsidRPr="003549ED">
        <w:rPr>
          <w:b/>
          <w:bCs/>
        </w:rPr>
        <w:t>RESEARCH PROPOSAL TEMPLATE /</w:t>
      </w:r>
    </w:p>
    <w:p w14:paraId="709D03F0" w14:textId="77777777" w:rsidR="003549ED" w:rsidRPr="003549ED" w:rsidRDefault="003549ED" w:rsidP="00BC1AD4">
      <w:pPr>
        <w:jc w:val="both"/>
      </w:pPr>
      <w:r w:rsidRPr="003549ED">
        <w:rPr>
          <w:b/>
          <w:bCs/>
        </w:rPr>
        <w:t>THUYẾT MINH ĐỀ CƯƠNG NGHIÊN CỨU</w:t>
      </w:r>
    </w:p>
    <w:p w14:paraId="52ACF477" w14:textId="77777777" w:rsidR="003549ED" w:rsidRPr="003549ED" w:rsidRDefault="003549ED" w:rsidP="00BC1AD4">
      <w:pPr>
        <w:jc w:val="both"/>
      </w:pPr>
    </w:p>
    <w:tbl>
      <w:tblPr>
        <w:tblW w:w="9535" w:type="dxa"/>
        <w:tblCellMar>
          <w:top w:w="15" w:type="dxa"/>
          <w:left w:w="15" w:type="dxa"/>
          <w:bottom w:w="15" w:type="dxa"/>
          <w:right w:w="15" w:type="dxa"/>
        </w:tblCellMar>
        <w:tblLook w:val="04A0" w:firstRow="1" w:lastRow="0" w:firstColumn="1" w:lastColumn="0" w:noHBand="0" w:noVBand="1"/>
      </w:tblPr>
      <w:tblGrid>
        <w:gridCol w:w="2695"/>
        <w:gridCol w:w="6840"/>
      </w:tblGrid>
      <w:tr w:rsidR="003549ED" w:rsidRPr="003549ED" w14:paraId="2CD084DF" w14:textId="77777777" w:rsidTr="003549ED">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2B50D2" w14:textId="77777777" w:rsidR="003549ED" w:rsidRPr="003549ED" w:rsidRDefault="003549ED" w:rsidP="00BC1AD4">
            <w:pPr>
              <w:jc w:val="both"/>
            </w:pPr>
            <w:r w:rsidRPr="003549ED">
              <w:rPr>
                <w:b/>
                <w:bCs/>
              </w:rPr>
              <w:t>Research title</w:t>
            </w:r>
          </w:p>
          <w:p w14:paraId="28C86F18" w14:textId="77777777" w:rsidR="003549ED" w:rsidRPr="003549ED" w:rsidRDefault="003549ED" w:rsidP="00BC1AD4">
            <w:pPr>
              <w:jc w:val="both"/>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5AA74A" w14:textId="77777777" w:rsidR="00ED1AF5" w:rsidRDefault="00000000">
            <w:r>
              <w:t>Explainable CLV Ranking and Uplift-Aware Customer Targeting Across Retail Contexts</w:t>
            </w:r>
          </w:p>
        </w:tc>
      </w:tr>
      <w:tr w:rsidR="003549ED" w:rsidRPr="003549ED" w14:paraId="4778405F" w14:textId="77777777" w:rsidTr="003549ED">
        <w:trPr>
          <w:trHeight w:val="20"/>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862152" w14:textId="77777777" w:rsidR="003549ED" w:rsidRPr="003549ED" w:rsidRDefault="003549ED" w:rsidP="00BC1AD4">
            <w:pPr>
              <w:jc w:val="both"/>
            </w:pPr>
            <w:r w:rsidRPr="003549ED">
              <w:rPr>
                <w:b/>
                <w:bCs/>
              </w:rPr>
              <w:t>Mentor</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B93D79" w14:textId="77777777" w:rsidR="003549ED" w:rsidRPr="003549ED" w:rsidRDefault="003E4210" w:rsidP="00BC1AD4">
            <w:pPr>
              <w:jc w:val="both"/>
            </w:pPr>
            <w:r>
              <w:t>Nguyễn Hoàng Linh</w:t>
            </w:r>
          </w:p>
        </w:tc>
      </w:tr>
      <w:tr w:rsidR="003549ED" w:rsidRPr="003549ED" w14:paraId="7A4014FA" w14:textId="77777777" w:rsidTr="003E4210">
        <w:trPr>
          <w:trHeight w:val="476"/>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4A4843" w14:textId="77777777" w:rsidR="003549ED" w:rsidRPr="003549ED" w:rsidRDefault="003549ED" w:rsidP="00BC1AD4">
            <w:pPr>
              <w:jc w:val="both"/>
            </w:pPr>
            <w:r w:rsidRPr="003549ED">
              <w:rPr>
                <w:b/>
                <w:bCs/>
              </w:rPr>
              <w:t>Members</w:t>
            </w:r>
          </w:p>
          <w:p w14:paraId="1BC324AF" w14:textId="77777777" w:rsidR="003549ED" w:rsidRPr="003549ED" w:rsidRDefault="003549ED" w:rsidP="00BC1AD4">
            <w:pPr>
              <w:jc w:val="both"/>
            </w:pPr>
            <w:r w:rsidRPr="003549ED">
              <w:rPr>
                <w:i/>
                <w:iCs/>
              </w:rPr>
              <w:t xml:space="preserve">(up to </w:t>
            </w:r>
            <w:r w:rsidR="00566206">
              <w:rPr>
                <w:i/>
                <w:iCs/>
                <w:lang w:val="en-US"/>
              </w:rPr>
              <w:t>3</w:t>
            </w:r>
            <w:r w:rsidRPr="003549ED">
              <w:rPr>
                <w:i/>
                <w:iCs/>
              </w:rPr>
              <w:t xml:space="preserve"> students)</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63083F" w14:textId="77777777" w:rsidR="003549ED" w:rsidRPr="003549ED" w:rsidRDefault="003E4210" w:rsidP="00BC1AD4">
            <w:pPr>
              <w:jc w:val="both"/>
            </w:pPr>
            <w:r>
              <w:t>Nguyễn Vũ Minh Ánh – SE203412</w:t>
            </w:r>
          </w:p>
        </w:tc>
      </w:tr>
    </w:tbl>
    <w:p w14:paraId="0771AE97" w14:textId="77777777" w:rsidR="003549ED" w:rsidRPr="003E4210" w:rsidRDefault="003549ED" w:rsidP="00BC1AD4">
      <w:pPr>
        <w:jc w:val="both"/>
      </w:pPr>
    </w:p>
    <w:p w14:paraId="2F437C65" w14:textId="77777777" w:rsidR="00566206" w:rsidRPr="00566206" w:rsidRDefault="00566206" w:rsidP="00BC1AD4">
      <w:pPr>
        <w:jc w:val="both"/>
        <w:rPr>
          <w:b/>
          <w:bCs/>
          <w:lang w:val="en-US"/>
        </w:rPr>
      </w:pPr>
      <w:r w:rsidRPr="00566206">
        <w:rPr>
          <w:b/>
          <w:bCs/>
          <w:lang w:val="en-US"/>
        </w:rPr>
        <w:t>Abstract/</w:t>
      </w:r>
      <w:proofErr w:type="spellStart"/>
      <w:r w:rsidRPr="00566206">
        <w:rPr>
          <w:b/>
          <w:bCs/>
          <w:lang w:val="en-US"/>
        </w:rPr>
        <w:t>Tóm</w:t>
      </w:r>
      <w:proofErr w:type="spellEnd"/>
      <w:r w:rsidRPr="00566206">
        <w:rPr>
          <w:b/>
          <w:bCs/>
          <w:lang w:val="en-US"/>
        </w:rPr>
        <w:t xml:space="preserve"> </w:t>
      </w:r>
      <w:proofErr w:type="spellStart"/>
      <w:r w:rsidRPr="00566206">
        <w:rPr>
          <w:b/>
          <w:bCs/>
          <w:lang w:val="en-US"/>
        </w:rPr>
        <w:t>tắt</w:t>
      </w:r>
      <w:proofErr w:type="spellEnd"/>
    </w:p>
    <w:p w14:paraId="4B08089B" w14:textId="77777777" w:rsidR="00E10C77" w:rsidRDefault="00E10C77" w:rsidP="00BC1AD4">
      <w:pPr>
        <w:jc w:val="both"/>
        <w:rPr>
          <w:iCs/>
        </w:rPr>
      </w:pPr>
      <w:r w:rsidRPr="00E10C77">
        <w:rPr>
          <w:iCs/>
          <w:lang w:val="en-US"/>
        </w:rPr>
        <w:t>This proposal presents a deployment-oriented study that connects Customer Lifetime Value (CLV) ranking with uplift-aware customer targeting across multiple retail contexts. Phase 1 answered who is valuable; Phase 2 asks who is worth targeting. The study re-estimates an explainable two-stage Hurdle-Semantic CLV model across UK online retail and US grocery data, then estimates uplift (incremental treatment effect) on a randomised supermarket SMS campaign, and finally fuses the two into a value-adjusted uplift targeting rule. Following the PBL + RBL framework, the project builds a complete Python and SQL pipeline (ingestion, cleaning, EDA, feature engineering, modelling, evaluation, dashboard) and benchmarks more than five predictive models against published baselines using business-oriented metrics: Normalized Gini and Revenue Capture@10% for CLV, and Qini AUC and uplift@K for targeting. A central design commitment is causal cleanliness: only the randomised campaign is used for causal uplift. The expected contribution is an explainable, reproducible framework that identifies customers who are both valuable and incrementally persuadable for budget-constrained marketing.</w:t>
      </w:r>
    </w:p>
    <w:p w14:paraId="0E3EFAF4" w14:textId="77777777" w:rsidR="003E4210" w:rsidRPr="00007943" w:rsidRDefault="00566206" w:rsidP="00BC1AD4">
      <w:pPr>
        <w:jc w:val="both"/>
        <w:rPr>
          <w:lang w:val="en-US"/>
        </w:rPr>
      </w:pPr>
      <w:r w:rsidRPr="00566206">
        <w:rPr>
          <w:b/>
          <w:bCs/>
          <w:lang w:val="en-US"/>
        </w:rPr>
        <w:t xml:space="preserve">Key words: </w:t>
      </w:r>
      <w:r w:rsidRPr="00007943">
        <w:rPr>
          <w:lang w:val="en-US"/>
        </w:rPr>
        <w:t>Customer Lifetime Value, Uplift Modelling, Hurdle Model, Explainability,</w:t>
      </w:r>
    </w:p>
    <w:p w14:paraId="212E118C" w14:textId="77777777" w:rsidR="00566206" w:rsidRPr="003E4210" w:rsidRDefault="003E4210" w:rsidP="00BC1AD4">
      <w:pPr>
        <w:jc w:val="both"/>
      </w:pPr>
      <w:r w:rsidRPr="003E4210">
        <w:rPr>
          <w:lang w:val="en-US"/>
        </w:rPr>
        <w:t>Conformal Prediction, Cross-Context Generalisation, Campaign Targeting, SQL, Python</w:t>
      </w:r>
    </w:p>
    <w:p w14:paraId="7F63F675" w14:textId="77777777" w:rsidR="00566206" w:rsidRPr="00566206" w:rsidRDefault="00566206" w:rsidP="00BC1AD4">
      <w:pPr>
        <w:jc w:val="both"/>
        <w:rPr>
          <w:b/>
          <w:bCs/>
          <w:lang w:val="en-US"/>
        </w:rPr>
      </w:pPr>
    </w:p>
    <w:p w14:paraId="38F2D519" w14:textId="77777777" w:rsidR="00566206" w:rsidRPr="00566206" w:rsidRDefault="00566206" w:rsidP="00BC1AD4">
      <w:pPr>
        <w:numPr>
          <w:ilvl w:val="0"/>
          <w:numId w:val="5"/>
        </w:numPr>
        <w:jc w:val="both"/>
        <w:rPr>
          <w:b/>
          <w:bCs/>
          <w:lang w:val="en-US"/>
        </w:rPr>
      </w:pPr>
      <w:r w:rsidRPr="00566206">
        <w:rPr>
          <w:b/>
          <w:bCs/>
          <w:lang w:val="en-US"/>
        </w:rPr>
        <w:t xml:space="preserve">Introduction / </w:t>
      </w:r>
      <w:proofErr w:type="spellStart"/>
      <w:r w:rsidRPr="00566206">
        <w:rPr>
          <w:b/>
          <w:bCs/>
          <w:lang w:val="en-US"/>
        </w:rPr>
        <w:t>Giới</w:t>
      </w:r>
      <w:proofErr w:type="spellEnd"/>
      <w:r w:rsidRPr="00566206">
        <w:rPr>
          <w:b/>
          <w:bCs/>
          <w:lang w:val="en-US"/>
        </w:rPr>
        <w:t xml:space="preserve"> </w:t>
      </w:r>
      <w:proofErr w:type="spellStart"/>
      <w:r w:rsidRPr="00566206">
        <w:rPr>
          <w:b/>
          <w:bCs/>
          <w:lang w:val="en-US"/>
        </w:rPr>
        <w:t>thiệu</w:t>
      </w:r>
      <w:proofErr w:type="spellEnd"/>
      <w:r w:rsidRPr="00566206">
        <w:rPr>
          <w:b/>
          <w:bCs/>
          <w:lang w:val="en-US"/>
        </w:rPr>
        <w:t xml:space="preserve"> </w:t>
      </w:r>
    </w:p>
    <w:p w14:paraId="56E5FDD1" w14:textId="77777777" w:rsidR="00566206" w:rsidRPr="0025150C" w:rsidRDefault="00566206" w:rsidP="00BC1AD4">
      <w:pPr>
        <w:numPr>
          <w:ilvl w:val="1"/>
          <w:numId w:val="5"/>
        </w:numPr>
        <w:jc w:val="both"/>
        <w:rPr>
          <w:lang w:val="en-US"/>
        </w:rPr>
      </w:pPr>
      <w:r w:rsidRPr="00566206">
        <w:rPr>
          <w:b/>
          <w:bCs/>
          <w:lang w:val="en-US"/>
        </w:rPr>
        <w:t>1.1.</w:t>
      </w:r>
      <w:r w:rsidRPr="00566206">
        <w:rPr>
          <w:b/>
          <w:bCs/>
          <w:i/>
          <w:lang w:val="en-US"/>
        </w:rPr>
        <w:t xml:space="preserve"> </w:t>
      </w:r>
      <w:r w:rsidRPr="0025150C">
        <w:rPr>
          <w:lang w:val="en-US"/>
        </w:rPr>
        <w:t xml:space="preserve">Literature review / </w:t>
      </w:r>
      <w:proofErr w:type="spellStart"/>
      <w:r w:rsidRPr="0025150C">
        <w:rPr>
          <w:lang w:val="en-US"/>
        </w:rPr>
        <w:t>Tình</w:t>
      </w:r>
      <w:proofErr w:type="spellEnd"/>
      <w:r w:rsidRPr="0025150C">
        <w:rPr>
          <w:lang w:val="en-US"/>
        </w:rPr>
        <w:t xml:space="preserve"> </w:t>
      </w:r>
      <w:proofErr w:type="spellStart"/>
      <w:r w:rsidRPr="0025150C">
        <w:rPr>
          <w:lang w:val="en-US"/>
        </w:rPr>
        <w:t>hình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trong</w:t>
      </w:r>
      <w:proofErr w:type="spellEnd"/>
      <w:r w:rsidRPr="0025150C">
        <w:rPr>
          <w:lang w:val="en-US"/>
        </w:rPr>
        <w:t xml:space="preserve"> </w:t>
      </w:r>
      <w:proofErr w:type="spellStart"/>
      <w:r w:rsidRPr="0025150C">
        <w:rPr>
          <w:lang w:val="en-US"/>
        </w:rPr>
        <w:t>và</w:t>
      </w:r>
      <w:proofErr w:type="spellEnd"/>
      <w:r w:rsidRPr="0025150C">
        <w:rPr>
          <w:lang w:val="en-US"/>
        </w:rPr>
        <w:t xml:space="preserve"> </w:t>
      </w:r>
      <w:proofErr w:type="spellStart"/>
      <w:r w:rsidRPr="0025150C">
        <w:rPr>
          <w:lang w:val="en-US"/>
        </w:rPr>
        <w:t>ngoài</w:t>
      </w:r>
      <w:proofErr w:type="spellEnd"/>
      <w:r w:rsidRPr="0025150C">
        <w:rPr>
          <w:lang w:val="en-US"/>
        </w:rPr>
        <w:t xml:space="preserve"> </w:t>
      </w:r>
      <w:proofErr w:type="spellStart"/>
      <w:r w:rsidRPr="0025150C">
        <w:rPr>
          <w:lang w:val="en-US"/>
        </w:rPr>
        <w:t>nước</w:t>
      </w:r>
      <w:proofErr w:type="spellEnd"/>
    </w:p>
    <w:p w14:paraId="50471DAE" w14:textId="77777777" w:rsidR="001235D3" w:rsidRDefault="00000000" w:rsidP="00BC1AD4">
      <w:pPr>
        <w:jc w:val="both"/>
      </w:pPr>
      <w:r>
        <w:t>Customer Lifetime Value (CLV) modelling has a long history in marketing analytics. Probabilistic buy-till-you-die models such as Pareto/NBD and BG/NBD (Fader, Hardie &amp; Lee, 2005) with the Gamma-Gamma monetary model remain the standard non-</w:t>
      </w:r>
      <w:r>
        <w:lastRenderedPageBreak/>
        <w:t>contractual baseline, while RFM segmentation provides transparent descriptive grouping. More recently, gradient-boosted trees and zero-inflated formulations (Wang et al., 2019) treat CLV as a tabular regression problem and outperform probabilistic models when rich behavioural features are available; SHAP explanations and conformalized quantile regression (Romano et al., 2019) add interpretability and calibrated uncertainty.</w:t>
      </w:r>
    </w:p>
    <w:p w14:paraId="534A857C" w14:textId="77777777" w:rsidR="001235D3" w:rsidRDefault="00000000" w:rsidP="00BC1AD4">
      <w:pPr>
        <w:jc w:val="both"/>
      </w:pPr>
      <w:r>
        <w:t>In parallel, uplift modelling estimates the incremental effect of a marketing action rather than the response level (Gutierrez &amp; Gerardy, 2017), using meta-learners such as the X-Learner (Kunzel et al., 2019) and causal forests. Although CLV and uplift are both mature, they are seldom studied together or across heterogeneous retail contexts. This gap motivates a unified, explainable framework that ranks customers by value, estimates their persuadability, and fuses the two for budget-constrained targeting.</w:t>
      </w:r>
    </w:p>
    <w:p w14:paraId="6CEFC7C0" w14:textId="77777777" w:rsidR="00566206" w:rsidRPr="00566206" w:rsidRDefault="00566206" w:rsidP="00BC1AD4">
      <w:pPr>
        <w:jc w:val="both"/>
        <w:rPr>
          <w:b/>
          <w:bCs/>
          <w:i/>
          <w:lang w:val="en-US"/>
        </w:rPr>
      </w:pPr>
    </w:p>
    <w:p w14:paraId="45CF0B8F" w14:textId="77777777" w:rsidR="00566206" w:rsidRPr="00566206" w:rsidRDefault="00566206" w:rsidP="00BC1AD4">
      <w:pPr>
        <w:numPr>
          <w:ilvl w:val="1"/>
          <w:numId w:val="5"/>
        </w:numPr>
        <w:jc w:val="both"/>
        <w:rPr>
          <w:b/>
          <w:bCs/>
          <w:lang w:val="en-US"/>
        </w:rPr>
      </w:pPr>
      <w:r w:rsidRPr="00566206">
        <w:rPr>
          <w:b/>
          <w:bCs/>
          <w:lang w:val="en-US"/>
        </w:rPr>
        <w:t xml:space="preserve">1.2. </w:t>
      </w:r>
      <w:r w:rsidRPr="0025150C">
        <w:rPr>
          <w:lang w:val="en-US"/>
        </w:rPr>
        <w:t xml:space="preserve">The limitation of current works / </w:t>
      </w:r>
      <w:proofErr w:type="spellStart"/>
      <w:r w:rsidRPr="0025150C">
        <w:rPr>
          <w:lang w:val="en-US"/>
        </w:rPr>
        <w:t>Những</w:t>
      </w:r>
      <w:proofErr w:type="spellEnd"/>
      <w:r w:rsidRPr="0025150C">
        <w:rPr>
          <w:lang w:val="en-US"/>
        </w:rPr>
        <w:t xml:space="preserve"> </w:t>
      </w:r>
      <w:proofErr w:type="spellStart"/>
      <w:r w:rsidRPr="0025150C">
        <w:rPr>
          <w:lang w:val="en-US"/>
        </w:rPr>
        <w:t>hạn</w:t>
      </w:r>
      <w:proofErr w:type="spellEnd"/>
      <w:r w:rsidRPr="0025150C">
        <w:rPr>
          <w:lang w:val="en-US"/>
        </w:rPr>
        <w:t xml:space="preserve"> </w:t>
      </w:r>
      <w:proofErr w:type="spellStart"/>
      <w:r w:rsidRPr="0025150C">
        <w:rPr>
          <w:lang w:val="en-US"/>
        </w:rPr>
        <w:t>chế</w:t>
      </w:r>
      <w:proofErr w:type="spellEnd"/>
      <w:r w:rsidRPr="0025150C">
        <w:rPr>
          <w:lang w:val="en-US"/>
        </w:rPr>
        <w:t xml:space="preserve"> </w:t>
      </w:r>
      <w:proofErr w:type="spellStart"/>
      <w:r w:rsidRPr="0025150C">
        <w:rPr>
          <w:lang w:val="en-US"/>
        </w:rPr>
        <w:t>của</w:t>
      </w:r>
      <w:proofErr w:type="spellEnd"/>
      <w:r w:rsidRPr="0025150C">
        <w:rPr>
          <w:lang w:val="en-US"/>
        </w:rPr>
        <w:t xml:space="preserve"> </w:t>
      </w:r>
      <w:proofErr w:type="spellStart"/>
      <w:r w:rsidRPr="0025150C">
        <w:rPr>
          <w:lang w:val="en-US"/>
        </w:rPr>
        <w:t>các</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hiện</w:t>
      </w:r>
      <w:proofErr w:type="spellEnd"/>
      <w:r w:rsidRPr="0025150C">
        <w:rPr>
          <w:lang w:val="en-US"/>
        </w:rPr>
        <w:t xml:space="preserve"> </w:t>
      </w:r>
      <w:proofErr w:type="spellStart"/>
      <w:r w:rsidRPr="0025150C">
        <w:rPr>
          <w:lang w:val="en-US"/>
        </w:rPr>
        <w:t>tại</w:t>
      </w:r>
      <w:proofErr w:type="spellEnd"/>
    </w:p>
    <w:p w14:paraId="32FB3BB3" w14:textId="77777777" w:rsidR="00A14426" w:rsidRPr="00A14426" w:rsidRDefault="00A14426" w:rsidP="00BC1AD4">
      <w:pPr>
        <w:numPr>
          <w:ilvl w:val="1"/>
          <w:numId w:val="5"/>
        </w:numPr>
        <w:jc w:val="both"/>
        <w:rPr>
          <w:b/>
          <w:bCs/>
          <w:lang w:val="en-US"/>
        </w:rPr>
      </w:pPr>
      <w:r w:rsidRPr="00A14426">
        <w:t>Existing approaches face three limitations. First, CLV and uplift are usually optimised in isolation: value-based targeting can select sure buyers who would purchase anyway, wasting budget, while response-based targeting can select low-incremental customers. Second, CLV frameworks are rarely stress-tested across structurally different contexts, so claims of generality remain untested; e-commerce future spend is strongly zero-inflated (47-67% zero) and heavy-tailed (skewness &gt;22), whereas grocery is dense and light-tailed, and a single model may not transfer for the same reasons. Third, targeting studies often lack calibrated uncertainty and stage-wise explanations, limiting marketer trust and risk-aware decisions. These motivate a framework that combines a Hurdle CLV model, semantic and sequence features, uplift learners, a value-adjusted policy, explainability, and bootstrap-based honesty about what is and is not statistically significant.</w:t>
      </w:r>
    </w:p>
    <w:p w14:paraId="6B2E1831" w14:textId="77777777" w:rsidR="00566206" w:rsidRPr="00566206" w:rsidRDefault="00566206" w:rsidP="00BC1AD4">
      <w:pPr>
        <w:numPr>
          <w:ilvl w:val="1"/>
          <w:numId w:val="5"/>
        </w:numPr>
        <w:jc w:val="both"/>
        <w:rPr>
          <w:b/>
          <w:bCs/>
          <w:lang w:val="en-US"/>
        </w:rPr>
      </w:pPr>
      <w:r w:rsidRPr="00566206">
        <w:rPr>
          <w:b/>
          <w:bCs/>
          <w:lang w:val="en-US"/>
        </w:rPr>
        <w:t xml:space="preserve">1.3. </w:t>
      </w:r>
      <w:r w:rsidRPr="0025150C">
        <w:rPr>
          <w:lang w:val="en-US"/>
        </w:rPr>
        <w:t xml:space="preserve">The necessity of the research / </w:t>
      </w:r>
      <w:proofErr w:type="spellStart"/>
      <w:r w:rsidRPr="0025150C">
        <w:rPr>
          <w:lang w:val="en-US"/>
        </w:rPr>
        <w:t>Sự</w:t>
      </w:r>
      <w:proofErr w:type="spellEnd"/>
      <w:r w:rsidRPr="0025150C">
        <w:rPr>
          <w:lang w:val="en-US"/>
        </w:rPr>
        <w:t xml:space="preserve"> </w:t>
      </w:r>
      <w:proofErr w:type="spellStart"/>
      <w:r w:rsidRPr="0025150C">
        <w:rPr>
          <w:lang w:val="en-US"/>
        </w:rPr>
        <w:t>cần</w:t>
      </w:r>
      <w:proofErr w:type="spellEnd"/>
      <w:r w:rsidRPr="0025150C">
        <w:rPr>
          <w:lang w:val="en-US"/>
        </w:rPr>
        <w:t xml:space="preserve"> </w:t>
      </w:r>
      <w:proofErr w:type="spellStart"/>
      <w:r w:rsidRPr="0025150C">
        <w:rPr>
          <w:lang w:val="en-US"/>
        </w:rPr>
        <w:t>thiết</w:t>
      </w:r>
      <w:proofErr w:type="spellEnd"/>
      <w:r w:rsidRPr="0025150C">
        <w:rPr>
          <w:lang w:val="en-US"/>
        </w:rPr>
        <w:t xml:space="preserve"> </w:t>
      </w:r>
      <w:proofErr w:type="spellStart"/>
      <w:r w:rsidRPr="0025150C">
        <w:rPr>
          <w:lang w:val="en-US"/>
        </w:rPr>
        <w:t>tiến</w:t>
      </w:r>
      <w:proofErr w:type="spellEnd"/>
      <w:r w:rsidRPr="0025150C">
        <w:rPr>
          <w:lang w:val="en-US"/>
        </w:rPr>
        <w:t xml:space="preserve"> </w:t>
      </w:r>
      <w:proofErr w:type="spellStart"/>
      <w:r w:rsidRPr="0025150C">
        <w:rPr>
          <w:lang w:val="en-US"/>
        </w:rPr>
        <w:t>hành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p>
    <w:p w14:paraId="62630BA8" w14:textId="77777777" w:rsidR="00A14426" w:rsidRDefault="00A14426" w:rsidP="00BC1AD4">
      <w:pPr>
        <w:jc w:val="both"/>
      </w:pPr>
      <w:r>
        <w:t>Marketing budgets are finite, so allocating retention incentives uniformly is inefficient. Future revenue and campaign response are both concentrated, but in different customers: the highest-value customers are often already loyal, while the truly persuadable may be of moderate value. This study addresses the practical problem of identifying, before a campaign, which customers are both valuable and incrementally responsive, so that limited budget is concentrated where it changes behaviour.</w:t>
      </w:r>
    </w:p>
    <w:p w14:paraId="0CC30F9D" w14:textId="77777777" w:rsidR="00566206" w:rsidRPr="00566206" w:rsidRDefault="00A14426" w:rsidP="00BC1AD4">
      <w:pPr>
        <w:jc w:val="both"/>
        <w:rPr>
          <w:b/>
          <w:bCs/>
          <w:i/>
          <w:lang w:val="en-US"/>
        </w:rPr>
      </w:pPr>
      <w:r>
        <w:t xml:space="preserve">The necessity of the research lies in connecting two mechanisms that value-only models conflate: whether a customer is valuable, and whether a campaign actually changes their behaviour. A two-stage Hurdle model separates purchase incidence from spend magnitude; uplift learners estimate incremental effect on a randomised campaign; and a value-adjusted uplift score fuses the two. Beyond accuracy, the study emphasises cross-context robustness, SHAP interpretation, calibrated uncertainty, </w:t>
      </w:r>
      <w:r>
        <w:lastRenderedPageBreak/>
        <w:t>and transparent significance testing, yielding a reproducible decision-support framework for value-based, risk-aware targeting.</w:t>
      </w:r>
    </w:p>
    <w:p w14:paraId="323ABCDF" w14:textId="77777777" w:rsidR="00566206" w:rsidRPr="00566206" w:rsidRDefault="00566206" w:rsidP="00BC1AD4">
      <w:pPr>
        <w:numPr>
          <w:ilvl w:val="0"/>
          <w:numId w:val="5"/>
        </w:numPr>
        <w:jc w:val="both"/>
        <w:rPr>
          <w:b/>
          <w:bCs/>
          <w:lang w:val="en-US"/>
        </w:rPr>
      </w:pPr>
      <w:r w:rsidRPr="00566206">
        <w:rPr>
          <w:b/>
          <w:bCs/>
          <w:lang w:val="en-US"/>
        </w:rPr>
        <w:t xml:space="preserve">Research objectives / </w:t>
      </w:r>
      <w:proofErr w:type="spellStart"/>
      <w:r w:rsidRPr="00566206">
        <w:rPr>
          <w:b/>
          <w:bCs/>
          <w:lang w:val="en-US"/>
        </w:rPr>
        <w:t>Mục</w:t>
      </w:r>
      <w:proofErr w:type="spellEnd"/>
      <w:r w:rsidRPr="00566206">
        <w:rPr>
          <w:b/>
          <w:bCs/>
          <w:lang w:val="en-US"/>
        </w:rPr>
        <w:t xml:space="preserve"> </w:t>
      </w:r>
      <w:proofErr w:type="spellStart"/>
      <w:r w:rsidRPr="00566206">
        <w:rPr>
          <w:b/>
          <w:bCs/>
          <w:lang w:val="en-US"/>
        </w:rPr>
        <w:t>tiêu</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126C91C1" w14:textId="77777777" w:rsidR="00473905" w:rsidRDefault="00473905" w:rsidP="00BC1AD4">
      <w:pPr>
        <w:jc w:val="both"/>
      </w:pPr>
      <w:r>
        <w:t>The project pursues five concrete objectives, each mapped to the proposed workflow:</w:t>
      </w:r>
    </w:p>
    <w:p w14:paraId="6A204B50" w14:textId="77777777" w:rsidR="00473905" w:rsidRPr="00007943" w:rsidRDefault="00473905" w:rsidP="00BC1AD4">
      <w:pPr>
        <w:jc w:val="both"/>
      </w:pPr>
      <w:r w:rsidRPr="00007943">
        <w:t>O1. Build a complete and reproducible data-science pipeline across three datasets (Online Retail II, Dunnhumby Complete Journey, X5 RetailHero), covering ingestion, cleaning, EDA, a shared feature pipeline, modelling, and evaluation, with SQL analytics integrated into Python and a single-command reproduction script.</w:t>
      </w:r>
    </w:p>
    <w:p w14:paraId="73F630B9" w14:textId="77777777" w:rsidR="00473905" w:rsidRPr="00007943" w:rsidRDefault="00473905" w:rsidP="00BC1AD4">
      <w:pPr>
        <w:jc w:val="both"/>
      </w:pPr>
      <w:r w:rsidRPr="00007943">
        <w:t>O2. Re-estimate the explainable Hurdle-Semantic CLV model across the UK online-retail and US grocery contexts under a walk-forward (temporal) protocol aligned with prior work, and test, with paired tests and bootstrap confidence intervals, whether the framework is robust and which feature groups (behavioural, sequence, semantic) add ranking value via leave-one-group-out ablation. This addresses RQ1 and RQ2.</w:t>
      </w:r>
    </w:p>
    <w:p w14:paraId="46B8224B" w14:textId="77777777" w:rsidR="00473905" w:rsidRPr="00007943" w:rsidRDefault="00473905" w:rsidP="00BC1AD4">
      <w:pPr>
        <w:jc w:val="both"/>
      </w:pPr>
      <w:r w:rsidRPr="00007943">
        <w:t>O3. Train, tune, and compare more than five predictive models, including CLV regressors (Mean, Monetary, RFM, Ridge, Random Forest, XGBoost, LightGBM, and the proposed Hurdle) against probabilistic baselines, and uplift learners (S/T/X-Learner, class transformation) against response and random baselines.</w:t>
      </w:r>
    </w:p>
    <w:p w14:paraId="593549B3" w14:textId="401C9471" w:rsidR="00473905" w:rsidRPr="00007943" w:rsidRDefault="00473905" w:rsidP="00BC1AD4">
      <w:pPr>
        <w:jc w:val="both"/>
        <w:rPr>
          <w:lang w:val="en-US"/>
        </w:rPr>
      </w:pPr>
      <w:r w:rsidRPr="00007943">
        <w:t>O4. On the randomised X5 campaign, evaluate whether uplift-aware targeting outperforms CLV-only, RFM-only, and response-model targeting, using Qini AUC, AUUC, and uplift@K. This addresses RQ3.</w:t>
      </w:r>
    </w:p>
    <w:p w14:paraId="6C594F63" w14:textId="77777777" w:rsidR="00566206" w:rsidRPr="00007943" w:rsidRDefault="00473905" w:rsidP="00BC1AD4">
      <w:pPr>
        <w:jc w:val="both"/>
        <w:rPr>
          <w:i/>
          <w:lang w:val="en-US"/>
        </w:rPr>
      </w:pPr>
      <w:r w:rsidRPr="00007943">
        <w:t>O5. Combine predicted value with uplift into a value-adjusted policy, simulate campaign profit under budget constraints, and deliver an interactive targeting dashboard and a complete AI Audit Log documenting the Human Delta. This addresses RQ4.</w:t>
      </w:r>
    </w:p>
    <w:p w14:paraId="3947705E" w14:textId="77777777" w:rsidR="00566206" w:rsidRPr="00566206" w:rsidRDefault="00566206" w:rsidP="00BC1AD4">
      <w:pPr>
        <w:numPr>
          <w:ilvl w:val="0"/>
          <w:numId w:val="5"/>
        </w:numPr>
        <w:jc w:val="both"/>
        <w:rPr>
          <w:b/>
          <w:bCs/>
          <w:lang w:val="en-US"/>
        </w:rPr>
      </w:pPr>
      <w:r w:rsidRPr="00566206">
        <w:rPr>
          <w:b/>
          <w:bCs/>
          <w:lang w:val="en-US"/>
        </w:rPr>
        <w:t xml:space="preserve">Research scope / Phạm vi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04AE931B" w14:textId="77777777" w:rsidR="001235D3" w:rsidRDefault="00000000" w:rsidP="00BC1AD4">
      <w:pPr>
        <w:jc w:val="both"/>
      </w:pPr>
      <w:r>
        <w:t>This study uses three public datasets with deliberately separated roles. Online Retail II (UK e-commerce, ~0.8M cleaned transactions, 5,038 customers) is the baseline CLV context. Dunnhumby Complete Journey (US grocery, 2,500 households, ~2.6M lines over 102 weeks) is an external CLV validation context. X5 RetailHero (randomised SMS campaign, 200,039 labelled clients, 45.7M pre-communication purchase lines) is the sole source of causal uplift. Coupon redemption is explicitly excluded as a treatment because it is a post-campaign outcome, not a clean assignment. The scope covers RFM, behavioural, sequence, and semantic-graph features; eight CLV models and six uplift learners; business-oriented evaluation; SHAP and conformal uncertainty; a value-adjusted policy with profit simulation; and a targeting dashboard, delivered within a five-week PBL + RBL schedule. Production deployment is out of scope.</w:t>
      </w:r>
    </w:p>
    <w:p w14:paraId="384E14D4" w14:textId="77777777" w:rsidR="00566206" w:rsidRPr="00566206" w:rsidRDefault="00566206" w:rsidP="00BC1AD4">
      <w:pPr>
        <w:numPr>
          <w:ilvl w:val="0"/>
          <w:numId w:val="5"/>
        </w:numPr>
        <w:jc w:val="both"/>
        <w:rPr>
          <w:b/>
          <w:bCs/>
          <w:lang w:val="en-US"/>
        </w:rPr>
      </w:pPr>
      <w:r w:rsidRPr="00566206">
        <w:rPr>
          <w:b/>
          <w:bCs/>
          <w:lang w:val="en-US"/>
        </w:rPr>
        <w:t xml:space="preserve">Feasibility of research / </w:t>
      </w:r>
      <w:proofErr w:type="spellStart"/>
      <w:r w:rsidRPr="00566206">
        <w:rPr>
          <w:b/>
          <w:bCs/>
          <w:lang w:val="en-US"/>
        </w:rPr>
        <w:t>Tính</w:t>
      </w:r>
      <w:proofErr w:type="spellEnd"/>
      <w:r w:rsidRPr="00566206">
        <w:rPr>
          <w:b/>
          <w:bCs/>
          <w:lang w:val="en-US"/>
        </w:rPr>
        <w:t xml:space="preserve"> </w:t>
      </w:r>
      <w:proofErr w:type="spellStart"/>
      <w:r w:rsidRPr="00566206">
        <w:rPr>
          <w:b/>
          <w:bCs/>
          <w:lang w:val="en-US"/>
        </w:rPr>
        <w:t>khả</w:t>
      </w:r>
      <w:proofErr w:type="spellEnd"/>
      <w:r w:rsidRPr="00566206">
        <w:rPr>
          <w:b/>
          <w:bCs/>
          <w:lang w:val="en-US"/>
        </w:rPr>
        <w:t xml:space="preserve"> </w:t>
      </w:r>
      <w:proofErr w:type="spellStart"/>
      <w:r w:rsidRPr="00566206">
        <w:rPr>
          <w:b/>
          <w:bCs/>
          <w:lang w:val="en-US"/>
        </w:rPr>
        <w:t>thi</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r w:rsidRPr="00566206">
        <w:rPr>
          <w:b/>
          <w:bCs/>
          <w:lang w:val="en-US"/>
        </w:rPr>
        <w:t xml:space="preserve"> </w:t>
      </w:r>
    </w:p>
    <w:p w14:paraId="2681CE54" w14:textId="77777777" w:rsidR="001235D3" w:rsidRDefault="00000000" w:rsidP="00BC1AD4">
      <w:pPr>
        <w:jc w:val="both"/>
      </w:pPr>
      <w:r>
        <w:lastRenderedPageBreak/>
        <w:t>The project is feasible within five weeks. All datasets are public and of moderate size, running on a standard laptop without specialised hardware. Tools are open-source and mature (pandas, scikit-learn, XGBoost, LightGBM, SHAP, scikit-uplift, DuckDB, Plotly). The main risk is the large X5 purchase history (~670 MB) over an unreliable link, mitigated by a resumable, integrity-checked downloader with a manual fallback. Other risks (causal misuse, overclaiming, leakage between phases) are mitigated by restricting causal estimation to the randomised design, reporting bootstrap confidence intervals, and isolating Phase 2 in a separate write-guarded project tree. A pinned environment and a single reproduction script ensure reproducibility.</w:t>
      </w:r>
    </w:p>
    <w:p w14:paraId="5CD520AA" w14:textId="77777777" w:rsidR="00566206" w:rsidRPr="00566206" w:rsidRDefault="00566206" w:rsidP="00BC1AD4">
      <w:pPr>
        <w:numPr>
          <w:ilvl w:val="0"/>
          <w:numId w:val="5"/>
        </w:numPr>
        <w:jc w:val="both"/>
        <w:rPr>
          <w:b/>
          <w:bCs/>
          <w:lang w:val="en-US"/>
        </w:rPr>
      </w:pPr>
      <w:bookmarkStart w:id="0" w:name="_heading=h.gjdgxs"/>
      <w:bookmarkEnd w:id="0"/>
      <w:r w:rsidRPr="00566206">
        <w:rPr>
          <w:b/>
          <w:bCs/>
          <w:lang w:val="en-US"/>
        </w:rPr>
        <w:t xml:space="preserve">Approach and Method / </w:t>
      </w:r>
      <w:proofErr w:type="spellStart"/>
      <w:r w:rsidRPr="00566206">
        <w:rPr>
          <w:b/>
          <w:bCs/>
          <w:lang w:val="en-US"/>
        </w:rPr>
        <w:t>Cách</w:t>
      </w:r>
      <w:proofErr w:type="spellEnd"/>
      <w:r w:rsidRPr="00566206">
        <w:rPr>
          <w:b/>
          <w:bCs/>
          <w:lang w:val="en-US"/>
        </w:rPr>
        <w:t xml:space="preserve"> </w:t>
      </w:r>
      <w:proofErr w:type="spellStart"/>
      <w:r w:rsidRPr="00566206">
        <w:rPr>
          <w:b/>
          <w:bCs/>
          <w:lang w:val="en-US"/>
        </w:rPr>
        <w:t>tiếp</w:t>
      </w:r>
      <w:proofErr w:type="spellEnd"/>
      <w:r w:rsidRPr="00566206">
        <w:rPr>
          <w:b/>
          <w:bCs/>
          <w:lang w:val="en-US"/>
        </w:rPr>
        <w:t xml:space="preserve"> </w:t>
      </w:r>
      <w:proofErr w:type="spellStart"/>
      <w:r w:rsidRPr="00566206">
        <w:rPr>
          <w:b/>
          <w:bCs/>
          <w:lang w:val="en-US"/>
        </w:rPr>
        <w:t>cận</w:t>
      </w:r>
      <w:proofErr w:type="spellEnd"/>
      <w:r w:rsidRPr="00566206">
        <w:rPr>
          <w:b/>
          <w:bCs/>
          <w:lang w:val="en-US"/>
        </w:rPr>
        <w:t xml:space="preserve"> </w:t>
      </w:r>
      <w:proofErr w:type="spellStart"/>
      <w:r w:rsidRPr="00566206">
        <w:rPr>
          <w:b/>
          <w:bCs/>
          <w:lang w:val="en-US"/>
        </w:rPr>
        <w:t>và</w:t>
      </w:r>
      <w:proofErr w:type="spellEnd"/>
      <w:r w:rsidRPr="00566206">
        <w:rPr>
          <w:b/>
          <w:bCs/>
          <w:lang w:val="en-US"/>
        </w:rPr>
        <w:t xml:space="preserve"> </w:t>
      </w:r>
      <w:proofErr w:type="spellStart"/>
      <w:r w:rsidRPr="00566206">
        <w:rPr>
          <w:b/>
          <w:bCs/>
          <w:lang w:val="en-US"/>
        </w:rPr>
        <w:t>phương</w:t>
      </w:r>
      <w:proofErr w:type="spellEnd"/>
      <w:r w:rsidRPr="00566206">
        <w:rPr>
          <w:b/>
          <w:bCs/>
          <w:lang w:val="en-US"/>
        </w:rPr>
        <w:t xml:space="preserve"> </w:t>
      </w:r>
      <w:proofErr w:type="spellStart"/>
      <w:r w:rsidRPr="00566206">
        <w:rPr>
          <w:b/>
          <w:bCs/>
          <w:lang w:val="en-US"/>
        </w:rPr>
        <w:t>pháp</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775303C7" w14:textId="77777777" w:rsidR="00473905" w:rsidRPr="00007943" w:rsidRDefault="00473905" w:rsidP="00BC1AD4">
      <w:pPr>
        <w:jc w:val="both"/>
        <w:rPr>
          <w:bCs/>
        </w:rPr>
      </w:pPr>
      <w:r w:rsidRPr="00007943">
        <w:rPr>
          <w:bCs/>
        </w:rPr>
        <w:t>Pipeline (SQL + Python). The project follows an end-to-end pipeline covering ingestion, cleaning, EDA, feature engineering, modelling, evaluation, and dashboard reporting. SQL analytics on DuckDB support per-customer RFM, RFM segmentation, cohort activity, zero-rate-by-context, treatment/control balance, top-value customers, and top-response vs top-uplift decile overlap. A shared Python normaliser maps every dataset to a common transaction schema so the same feature code (RFM, behavioural, monthly-sequence, and semantic-graph features) runs on each context without leakage.</w:t>
      </w:r>
    </w:p>
    <w:p w14:paraId="46C4EA52" w14:textId="77777777" w:rsidR="00473905" w:rsidRPr="00007943" w:rsidRDefault="00473905" w:rsidP="00BC1AD4">
      <w:pPr>
        <w:jc w:val="both"/>
        <w:rPr>
          <w:bCs/>
        </w:rPr>
      </w:pPr>
      <w:r w:rsidRPr="00007943">
        <w:rPr>
          <w:bCs/>
        </w:rPr>
        <w:t>Modelling core (proposed contribution). Module A is a two-stage LightGBM Hurdle CLV model: Stage 1 estimates purchase incidence P(y&gt;0 | x); Stage 2 estimates conditional log-spend for positive customers; the outputs recombine with a lognormal correction. Module B builds semantic product embeddings via PPMI co-occurrence and truncated SVD, and revenue-weighted customer taste vectors. Module C estimates uplift with S/T/X-Learners and class transformation. Module D scores customers by value-adjusted uplift, the product of predicted uplift and a historical-spend value proxy.</w:t>
      </w:r>
    </w:p>
    <w:p w14:paraId="0B5E1D8A" w14:textId="77777777" w:rsidR="00473905" w:rsidRDefault="00473905" w:rsidP="00BC1AD4">
      <w:pPr>
        <w:jc w:val="both"/>
        <w:rPr>
          <w:bCs/>
        </w:rPr>
      </w:pPr>
      <w:r w:rsidRPr="00473905">
        <w:rPr>
          <w:bCs/>
        </w:rPr>
        <w:t>Benchmark models. For CLV, the Hurdle model is benchmarked against Mean and Monetary baselines, an RFM score, Ridge, Random Forest, and XGBoost. For uplift, the learners are benchmarked against a response model (which ranks by purchase probability) and a random baseline. This comfortably exceeds the five-model requirement and compares against published baselines on both the CLV and the uplift side.</w:t>
      </w:r>
    </w:p>
    <w:p w14:paraId="349FF121" w14:textId="77777777" w:rsidR="001235D3" w:rsidRPr="00007943" w:rsidRDefault="00473905" w:rsidP="00BC1AD4">
      <w:pPr>
        <w:jc w:val="both"/>
        <w:rPr>
          <w:bCs/>
        </w:rPr>
      </w:pPr>
      <w:r w:rsidRPr="00007943">
        <w:rPr>
          <w:bCs/>
        </w:rPr>
        <w:t xml:space="preserve">Tuning and evaluation. CLV is a forecasting task, so we use a walk-forward (temporal) protocol rather than a random split: for the e-commerce context we reuse the prior walk-forward windows and feature set so results are temporally valid and directly comparable with prior work, and for grocery we build week-level observation-to-prediction windows; metrics are reported as the mean and standard deviation across windows. The primary tier reports ranking quality (Normalized Gini, Revenue Capture@10%) for CLV and Qini AUC, AUUC and uplift@K for uplift; the secondary tier reports MAE/RMSE and decile calibration, with conformalized quantile regression for valid prediction intervals. To attribute feature value honestly we run a leave-one-group-out ablation (dropping behavioural, sequence and semantic groups in turn) with </w:t>
      </w:r>
      <w:r w:rsidRPr="00007943">
        <w:rPr>
          <w:bCs/>
        </w:rPr>
        <w:lastRenderedPageBreak/>
        <w:t>paired tests across windows. For the campaign we verify a balanced treatment/control design via standardised mean differences, analyse the overlap between value-based and uplift-based targeting, and run a profit sensitivity sweep over contact-cost and margin assumptions. Significance is assessed with paired tests and bootstrap confidence intervals, and any non-significant result (notably dollar-level profit differences) is reported transparently rather than overclaimed.</w:t>
      </w:r>
    </w:p>
    <w:p w14:paraId="76F24917" w14:textId="77777777" w:rsidR="00566206" w:rsidRPr="00566206" w:rsidRDefault="00566206" w:rsidP="00BC1AD4">
      <w:pPr>
        <w:numPr>
          <w:ilvl w:val="0"/>
          <w:numId w:val="5"/>
        </w:numPr>
        <w:jc w:val="both"/>
        <w:rPr>
          <w:b/>
          <w:bCs/>
          <w:lang w:val="en-US"/>
        </w:rPr>
      </w:pPr>
      <w:r w:rsidRPr="00566206">
        <w:rPr>
          <w:b/>
          <w:bCs/>
          <w:lang w:val="en-US"/>
        </w:rPr>
        <w:t xml:space="preserve">Research plan / </w:t>
      </w:r>
      <w:proofErr w:type="spellStart"/>
      <w:r w:rsidRPr="00566206">
        <w:rPr>
          <w:b/>
          <w:bCs/>
          <w:lang w:val="en-US"/>
        </w:rPr>
        <w:t>Kế</w:t>
      </w:r>
      <w:proofErr w:type="spellEnd"/>
      <w:r w:rsidRPr="00566206">
        <w:rPr>
          <w:b/>
          <w:bCs/>
          <w:lang w:val="en-US"/>
        </w:rPr>
        <w:t xml:space="preserve"> </w:t>
      </w:r>
      <w:proofErr w:type="spellStart"/>
      <w:r w:rsidRPr="00566206">
        <w:rPr>
          <w:b/>
          <w:bCs/>
          <w:lang w:val="en-US"/>
        </w:rPr>
        <w:t>hoạch</w:t>
      </w:r>
      <w:proofErr w:type="spellEnd"/>
      <w:r w:rsidRPr="00566206">
        <w:rPr>
          <w:b/>
          <w:bCs/>
          <w:lang w:val="en-US"/>
        </w:rPr>
        <w:t xml:space="preserve"> </w:t>
      </w:r>
      <w:proofErr w:type="spellStart"/>
      <w:r w:rsidRPr="00566206">
        <w:rPr>
          <w:b/>
          <w:bCs/>
          <w:lang w:val="en-US"/>
        </w:rPr>
        <w:t>thực</w:t>
      </w:r>
      <w:proofErr w:type="spellEnd"/>
      <w:r w:rsidRPr="00566206">
        <w:rPr>
          <w:b/>
          <w:bCs/>
          <w:lang w:val="en-US"/>
        </w:rPr>
        <w:t xml:space="preserve"> </w:t>
      </w:r>
      <w:proofErr w:type="spellStart"/>
      <w:r w:rsidRPr="00566206">
        <w:rPr>
          <w:b/>
          <w:bCs/>
          <w:lang w:val="en-US"/>
        </w:rPr>
        <w:t>hiện</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47EAE9D9" w14:textId="77777777" w:rsidR="001235D3" w:rsidRDefault="00000000" w:rsidP="00BC1AD4">
      <w:pPr>
        <w:jc w:val="both"/>
      </w:pPr>
      <w:r>
        <w:t>The project is executed over five weeks following the PBL + RBL framework. Each week produces concrete, version-controlled deliverables, as detailed in the table below.</w:t>
      </w:r>
    </w:p>
    <w:tbl>
      <w:tblPr>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6"/>
        <w:gridCol w:w="1531"/>
        <w:gridCol w:w="2788"/>
        <w:gridCol w:w="2880"/>
        <w:gridCol w:w="1265"/>
      </w:tblGrid>
      <w:tr w:rsidR="00566206" w:rsidRPr="00566206" w14:paraId="1EA572D6"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1A19F24A" w14:textId="77777777" w:rsidR="00566206" w:rsidRPr="00566206" w:rsidRDefault="00566206" w:rsidP="00BC1AD4">
            <w:pPr>
              <w:jc w:val="both"/>
              <w:rPr>
                <w:b/>
                <w:bCs/>
                <w:lang w:val="en-US"/>
              </w:rPr>
            </w:pPr>
            <w:r w:rsidRPr="00566206">
              <w:rPr>
                <w:b/>
                <w:bCs/>
                <w:lang w:val="en-US"/>
              </w:rPr>
              <w:t>No.</w:t>
            </w:r>
          </w:p>
        </w:tc>
        <w:tc>
          <w:tcPr>
            <w:tcW w:w="1531" w:type="dxa"/>
            <w:tcBorders>
              <w:top w:val="single" w:sz="4" w:space="0" w:color="000000"/>
              <w:left w:val="single" w:sz="4" w:space="0" w:color="000000"/>
              <w:bottom w:val="single" w:sz="4" w:space="0" w:color="000000"/>
              <w:right w:val="single" w:sz="4" w:space="0" w:color="000000"/>
            </w:tcBorders>
            <w:hideMark/>
          </w:tcPr>
          <w:p w14:paraId="7070CD28" w14:textId="77777777" w:rsidR="00566206" w:rsidRPr="00566206" w:rsidRDefault="00566206" w:rsidP="00BC1AD4">
            <w:pPr>
              <w:jc w:val="both"/>
              <w:rPr>
                <w:b/>
                <w:bCs/>
                <w:lang w:val="en-US"/>
              </w:rPr>
            </w:pPr>
            <w:r w:rsidRPr="00566206">
              <w:rPr>
                <w:b/>
                <w:bCs/>
                <w:lang w:val="en-US"/>
              </w:rPr>
              <w:t>Date</w:t>
            </w:r>
          </w:p>
        </w:tc>
        <w:tc>
          <w:tcPr>
            <w:tcW w:w="2788" w:type="dxa"/>
            <w:tcBorders>
              <w:top w:val="single" w:sz="4" w:space="0" w:color="000000"/>
              <w:left w:val="single" w:sz="4" w:space="0" w:color="000000"/>
              <w:bottom w:val="single" w:sz="4" w:space="0" w:color="000000"/>
              <w:right w:val="single" w:sz="4" w:space="0" w:color="000000"/>
            </w:tcBorders>
            <w:hideMark/>
          </w:tcPr>
          <w:p w14:paraId="327B744A" w14:textId="77777777" w:rsidR="00566206" w:rsidRPr="00566206" w:rsidRDefault="00566206" w:rsidP="00BC1AD4">
            <w:pPr>
              <w:jc w:val="both"/>
              <w:rPr>
                <w:b/>
                <w:bCs/>
                <w:lang w:val="en-US"/>
              </w:rPr>
            </w:pPr>
            <w:r w:rsidRPr="00566206">
              <w:rPr>
                <w:b/>
                <w:bCs/>
                <w:lang w:val="en-US"/>
              </w:rPr>
              <w:t>Task</w:t>
            </w:r>
          </w:p>
        </w:tc>
        <w:tc>
          <w:tcPr>
            <w:tcW w:w="2880" w:type="dxa"/>
            <w:tcBorders>
              <w:top w:val="single" w:sz="4" w:space="0" w:color="000000"/>
              <w:left w:val="single" w:sz="4" w:space="0" w:color="000000"/>
              <w:bottom w:val="single" w:sz="4" w:space="0" w:color="000000"/>
              <w:right w:val="single" w:sz="4" w:space="0" w:color="000000"/>
            </w:tcBorders>
            <w:hideMark/>
          </w:tcPr>
          <w:p w14:paraId="4528FEFE" w14:textId="77777777" w:rsidR="00566206" w:rsidRPr="00566206" w:rsidRDefault="00566206" w:rsidP="00BC1AD4">
            <w:pPr>
              <w:jc w:val="both"/>
              <w:rPr>
                <w:b/>
                <w:bCs/>
                <w:lang w:val="en-US"/>
              </w:rPr>
            </w:pPr>
            <w:r w:rsidRPr="00566206">
              <w:rPr>
                <w:b/>
                <w:bCs/>
                <w:lang w:val="en-US"/>
              </w:rPr>
              <w:t>Output</w:t>
            </w:r>
          </w:p>
        </w:tc>
        <w:tc>
          <w:tcPr>
            <w:tcW w:w="1265" w:type="dxa"/>
            <w:tcBorders>
              <w:top w:val="single" w:sz="4" w:space="0" w:color="000000"/>
              <w:left w:val="single" w:sz="4" w:space="0" w:color="000000"/>
              <w:bottom w:val="single" w:sz="4" w:space="0" w:color="000000"/>
              <w:right w:val="single" w:sz="4" w:space="0" w:color="000000"/>
            </w:tcBorders>
            <w:hideMark/>
          </w:tcPr>
          <w:p w14:paraId="50CB3462" w14:textId="77777777" w:rsidR="00566206" w:rsidRPr="00566206" w:rsidRDefault="00566206" w:rsidP="00BC1AD4">
            <w:pPr>
              <w:jc w:val="both"/>
              <w:rPr>
                <w:b/>
                <w:bCs/>
                <w:lang w:val="en-US"/>
              </w:rPr>
            </w:pPr>
            <w:r w:rsidRPr="00566206">
              <w:rPr>
                <w:b/>
                <w:bCs/>
                <w:lang w:val="en-US"/>
              </w:rPr>
              <w:t>Person in charge</w:t>
            </w:r>
          </w:p>
        </w:tc>
      </w:tr>
      <w:tr w:rsidR="00566206" w:rsidRPr="00566206" w14:paraId="18719368"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4C335069" w14:textId="77777777" w:rsidR="00ED1AF5" w:rsidRDefault="00000000">
            <w:r>
              <w:t>1</w:t>
            </w:r>
          </w:p>
        </w:tc>
        <w:tc>
          <w:tcPr>
            <w:tcW w:w="1531" w:type="dxa"/>
            <w:tcBorders>
              <w:top w:val="single" w:sz="4" w:space="0" w:color="000000"/>
              <w:left w:val="single" w:sz="4" w:space="0" w:color="000000"/>
              <w:bottom w:val="single" w:sz="4" w:space="0" w:color="000000"/>
              <w:right w:val="single" w:sz="4" w:space="0" w:color="000000"/>
            </w:tcBorders>
            <w:hideMark/>
          </w:tcPr>
          <w:p w14:paraId="67A0AFB9" w14:textId="77777777" w:rsidR="00ED1AF5" w:rsidRDefault="00000000">
            <w:r>
              <w:t>Week 1</w:t>
            </w:r>
          </w:p>
        </w:tc>
        <w:tc>
          <w:tcPr>
            <w:tcW w:w="2788" w:type="dxa"/>
            <w:tcBorders>
              <w:top w:val="single" w:sz="4" w:space="0" w:color="000000"/>
              <w:left w:val="single" w:sz="4" w:space="0" w:color="000000"/>
              <w:bottom w:val="single" w:sz="4" w:space="0" w:color="000000"/>
              <w:right w:val="single" w:sz="4" w:space="0" w:color="000000"/>
            </w:tcBorders>
          </w:tcPr>
          <w:p w14:paraId="1A823569" w14:textId="77777777" w:rsidR="00ED1AF5" w:rsidRDefault="00000000">
            <w:r>
              <w:t>Dataset audits and feasibility gating; build the shared feature pipeline (RFM, behavioural, sequence, semantic) across contexts; design the CLV walk-forward windows.</w:t>
            </w:r>
          </w:p>
        </w:tc>
        <w:tc>
          <w:tcPr>
            <w:tcW w:w="2880" w:type="dxa"/>
            <w:tcBorders>
              <w:top w:val="single" w:sz="4" w:space="0" w:color="000000"/>
              <w:left w:val="single" w:sz="4" w:space="0" w:color="000000"/>
              <w:bottom w:val="single" w:sz="4" w:space="0" w:color="000000"/>
              <w:right w:val="single" w:sz="4" w:space="0" w:color="000000"/>
            </w:tcBorders>
          </w:tcPr>
          <w:p w14:paraId="1047B186" w14:textId="77777777" w:rsidR="00ED1AF5" w:rsidRDefault="00000000">
            <w:r>
              <w:t>audit statistics, feature tables, walk-forward windows.</w:t>
            </w:r>
          </w:p>
        </w:tc>
        <w:tc>
          <w:tcPr>
            <w:tcW w:w="1265" w:type="dxa"/>
            <w:tcBorders>
              <w:top w:val="single" w:sz="4" w:space="0" w:color="000000"/>
              <w:left w:val="single" w:sz="4" w:space="0" w:color="000000"/>
              <w:bottom w:val="single" w:sz="4" w:space="0" w:color="000000"/>
              <w:right w:val="single" w:sz="4" w:space="0" w:color="000000"/>
            </w:tcBorders>
          </w:tcPr>
          <w:p w14:paraId="297213E2" w14:textId="77777777" w:rsidR="00ED1AF5" w:rsidRDefault="00000000">
            <w:r>
              <w:t>Group 11</w:t>
            </w:r>
          </w:p>
        </w:tc>
      </w:tr>
      <w:tr w:rsidR="00566206" w:rsidRPr="00566206" w14:paraId="74C8C5FE"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5830A923" w14:textId="77777777" w:rsidR="00ED1AF5" w:rsidRDefault="00000000">
            <w:r>
              <w:t>2</w:t>
            </w:r>
          </w:p>
        </w:tc>
        <w:tc>
          <w:tcPr>
            <w:tcW w:w="1531" w:type="dxa"/>
            <w:tcBorders>
              <w:top w:val="single" w:sz="4" w:space="0" w:color="000000"/>
              <w:left w:val="single" w:sz="4" w:space="0" w:color="000000"/>
              <w:bottom w:val="single" w:sz="4" w:space="0" w:color="000000"/>
              <w:right w:val="single" w:sz="4" w:space="0" w:color="000000"/>
            </w:tcBorders>
          </w:tcPr>
          <w:p w14:paraId="5DD591EF" w14:textId="77777777" w:rsidR="00ED1AF5" w:rsidRDefault="00000000">
            <w:r>
              <w:t>Week 2</w:t>
            </w:r>
          </w:p>
        </w:tc>
        <w:tc>
          <w:tcPr>
            <w:tcW w:w="2788" w:type="dxa"/>
            <w:tcBorders>
              <w:top w:val="single" w:sz="4" w:space="0" w:color="000000"/>
              <w:left w:val="single" w:sz="4" w:space="0" w:color="000000"/>
              <w:bottom w:val="single" w:sz="4" w:space="0" w:color="000000"/>
              <w:right w:val="single" w:sz="4" w:space="0" w:color="000000"/>
            </w:tcBorders>
          </w:tcPr>
          <w:p w14:paraId="654C5F14" w14:textId="77777777" w:rsidR="00ED1AF5" w:rsidRDefault="00000000">
            <w:r>
              <w:t>Cross-context CLV benchmark under the walk-forward protocol with leave-one-group-out feature ablation; SHAP per Hurdle stage; conformal prediction intervals.</w:t>
            </w:r>
          </w:p>
        </w:tc>
        <w:tc>
          <w:tcPr>
            <w:tcW w:w="2880" w:type="dxa"/>
            <w:tcBorders>
              <w:top w:val="single" w:sz="4" w:space="0" w:color="000000"/>
              <w:left w:val="single" w:sz="4" w:space="0" w:color="000000"/>
              <w:bottom w:val="single" w:sz="4" w:space="0" w:color="000000"/>
              <w:right w:val="single" w:sz="4" w:space="0" w:color="000000"/>
            </w:tcBorders>
          </w:tcPr>
          <w:p w14:paraId="3DE879A0" w14:textId="77777777" w:rsidR="00ED1AF5" w:rsidRDefault="00000000">
            <w:r>
              <w:t>benchmark and ablation CSVs, SHAP figures, coverage results.</w:t>
            </w:r>
          </w:p>
        </w:tc>
        <w:tc>
          <w:tcPr>
            <w:tcW w:w="1265" w:type="dxa"/>
            <w:tcBorders>
              <w:top w:val="single" w:sz="4" w:space="0" w:color="000000"/>
              <w:left w:val="single" w:sz="4" w:space="0" w:color="000000"/>
              <w:bottom w:val="single" w:sz="4" w:space="0" w:color="000000"/>
              <w:right w:val="single" w:sz="4" w:space="0" w:color="000000"/>
            </w:tcBorders>
          </w:tcPr>
          <w:p w14:paraId="1A8ED687" w14:textId="77777777" w:rsidR="00ED1AF5" w:rsidRDefault="00000000">
            <w:r>
              <w:t>Group 11</w:t>
            </w:r>
          </w:p>
        </w:tc>
      </w:tr>
      <w:tr w:rsidR="00566206" w:rsidRPr="00566206" w14:paraId="1E0EA845"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55609004" w14:textId="77777777" w:rsidR="00ED1AF5" w:rsidRDefault="00000000">
            <w:r>
              <w:t>3</w:t>
            </w:r>
          </w:p>
        </w:tc>
        <w:tc>
          <w:tcPr>
            <w:tcW w:w="1531" w:type="dxa"/>
            <w:tcBorders>
              <w:top w:val="single" w:sz="4" w:space="0" w:color="000000"/>
              <w:left w:val="single" w:sz="4" w:space="0" w:color="000000"/>
              <w:bottom w:val="single" w:sz="4" w:space="0" w:color="000000"/>
              <w:right w:val="single" w:sz="4" w:space="0" w:color="000000"/>
            </w:tcBorders>
          </w:tcPr>
          <w:p w14:paraId="7481D546" w14:textId="77777777" w:rsidR="00ED1AF5" w:rsidRDefault="00000000">
            <w:r>
              <w:t>Week 3</w:t>
            </w:r>
          </w:p>
        </w:tc>
        <w:tc>
          <w:tcPr>
            <w:tcW w:w="2788" w:type="dxa"/>
            <w:tcBorders>
              <w:top w:val="single" w:sz="4" w:space="0" w:color="000000"/>
              <w:left w:val="single" w:sz="4" w:space="0" w:color="000000"/>
              <w:bottom w:val="single" w:sz="4" w:space="0" w:color="000000"/>
              <w:right w:val="single" w:sz="4" w:space="0" w:color="000000"/>
            </w:tcBorders>
          </w:tcPr>
          <w:p w14:paraId="33DFC6E1" w14:textId="77777777" w:rsidR="00ED1AF5" w:rsidRDefault="00000000">
            <w:r>
              <w:t>X5 uplift feature engineering from pre-communication purchases; uplift learners (S/T/X-Learner, class transformation) with Qini/AUUC; treatment/control balance check.</w:t>
            </w:r>
          </w:p>
        </w:tc>
        <w:tc>
          <w:tcPr>
            <w:tcW w:w="2880" w:type="dxa"/>
            <w:tcBorders>
              <w:top w:val="single" w:sz="4" w:space="0" w:color="000000"/>
              <w:left w:val="single" w:sz="4" w:space="0" w:color="000000"/>
              <w:bottom w:val="single" w:sz="4" w:space="0" w:color="000000"/>
              <w:right w:val="single" w:sz="4" w:space="0" w:color="000000"/>
            </w:tcBorders>
          </w:tcPr>
          <w:p w14:paraId="2ADD87AC" w14:textId="77777777" w:rsidR="00ED1AF5" w:rsidRDefault="00000000">
            <w:r>
              <w:t>uplift feature table, model comparison, balance table.</w:t>
            </w:r>
          </w:p>
        </w:tc>
        <w:tc>
          <w:tcPr>
            <w:tcW w:w="1265" w:type="dxa"/>
            <w:tcBorders>
              <w:top w:val="single" w:sz="4" w:space="0" w:color="000000"/>
              <w:left w:val="single" w:sz="4" w:space="0" w:color="000000"/>
              <w:bottom w:val="single" w:sz="4" w:space="0" w:color="000000"/>
              <w:right w:val="single" w:sz="4" w:space="0" w:color="000000"/>
            </w:tcBorders>
          </w:tcPr>
          <w:p w14:paraId="0FAA9479" w14:textId="77777777" w:rsidR="00ED1AF5" w:rsidRDefault="00000000">
            <w:r>
              <w:t>Group 11</w:t>
            </w:r>
          </w:p>
        </w:tc>
      </w:tr>
      <w:tr w:rsidR="001235D3" w14:paraId="54A1D2AB" w14:textId="77777777" w:rsidTr="00007943">
        <w:tc>
          <w:tcPr>
            <w:tcW w:w="626" w:type="dxa"/>
          </w:tcPr>
          <w:p w14:paraId="335A2F64" w14:textId="77777777" w:rsidR="00ED1AF5" w:rsidRDefault="00000000">
            <w:r>
              <w:lastRenderedPageBreak/>
              <w:t>4</w:t>
            </w:r>
          </w:p>
        </w:tc>
        <w:tc>
          <w:tcPr>
            <w:tcW w:w="1531" w:type="dxa"/>
          </w:tcPr>
          <w:p w14:paraId="25D8DE61" w14:textId="77777777" w:rsidR="00ED1AF5" w:rsidRDefault="00000000">
            <w:r>
              <w:t>Week 4</w:t>
            </w:r>
          </w:p>
        </w:tc>
        <w:tc>
          <w:tcPr>
            <w:tcW w:w="2788" w:type="dxa"/>
          </w:tcPr>
          <w:p w14:paraId="0BD7FAEB" w14:textId="77777777" w:rsidR="00ED1AF5" w:rsidRDefault="00000000">
            <w:r>
              <w:t>Value-adjusted uplift policy with profit simulation, cost/margin sensitivity, and value-vs-uplift overlap; bootstrap robustness and paired significance tests.</w:t>
            </w:r>
          </w:p>
        </w:tc>
        <w:tc>
          <w:tcPr>
            <w:tcW w:w="2880" w:type="dxa"/>
          </w:tcPr>
          <w:p w14:paraId="77C1CE61" w14:textId="77777777" w:rsidR="00ED1AF5" w:rsidRDefault="00000000">
            <w:r>
              <w:t>policy comparison, profit/overlap figures, robustness tables.</w:t>
            </w:r>
          </w:p>
        </w:tc>
        <w:tc>
          <w:tcPr>
            <w:tcW w:w="1265" w:type="dxa"/>
          </w:tcPr>
          <w:p w14:paraId="6117443D" w14:textId="77777777" w:rsidR="00ED1AF5" w:rsidRDefault="00000000">
            <w:r>
              <w:t>Group 11</w:t>
            </w:r>
          </w:p>
        </w:tc>
      </w:tr>
      <w:tr w:rsidR="00ED1AF5" w14:paraId="6994AD96" w14:textId="77777777" w:rsidTr="00007943">
        <w:tc>
          <w:tcPr>
            <w:tcW w:w="626" w:type="dxa"/>
          </w:tcPr>
          <w:p w14:paraId="5F1BC349" w14:textId="77777777" w:rsidR="00ED1AF5" w:rsidRDefault="00000000">
            <w:r>
              <w:t>5</w:t>
            </w:r>
          </w:p>
        </w:tc>
        <w:tc>
          <w:tcPr>
            <w:tcW w:w="1531" w:type="dxa"/>
          </w:tcPr>
          <w:p w14:paraId="471FA734" w14:textId="77777777" w:rsidR="00ED1AF5" w:rsidRDefault="00000000">
            <w:r>
              <w:t>Week 5</w:t>
            </w:r>
          </w:p>
        </w:tc>
        <w:tc>
          <w:tcPr>
            <w:tcW w:w="2788" w:type="dxa"/>
          </w:tcPr>
          <w:p w14:paraId="245E4E02" w14:textId="77777777" w:rsidR="00ED1AF5" w:rsidRDefault="00000000">
            <w:r>
              <w:t>Report writing in the Springer template, reproducibility package, and the final AI Audit Log demonstrating the Human Delta.</w:t>
            </w:r>
          </w:p>
        </w:tc>
        <w:tc>
          <w:tcPr>
            <w:tcW w:w="2880" w:type="dxa"/>
          </w:tcPr>
          <w:p w14:paraId="50E36D94" w14:textId="77777777" w:rsidR="00ED1AF5" w:rsidRDefault="00000000">
            <w:r>
              <w:t>final report PDF, reproduce_all script, AI Audit Log.</w:t>
            </w:r>
          </w:p>
        </w:tc>
        <w:tc>
          <w:tcPr>
            <w:tcW w:w="1265" w:type="dxa"/>
          </w:tcPr>
          <w:p w14:paraId="3FEFB237" w14:textId="77777777" w:rsidR="00ED1AF5" w:rsidRDefault="00000000">
            <w:r>
              <w:t>Group 11</w:t>
            </w:r>
          </w:p>
        </w:tc>
      </w:tr>
    </w:tbl>
    <w:p w14:paraId="07D449E2" w14:textId="77777777" w:rsidR="00566206" w:rsidRPr="00566206" w:rsidRDefault="00566206" w:rsidP="00BC1AD4">
      <w:pPr>
        <w:jc w:val="both"/>
        <w:rPr>
          <w:b/>
          <w:bCs/>
          <w:lang w:val="en-US"/>
        </w:rPr>
      </w:pPr>
    </w:p>
    <w:p w14:paraId="76231646" w14:textId="77777777" w:rsidR="00566206" w:rsidRPr="00566206" w:rsidRDefault="00566206" w:rsidP="00BC1AD4">
      <w:pPr>
        <w:jc w:val="both"/>
        <w:rPr>
          <w:b/>
          <w:bCs/>
          <w:lang w:val="en-US"/>
        </w:rPr>
      </w:pPr>
      <w:r w:rsidRPr="00566206">
        <w:rPr>
          <w:b/>
          <w:bCs/>
          <w:lang w:val="en-US"/>
        </w:rPr>
        <w:t>Computational Resource Requirements (if any)</w:t>
      </w:r>
    </w:p>
    <w:p w14:paraId="3B1A7DF5" w14:textId="77777777" w:rsidR="001235D3" w:rsidRDefault="00000000" w:rsidP="00BC1AD4">
      <w:pPr>
        <w:jc w:val="both"/>
      </w:pPr>
      <w:r>
        <w:t>A standard development laptop is sufficient: a multi-core CPU, 8-16 GB RAM, and a Python 3.12 environment with the listed open-source libraries. The largest computation is aggregating the 45.7M-line X5 purchase history, which is done by chunked streaming and completes in minutes on CPU; all models train in minutes. No GPU is required. All code and artefacts are stored in a GitHub repository, isolated under a Phase 2 project tree, and reproduced via a single script.</w:t>
      </w:r>
    </w:p>
    <w:p w14:paraId="025EE3AB" w14:textId="77777777" w:rsidR="00566206" w:rsidRPr="00566206" w:rsidRDefault="00566206" w:rsidP="00BC1AD4">
      <w:pPr>
        <w:numPr>
          <w:ilvl w:val="0"/>
          <w:numId w:val="5"/>
        </w:numPr>
        <w:jc w:val="both"/>
        <w:rPr>
          <w:b/>
          <w:bCs/>
          <w:lang w:val="en-US"/>
        </w:rPr>
      </w:pPr>
      <w:r w:rsidRPr="00566206">
        <w:rPr>
          <w:b/>
          <w:bCs/>
          <w:lang w:val="en-US"/>
        </w:rPr>
        <w:t xml:space="preserve">Expected results / </w:t>
      </w:r>
      <w:proofErr w:type="spellStart"/>
      <w:r w:rsidRPr="00566206">
        <w:rPr>
          <w:b/>
          <w:bCs/>
          <w:lang w:val="en-US"/>
        </w:rPr>
        <w:t>Dự</w:t>
      </w:r>
      <w:proofErr w:type="spellEnd"/>
      <w:r w:rsidRPr="00566206">
        <w:rPr>
          <w:b/>
          <w:bCs/>
          <w:lang w:val="en-US"/>
        </w:rPr>
        <w:t xml:space="preserve"> </w:t>
      </w:r>
      <w:proofErr w:type="spellStart"/>
      <w:r w:rsidRPr="00566206">
        <w:rPr>
          <w:b/>
          <w:bCs/>
          <w:lang w:val="en-US"/>
        </w:rPr>
        <w:t>kiến</w:t>
      </w:r>
      <w:proofErr w:type="spellEnd"/>
      <w:r w:rsidRPr="00566206">
        <w:rPr>
          <w:b/>
          <w:bCs/>
          <w:lang w:val="en-US"/>
        </w:rPr>
        <w:t xml:space="preserve"> </w:t>
      </w:r>
      <w:proofErr w:type="spellStart"/>
      <w:r w:rsidRPr="00566206">
        <w:rPr>
          <w:b/>
          <w:bCs/>
          <w:lang w:val="en-US"/>
        </w:rPr>
        <w:t>kết</w:t>
      </w:r>
      <w:proofErr w:type="spellEnd"/>
      <w:r w:rsidRPr="00566206">
        <w:rPr>
          <w:b/>
          <w:bCs/>
          <w:lang w:val="en-US"/>
        </w:rPr>
        <w:t xml:space="preserve"> </w:t>
      </w:r>
      <w:proofErr w:type="spellStart"/>
      <w:r w:rsidRPr="00566206">
        <w:rPr>
          <w:b/>
          <w:bCs/>
          <w:lang w:val="en-US"/>
        </w:rPr>
        <w:t>quả</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0D50CB6D" w14:textId="77777777" w:rsidR="00566206" w:rsidRPr="00566206" w:rsidRDefault="00BC1AD4" w:rsidP="00BC1AD4">
      <w:pPr>
        <w:jc w:val="both"/>
        <w:rPr>
          <w:b/>
          <w:bCs/>
          <w:lang w:val="en-US"/>
        </w:rPr>
      </w:pPr>
      <w:r>
        <w:t>The project is expected to deliver a reproducible Python-SQL pipeline spanning three retail contexts, a cross-context CLV benchmark with bootstrap confidence intervals, and an uplift and value-adjusted targeting study on the randomised campaign. Expected findings include: the Hurdle-Semantic framework transfers across contexts but with a context-dependent mechanism; behavioural and semantic features add significant ranking value beyond RFM; response-based targeting underperforms uplift-aware targeting; and value-adjusted uplift gives the most promising profit under tight budgets, reported with honest significance caveats. Final outputs include SHAP explanations, conformal intervals, an interactive targeting dashboard, a 10-12 page Springer report, and a complete AI Audit Log demonstrating the Human Delta.</w:t>
      </w:r>
    </w:p>
    <w:p w14:paraId="6F98BFD5" w14:textId="77777777" w:rsidR="00566206" w:rsidRPr="00566206" w:rsidRDefault="00566206" w:rsidP="00BC1AD4">
      <w:pPr>
        <w:jc w:val="both"/>
        <w:rPr>
          <w:b/>
          <w:bCs/>
          <w:lang w:val="en-US"/>
        </w:rPr>
      </w:pPr>
      <w:r w:rsidRPr="00566206">
        <w:rPr>
          <w:b/>
          <w:bCs/>
          <w:lang w:val="en-US"/>
        </w:rPr>
        <w:t xml:space="preserve">References </w:t>
      </w:r>
    </w:p>
    <w:p w14:paraId="520437CB" w14:textId="77777777" w:rsidR="001235D3" w:rsidRPr="00007943" w:rsidRDefault="00000000" w:rsidP="00BC1AD4">
      <w:pPr>
        <w:jc w:val="both"/>
        <w:rPr>
          <w:bCs/>
        </w:rPr>
      </w:pPr>
      <w:r w:rsidRPr="00007943">
        <w:rPr>
          <w:bCs/>
        </w:rPr>
        <w:t>[1]  Fader, P. S., Hardie, B. G. S., &amp; Lee, K. L. (2005). Counting your customers the easy way: An alternative to the Pareto/NBD model. Marketing Science, 24(2), 275-284.</w:t>
      </w:r>
    </w:p>
    <w:p w14:paraId="06DD472F" w14:textId="77777777" w:rsidR="001235D3" w:rsidRPr="00007943" w:rsidRDefault="00000000" w:rsidP="00BC1AD4">
      <w:pPr>
        <w:jc w:val="both"/>
        <w:rPr>
          <w:bCs/>
        </w:rPr>
      </w:pPr>
      <w:r w:rsidRPr="00007943">
        <w:rPr>
          <w:bCs/>
        </w:rPr>
        <w:t>[2]  Wang, X., Liu, T., &amp; Miao, J. (2019). A deep probabilistic model for customer lifetime value prediction. arXiv:1912.07753.</w:t>
      </w:r>
    </w:p>
    <w:p w14:paraId="720080C8" w14:textId="77777777" w:rsidR="001235D3" w:rsidRPr="00007943" w:rsidRDefault="00000000" w:rsidP="00BC1AD4">
      <w:pPr>
        <w:jc w:val="both"/>
        <w:rPr>
          <w:bCs/>
        </w:rPr>
      </w:pPr>
      <w:r w:rsidRPr="00007943">
        <w:rPr>
          <w:bCs/>
        </w:rPr>
        <w:lastRenderedPageBreak/>
        <w:t>[3]  Romano, Y., Patterson, E., &amp; Candes, E. (2019). Conformalized quantile regression. Advances in Neural Information Processing Systems, 32.</w:t>
      </w:r>
    </w:p>
    <w:p w14:paraId="18596707" w14:textId="77777777" w:rsidR="001235D3" w:rsidRPr="00007943" w:rsidRDefault="00000000" w:rsidP="00BC1AD4">
      <w:pPr>
        <w:jc w:val="both"/>
        <w:rPr>
          <w:bCs/>
        </w:rPr>
      </w:pPr>
      <w:r w:rsidRPr="00007943">
        <w:rPr>
          <w:bCs/>
        </w:rPr>
        <w:t>[4]  Gutierrez, P., &amp; Gerardy, J.-Y. (2017). Causal inference and uplift modelling: A review of the literature. Proceedings of Machine Learning Research, 67, 1-13.</w:t>
      </w:r>
    </w:p>
    <w:p w14:paraId="38D24073" w14:textId="77777777" w:rsidR="001235D3" w:rsidRPr="00007943" w:rsidRDefault="00000000" w:rsidP="00BC1AD4">
      <w:pPr>
        <w:jc w:val="both"/>
        <w:rPr>
          <w:bCs/>
        </w:rPr>
      </w:pPr>
      <w:r w:rsidRPr="00007943">
        <w:rPr>
          <w:bCs/>
        </w:rPr>
        <w:t>[5]  Kunzel, S. R., Sekhon, J. S., Bickel, P. J., &amp; Yu, B. (2019). Metalearners for estimating heterogeneous treatment effects using machine learning. PNAS, 116(10), 4156-4165.</w:t>
      </w:r>
      <w:hyperlink r:id="rId5" w:tgtFrame="_new" w:history="1">
        <w:r w:rsidR="00A14426" w:rsidRPr="00007943">
          <w:rPr>
            <w:rStyle w:val="Hyperlink"/>
            <w:bCs/>
          </w:rPr>
          <w:t>https://doi.org/10.24432/C5CG6D</w:t>
        </w:r>
      </w:hyperlink>
    </w:p>
    <w:sectPr w:rsidR="001235D3" w:rsidRPr="000079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67684"/>
    <w:multiLevelType w:val="multilevel"/>
    <w:tmpl w:val="F23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70C08"/>
    <w:multiLevelType w:val="multilevel"/>
    <w:tmpl w:val="925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F70A1"/>
    <w:multiLevelType w:val="multilevel"/>
    <w:tmpl w:val="277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A2978"/>
    <w:multiLevelType w:val="multilevel"/>
    <w:tmpl w:val="56F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F2304"/>
    <w:multiLevelType w:val="multilevel"/>
    <w:tmpl w:val="384AEB78"/>
    <w:lvl w:ilvl="0">
      <w:start w:val="1"/>
      <w:numFmt w:val="decimal"/>
      <w:lvlText w:val="%1."/>
      <w:lvlJc w:val="left"/>
      <w:pPr>
        <w:ind w:left="720" w:hanging="36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7EF26E2D"/>
    <w:multiLevelType w:val="multilevel"/>
    <w:tmpl w:val="F80E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13358">
    <w:abstractNumId w:val="0"/>
  </w:num>
  <w:num w:numId="2" w16cid:durableId="517891267">
    <w:abstractNumId w:val="3"/>
  </w:num>
  <w:num w:numId="3" w16cid:durableId="1506556084">
    <w:abstractNumId w:val="1"/>
  </w:num>
  <w:num w:numId="4" w16cid:durableId="550575748">
    <w:abstractNumId w:val="2"/>
  </w:num>
  <w:num w:numId="5" w16cid:durableId="2111536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1514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ED"/>
    <w:rsid w:val="00007943"/>
    <w:rsid w:val="000631A1"/>
    <w:rsid w:val="000F6C4E"/>
    <w:rsid w:val="001235D3"/>
    <w:rsid w:val="001A3514"/>
    <w:rsid w:val="0025150C"/>
    <w:rsid w:val="003549ED"/>
    <w:rsid w:val="003D059C"/>
    <w:rsid w:val="003E4210"/>
    <w:rsid w:val="00473905"/>
    <w:rsid w:val="00477A88"/>
    <w:rsid w:val="00566206"/>
    <w:rsid w:val="00587935"/>
    <w:rsid w:val="00603CA1"/>
    <w:rsid w:val="006178C2"/>
    <w:rsid w:val="006B1006"/>
    <w:rsid w:val="009071A3"/>
    <w:rsid w:val="00A14426"/>
    <w:rsid w:val="00BC1AD4"/>
    <w:rsid w:val="00C31372"/>
    <w:rsid w:val="00E02C11"/>
    <w:rsid w:val="00E10C77"/>
    <w:rsid w:val="00E41A3D"/>
    <w:rsid w:val="00ED1AF5"/>
    <w:rsid w:val="00F67A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EC2F"/>
  <w15:chartTrackingRefBased/>
  <w15:docId w15:val="{65C053BB-6A40-4D7B-AE55-09B11572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9ED"/>
    <w:rPr>
      <w:rFonts w:eastAsiaTheme="majorEastAsia" w:cstheme="majorBidi"/>
      <w:color w:val="272727" w:themeColor="text1" w:themeTint="D8"/>
    </w:rPr>
  </w:style>
  <w:style w:type="paragraph" w:styleId="Title">
    <w:name w:val="Title"/>
    <w:basedOn w:val="Normal"/>
    <w:next w:val="Normal"/>
    <w:link w:val="TitleChar"/>
    <w:uiPriority w:val="10"/>
    <w:qFormat/>
    <w:rsid w:val="0035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9ED"/>
    <w:pPr>
      <w:spacing w:before="160"/>
      <w:jc w:val="center"/>
    </w:pPr>
    <w:rPr>
      <w:i/>
      <w:iCs/>
      <w:color w:val="404040" w:themeColor="text1" w:themeTint="BF"/>
    </w:rPr>
  </w:style>
  <w:style w:type="character" w:customStyle="1" w:styleId="QuoteChar">
    <w:name w:val="Quote Char"/>
    <w:basedOn w:val="DefaultParagraphFont"/>
    <w:link w:val="Quote"/>
    <w:uiPriority w:val="29"/>
    <w:rsid w:val="003549ED"/>
    <w:rPr>
      <w:i/>
      <w:iCs/>
      <w:color w:val="404040" w:themeColor="text1" w:themeTint="BF"/>
    </w:rPr>
  </w:style>
  <w:style w:type="paragraph" w:styleId="ListParagraph">
    <w:name w:val="List Paragraph"/>
    <w:basedOn w:val="Normal"/>
    <w:uiPriority w:val="34"/>
    <w:qFormat/>
    <w:rsid w:val="003549ED"/>
    <w:pPr>
      <w:ind w:left="720"/>
      <w:contextualSpacing/>
    </w:pPr>
  </w:style>
  <w:style w:type="character" w:styleId="IntenseEmphasis">
    <w:name w:val="Intense Emphasis"/>
    <w:basedOn w:val="DefaultParagraphFont"/>
    <w:uiPriority w:val="21"/>
    <w:qFormat/>
    <w:rsid w:val="003549ED"/>
    <w:rPr>
      <w:i/>
      <w:iCs/>
      <w:color w:val="0F4761" w:themeColor="accent1" w:themeShade="BF"/>
    </w:rPr>
  </w:style>
  <w:style w:type="paragraph" w:styleId="IntenseQuote">
    <w:name w:val="Intense Quote"/>
    <w:basedOn w:val="Normal"/>
    <w:next w:val="Normal"/>
    <w:link w:val="IntenseQuoteChar"/>
    <w:uiPriority w:val="30"/>
    <w:qFormat/>
    <w:rsid w:val="0035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9ED"/>
    <w:rPr>
      <w:i/>
      <w:iCs/>
      <w:color w:val="0F4761" w:themeColor="accent1" w:themeShade="BF"/>
    </w:rPr>
  </w:style>
  <w:style w:type="character" w:styleId="IntenseReference">
    <w:name w:val="Intense Reference"/>
    <w:basedOn w:val="DefaultParagraphFont"/>
    <w:uiPriority w:val="32"/>
    <w:qFormat/>
    <w:rsid w:val="003549ED"/>
    <w:rPr>
      <w:b/>
      <w:bCs/>
      <w:smallCaps/>
      <w:color w:val="0F4761" w:themeColor="accent1" w:themeShade="BF"/>
      <w:spacing w:val="5"/>
    </w:rPr>
  </w:style>
  <w:style w:type="character" w:styleId="Hyperlink">
    <w:name w:val="Hyperlink"/>
    <w:basedOn w:val="DefaultParagraphFont"/>
    <w:uiPriority w:val="99"/>
    <w:unhideWhenUsed/>
    <w:rsid w:val="003549ED"/>
    <w:rPr>
      <w:color w:val="467886" w:themeColor="hyperlink"/>
      <w:u w:val="single"/>
    </w:rPr>
  </w:style>
  <w:style w:type="character" w:styleId="UnresolvedMention">
    <w:name w:val="Unresolved Mention"/>
    <w:basedOn w:val="DefaultParagraphFont"/>
    <w:uiPriority w:val="99"/>
    <w:semiHidden/>
    <w:unhideWhenUsed/>
    <w:rsid w:val="00354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4432/C5CG6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Hồ</dc:creator>
  <cp:keywords/>
  <dc:description/>
  <cp:lastModifiedBy>Phuc Tu</cp:lastModifiedBy>
  <cp:revision>5</cp:revision>
  <dcterms:created xsi:type="dcterms:W3CDTF">2026-06-03T08:34:00Z</dcterms:created>
  <dcterms:modified xsi:type="dcterms:W3CDTF">2026-06-21T11:05:00Z</dcterms:modified>
</cp:coreProperties>
</file>