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67D2" w14:textId="77777777" w:rsidR="003549ED" w:rsidRPr="003549ED" w:rsidRDefault="003549ED" w:rsidP="00BC1AD4">
      <w:pPr>
        <w:jc w:val="both"/>
      </w:pPr>
    </w:p>
    <w:p w14:paraId="3856AFA4" w14:textId="77777777" w:rsidR="003549ED" w:rsidRPr="003549ED" w:rsidRDefault="003549ED" w:rsidP="00BC1AD4">
      <w:pPr>
        <w:jc w:val="both"/>
      </w:pPr>
      <w:r w:rsidRPr="003549ED">
        <w:rPr>
          <w:b/>
          <w:bCs/>
        </w:rPr>
        <w:t>RESEARCH PROPOSAL TEMPLATE /</w:t>
      </w:r>
    </w:p>
    <w:p w14:paraId="709D03F0" w14:textId="77777777" w:rsidR="003549ED" w:rsidRPr="003549ED" w:rsidRDefault="003549ED" w:rsidP="00BC1AD4">
      <w:pPr>
        <w:jc w:val="both"/>
      </w:pPr>
      <w:r w:rsidRPr="003549ED">
        <w:rPr>
          <w:b/>
          <w:bCs/>
        </w:rPr>
        <w:t>THUYẾT MINH ĐỀ CƯƠNG NGHIÊN CỨU</w:t>
      </w:r>
    </w:p>
    <w:p w14:paraId="52ACF477" w14:textId="77777777" w:rsidR="003549ED" w:rsidRPr="003549ED" w:rsidRDefault="003549ED" w:rsidP="00BC1AD4">
      <w:pPr>
        <w:jc w:val="both"/>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2CD084DF"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2B50D2" w14:textId="77777777" w:rsidR="003549ED" w:rsidRPr="003549ED" w:rsidRDefault="003549ED" w:rsidP="00BC1AD4">
            <w:pPr>
              <w:jc w:val="both"/>
            </w:pPr>
            <w:r w:rsidRPr="003549ED">
              <w:rPr>
                <w:b/>
                <w:bCs/>
              </w:rPr>
              <w:t>Research title</w:t>
            </w:r>
          </w:p>
          <w:p w14:paraId="28C86F18" w14:textId="77777777" w:rsidR="003549ED" w:rsidRPr="003549ED" w:rsidRDefault="003549ED" w:rsidP="00BC1AD4">
            <w:pPr>
              <w:jc w:val="both"/>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5AA74A" w14:textId="77777777" w:rsidR="00ED1AF5" w:rsidRDefault="00000000">
            <w:r>
              <w:t>Explainable CLV Ranking and Uplift-Aware Customer Targeting Across Retail Contexts</w:t>
            </w:r>
          </w:p>
        </w:tc>
      </w:tr>
      <w:tr w:rsidR="003549ED" w:rsidRPr="003549ED" w14:paraId="4778405F"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862152" w14:textId="77777777" w:rsidR="003549ED" w:rsidRPr="003549ED" w:rsidRDefault="003549ED" w:rsidP="00BC1AD4">
            <w:pPr>
              <w:jc w:val="both"/>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B93D79" w14:textId="77777777" w:rsidR="003549ED" w:rsidRPr="003549ED" w:rsidRDefault="003E4210" w:rsidP="00BC1AD4">
            <w:pPr>
              <w:jc w:val="both"/>
            </w:pPr>
            <w:r>
              <w:t>Nguyễn Hoàng Linh</w:t>
            </w:r>
          </w:p>
        </w:tc>
      </w:tr>
      <w:tr w:rsidR="003549ED" w:rsidRPr="003549ED" w14:paraId="7A4014FA" w14:textId="77777777" w:rsidTr="003E4210">
        <w:trPr>
          <w:trHeight w:val="476"/>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4A4843" w14:textId="77777777" w:rsidR="003549ED" w:rsidRPr="003549ED" w:rsidRDefault="003549ED" w:rsidP="00BC1AD4">
            <w:pPr>
              <w:jc w:val="both"/>
            </w:pPr>
            <w:r w:rsidRPr="003549ED">
              <w:rPr>
                <w:b/>
                <w:bCs/>
              </w:rPr>
              <w:t>Members</w:t>
            </w:r>
          </w:p>
          <w:p w14:paraId="1BC324AF" w14:textId="77777777" w:rsidR="003549ED" w:rsidRPr="003549ED" w:rsidRDefault="003549ED" w:rsidP="00BC1AD4">
            <w:pPr>
              <w:jc w:val="both"/>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3083F" w14:textId="77777777" w:rsidR="003549ED" w:rsidRPr="003549ED" w:rsidRDefault="003E4210" w:rsidP="00BC1AD4">
            <w:pPr>
              <w:jc w:val="both"/>
            </w:pPr>
            <w:r>
              <w:t>Nguyễn Vũ Minh Ánh – SE203412</w:t>
            </w:r>
          </w:p>
        </w:tc>
      </w:tr>
    </w:tbl>
    <w:p w14:paraId="0771AE97" w14:textId="77777777" w:rsidR="003549ED" w:rsidRPr="003E4210" w:rsidRDefault="003549ED" w:rsidP="00BC1AD4">
      <w:pPr>
        <w:jc w:val="both"/>
      </w:pPr>
    </w:p>
    <w:p w14:paraId="2F437C65" w14:textId="77777777" w:rsidR="00566206" w:rsidRPr="00566206" w:rsidRDefault="00566206" w:rsidP="00BC1AD4">
      <w:pPr>
        <w:jc w:val="both"/>
        <w:rPr>
          <w:b/>
          <w:bCs/>
          <w:lang w:val="en-US"/>
        </w:rPr>
      </w:pPr>
      <w:r w:rsidRPr="00566206">
        <w:rPr>
          <w:b/>
          <w:bCs/>
          <w:lang w:val="en-US"/>
        </w:rPr>
        <w:t>Abstract/</w:t>
      </w:r>
      <w:proofErr w:type="spellStart"/>
      <w:r w:rsidRPr="00566206">
        <w:rPr>
          <w:b/>
          <w:bCs/>
          <w:lang w:val="en-US"/>
        </w:rPr>
        <w:t>Tóm</w:t>
      </w:r>
      <w:proofErr w:type="spellEnd"/>
      <w:r w:rsidRPr="00566206">
        <w:rPr>
          <w:b/>
          <w:bCs/>
          <w:lang w:val="en-US"/>
        </w:rPr>
        <w:t xml:space="preserve"> </w:t>
      </w:r>
      <w:proofErr w:type="spellStart"/>
      <w:r w:rsidRPr="00566206">
        <w:rPr>
          <w:b/>
          <w:bCs/>
          <w:lang w:val="en-US"/>
        </w:rPr>
        <w:t>tắt</w:t>
      </w:r>
      <w:proofErr w:type="spellEnd"/>
    </w:p>
    <w:p w14:paraId="4B08089B" w14:textId="77777777" w:rsidR="00E10C77" w:rsidRDefault="00E10C77" w:rsidP="00BC1AD4">
      <w:pPr>
        <w:jc w:val="both"/>
        <w:rPr>
          <w:iCs/>
        </w:rPr>
      </w:pPr>
      <w:r w:rsidRPr="00E10C77">
        <w:rPr>
          <w:iCs/>
          <w:lang w:val="en-US"/>
        </w:rPr>
        <w:t>This proposal describes a five-week Phase 2 Data Science project for ADY201m that connects explainable Customer Lifetime Value (CLV) ranking with uplift-aware targeting. Prior work optimises either customer value (CLV models) or campaign responsiveness (uplift models), but rarely both, and rarely across structurally different retail contexts with honest statistical testing. We address this gap on three datasets with deliberately separated roles: Online Retail II (UK e-commerce, baseline CLV), Dunnhumby Complete Journey (US grocery, external CLV validation), and X5 RetailHero (a randomised supermarket SMS campaign, the sole source of causal uplift). The study contributes (1) a cross-context, temporally-valid (walk-forward) evaluation of an explainable Hurdle-Semantic CLV framework; (2) a leave-one-group-out attribution of which feature groups (behavioural, sequence, semantic) actually add ranking value; and (3) what is, to our knowledge, the first head-to-head empirical comparison of CLV-only, uplift-only, and value-adjusted targeting policies across heterogeneous retail contexts, with paired tests, bootstrap confidence intervals, and transparent reporting of non-significant results. The project follows the PBL + RBL framework with a full Python and SQL pipeline, more than five predictive models against published baselines, an interactive targeting dashboard, and a complete AI Audit Log demonstrating the Human Delta.</w:t>
      </w:r>
    </w:p>
    <w:p w14:paraId="0E3EFAF4" w14:textId="77777777" w:rsidR="003E4210" w:rsidRPr="00007943" w:rsidRDefault="00566206" w:rsidP="00BC1AD4">
      <w:pPr>
        <w:jc w:val="both"/>
        <w:rPr>
          <w:lang w:val="en-US"/>
        </w:rPr>
      </w:pPr>
      <w:r w:rsidRPr="00566206">
        <w:rPr>
          <w:b/>
          <w:bCs/>
          <w:lang w:val="en-US"/>
        </w:rPr>
        <w:t xml:space="preserve">Key words: </w:t>
      </w:r>
      <w:r w:rsidRPr="00007943">
        <w:rPr>
          <w:lang w:val="en-US"/>
        </w:rPr>
        <w:t>Customer Lifetime Value, Uplift Modelling, Hurdle Model, Explainability,</w:t>
      </w:r>
    </w:p>
    <w:p w14:paraId="212E118C" w14:textId="77777777" w:rsidR="00566206" w:rsidRPr="003E4210" w:rsidRDefault="003E4210" w:rsidP="00BC1AD4">
      <w:pPr>
        <w:jc w:val="both"/>
      </w:pPr>
      <w:r w:rsidRPr="003E4210">
        <w:rPr>
          <w:lang w:val="en-US"/>
        </w:rPr>
        <w:t>Conformal Prediction, Cross-Context Generalisation, Campaign Targeting, SQL, Python</w:t>
      </w:r>
    </w:p>
    <w:p w14:paraId="7F63F675" w14:textId="77777777" w:rsidR="00566206" w:rsidRPr="00566206" w:rsidRDefault="00566206" w:rsidP="00BC1AD4">
      <w:pPr>
        <w:jc w:val="both"/>
        <w:rPr>
          <w:b/>
          <w:bCs/>
          <w:lang w:val="en-US"/>
        </w:rPr>
      </w:pPr>
    </w:p>
    <w:p w14:paraId="38F2D519" w14:textId="77777777" w:rsidR="00566206" w:rsidRPr="00566206" w:rsidRDefault="00566206" w:rsidP="00BC1AD4">
      <w:pPr>
        <w:numPr>
          <w:ilvl w:val="0"/>
          <w:numId w:val="5"/>
        </w:numPr>
        <w:jc w:val="both"/>
        <w:rPr>
          <w:b/>
          <w:bCs/>
          <w:lang w:val="en-US"/>
        </w:rPr>
      </w:pPr>
      <w:r w:rsidRPr="00566206">
        <w:rPr>
          <w:b/>
          <w:bCs/>
          <w:lang w:val="en-US"/>
        </w:rPr>
        <w:t xml:space="preserve">Introduction / </w:t>
      </w:r>
      <w:proofErr w:type="spellStart"/>
      <w:r w:rsidRPr="00566206">
        <w:rPr>
          <w:b/>
          <w:bCs/>
          <w:lang w:val="en-US"/>
        </w:rPr>
        <w:t>Giới</w:t>
      </w:r>
      <w:proofErr w:type="spellEnd"/>
      <w:r w:rsidRPr="00566206">
        <w:rPr>
          <w:b/>
          <w:bCs/>
          <w:lang w:val="en-US"/>
        </w:rPr>
        <w:t xml:space="preserve"> </w:t>
      </w:r>
      <w:proofErr w:type="spellStart"/>
      <w:r w:rsidRPr="00566206">
        <w:rPr>
          <w:b/>
          <w:bCs/>
          <w:lang w:val="en-US"/>
        </w:rPr>
        <w:t>thiệu</w:t>
      </w:r>
      <w:proofErr w:type="spellEnd"/>
      <w:r w:rsidRPr="00566206">
        <w:rPr>
          <w:b/>
          <w:bCs/>
          <w:lang w:val="en-US"/>
        </w:rPr>
        <w:t xml:space="preserve"> </w:t>
      </w:r>
    </w:p>
    <w:p w14:paraId="56E5FDD1" w14:textId="77777777" w:rsidR="00566206" w:rsidRPr="0025150C" w:rsidRDefault="00566206" w:rsidP="00BC1AD4">
      <w:pPr>
        <w:numPr>
          <w:ilvl w:val="1"/>
          <w:numId w:val="5"/>
        </w:numPr>
        <w:jc w:val="both"/>
        <w:rPr>
          <w:lang w:val="en-US"/>
        </w:rPr>
      </w:pPr>
      <w:r w:rsidRPr="00566206">
        <w:rPr>
          <w:b/>
          <w:bCs/>
          <w:lang w:val="en-US"/>
        </w:rPr>
        <w:t>1.1.</w:t>
      </w:r>
      <w:r w:rsidRPr="00566206">
        <w:rPr>
          <w:b/>
          <w:bCs/>
          <w:i/>
          <w:lang w:val="en-US"/>
        </w:rPr>
        <w:t xml:space="preserve"> </w:t>
      </w:r>
      <w:r w:rsidRPr="0025150C">
        <w:rPr>
          <w:lang w:val="en-US"/>
        </w:rPr>
        <w:t xml:space="preserve">Literature review / </w:t>
      </w:r>
      <w:proofErr w:type="spellStart"/>
      <w:r w:rsidRPr="0025150C">
        <w:rPr>
          <w:lang w:val="en-US"/>
        </w:rPr>
        <w:t>Tình</w:t>
      </w:r>
      <w:proofErr w:type="spellEnd"/>
      <w:r w:rsidRPr="0025150C">
        <w:rPr>
          <w:lang w:val="en-US"/>
        </w:rPr>
        <w:t xml:space="preserve"> </w:t>
      </w:r>
      <w:proofErr w:type="spellStart"/>
      <w:r w:rsidRPr="0025150C">
        <w:rPr>
          <w:lang w:val="en-US"/>
        </w:rPr>
        <w:t>hình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trong</w:t>
      </w:r>
      <w:proofErr w:type="spellEnd"/>
      <w:r w:rsidRPr="0025150C">
        <w:rPr>
          <w:lang w:val="en-US"/>
        </w:rPr>
        <w:t xml:space="preserve"> </w:t>
      </w:r>
      <w:proofErr w:type="spellStart"/>
      <w:r w:rsidRPr="0025150C">
        <w:rPr>
          <w:lang w:val="en-US"/>
        </w:rPr>
        <w:t>và</w:t>
      </w:r>
      <w:proofErr w:type="spellEnd"/>
      <w:r w:rsidRPr="0025150C">
        <w:rPr>
          <w:lang w:val="en-US"/>
        </w:rPr>
        <w:t xml:space="preserve"> </w:t>
      </w:r>
      <w:proofErr w:type="spellStart"/>
      <w:r w:rsidRPr="0025150C">
        <w:rPr>
          <w:lang w:val="en-US"/>
        </w:rPr>
        <w:t>ngoài</w:t>
      </w:r>
      <w:proofErr w:type="spellEnd"/>
      <w:r w:rsidRPr="0025150C">
        <w:rPr>
          <w:lang w:val="en-US"/>
        </w:rPr>
        <w:t xml:space="preserve"> </w:t>
      </w:r>
      <w:proofErr w:type="spellStart"/>
      <w:r w:rsidRPr="0025150C">
        <w:rPr>
          <w:lang w:val="en-US"/>
        </w:rPr>
        <w:t>nước</w:t>
      </w:r>
      <w:proofErr w:type="spellEnd"/>
    </w:p>
    <w:p w14:paraId="50471DAE" w14:textId="77777777" w:rsidR="001235D3" w:rsidRDefault="00000000" w:rsidP="00BC1AD4">
      <w:pPr>
        <w:jc w:val="both"/>
      </w:pPr>
      <w:r>
        <w:t>Customer Lifetime Value (CLV) modelling has a long history in marketing analytics. Probabilistic buy-till-you-die models such as Pareto/NBD and BG/NBD (Fader, Hardie &amp; Lee, 2005) with the Gamma-Gamma monetary model remain the standard non-</w:t>
      </w:r>
      <w:r>
        <w:lastRenderedPageBreak/>
        <w:t>contractual baseline, while RFM segmentation provides transparent descriptive grouping. More recently, gradient-boosted trees and zero-inflated formulations (Wang et al., 2019) treat CLV as a tabular regression problem and outperform probabilistic models when rich behavioural features are available; SHAP explanations and conformalized quantile regression (Romano et al., 2019) add interpretability and calibrated uncertainty.</w:t>
      </w:r>
    </w:p>
    <w:p w14:paraId="534A857C" w14:textId="77777777" w:rsidR="001235D3" w:rsidRDefault="00000000" w:rsidP="00BC1AD4">
      <w:pPr>
        <w:jc w:val="both"/>
      </w:pPr>
      <w:r>
        <w:t>In parallel, uplift modelling estimates the incremental effect of a marketing action rather than the response level (Gutierrez &amp; Gerardy, 2017), using meta-learners such as the X-Learner (Kunzel et al., 2019) and causal forests. Although CLV and uplift are both mature, they are seldom studied together or across heterogeneous retail contexts. This gap motivates a unified, explainable framework that ranks customers by value, estimates their persuadability, and fuses the two for budget-constrained targeting.</w:t>
      </w:r>
    </w:p>
    <w:p w14:paraId="6CEFC7C0" w14:textId="77777777" w:rsidR="00566206" w:rsidRPr="00566206" w:rsidRDefault="00566206" w:rsidP="00BC1AD4">
      <w:pPr>
        <w:jc w:val="both"/>
        <w:rPr>
          <w:b/>
          <w:bCs/>
          <w:i/>
          <w:lang w:val="en-US"/>
        </w:rPr>
      </w:pPr>
    </w:p>
    <w:p w14:paraId="45CF0B8F" w14:textId="77777777" w:rsidR="00566206" w:rsidRPr="00566206" w:rsidRDefault="00566206" w:rsidP="00BC1AD4">
      <w:pPr>
        <w:numPr>
          <w:ilvl w:val="1"/>
          <w:numId w:val="5"/>
        </w:numPr>
        <w:jc w:val="both"/>
        <w:rPr>
          <w:b/>
          <w:bCs/>
          <w:lang w:val="en-US"/>
        </w:rPr>
      </w:pPr>
      <w:r w:rsidRPr="00566206">
        <w:rPr>
          <w:b/>
          <w:bCs/>
          <w:lang w:val="en-US"/>
        </w:rPr>
        <w:t xml:space="preserve">1.2. </w:t>
      </w:r>
      <w:r w:rsidRPr="0025150C">
        <w:rPr>
          <w:lang w:val="en-US"/>
        </w:rPr>
        <w:t xml:space="preserve">The limitation of current works / </w:t>
      </w:r>
      <w:proofErr w:type="spellStart"/>
      <w:r w:rsidRPr="0025150C">
        <w:rPr>
          <w:lang w:val="en-US"/>
        </w:rPr>
        <w:t>Những</w:t>
      </w:r>
      <w:proofErr w:type="spellEnd"/>
      <w:r w:rsidRPr="0025150C">
        <w:rPr>
          <w:lang w:val="en-US"/>
        </w:rPr>
        <w:t xml:space="preserve"> </w:t>
      </w:r>
      <w:proofErr w:type="spellStart"/>
      <w:r w:rsidRPr="0025150C">
        <w:rPr>
          <w:lang w:val="en-US"/>
        </w:rPr>
        <w:t>hạn</w:t>
      </w:r>
      <w:proofErr w:type="spellEnd"/>
      <w:r w:rsidRPr="0025150C">
        <w:rPr>
          <w:lang w:val="en-US"/>
        </w:rPr>
        <w:t xml:space="preserve"> </w:t>
      </w:r>
      <w:proofErr w:type="spellStart"/>
      <w:r w:rsidRPr="0025150C">
        <w:rPr>
          <w:lang w:val="en-US"/>
        </w:rPr>
        <w:t>chế</w:t>
      </w:r>
      <w:proofErr w:type="spellEnd"/>
      <w:r w:rsidRPr="0025150C">
        <w:rPr>
          <w:lang w:val="en-US"/>
        </w:rPr>
        <w:t xml:space="preserve"> </w:t>
      </w:r>
      <w:proofErr w:type="spellStart"/>
      <w:r w:rsidRPr="0025150C">
        <w:rPr>
          <w:lang w:val="en-US"/>
        </w:rPr>
        <w:t>của</w:t>
      </w:r>
      <w:proofErr w:type="spellEnd"/>
      <w:r w:rsidRPr="0025150C">
        <w:rPr>
          <w:lang w:val="en-US"/>
        </w:rPr>
        <w:t xml:space="preserve"> </w:t>
      </w:r>
      <w:proofErr w:type="spellStart"/>
      <w:r w:rsidRPr="0025150C">
        <w:rPr>
          <w:lang w:val="en-US"/>
        </w:rPr>
        <w:t>các</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hiện</w:t>
      </w:r>
      <w:proofErr w:type="spellEnd"/>
      <w:r w:rsidRPr="0025150C">
        <w:rPr>
          <w:lang w:val="en-US"/>
        </w:rPr>
        <w:t xml:space="preserve"> </w:t>
      </w:r>
      <w:proofErr w:type="spellStart"/>
      <w:r w:rsidRPr="0025150C">
        <w:rPr>
          <w:lang w:val="en-US"/>
        </w:rPr>
        <w:t>tại</w:t>
      </w:r>
      <w:proofErr w:type="spellEnd"/>
    </w:p>
    <w:p w14:paraId="32FB3BB3" w14:textId="77777777" w:rsidR="00A14426" w:rsidRPr="00A14426" w:rsidRDefault="00A14426" w:rsidP="00BC1AD4">
      <w:pPr>
        <w:numPr>
          <w:ilvl w:val="1"/>
          <w:numId w:val="5"/>
        </w:numPr>
        <w:jc w:val="both"/>
        <w:rPr>
          <w:b/>
          <w:bCs/>
          <w:lang w:val="en-US"/>
        </w:rPr>
      </w:pPr>
      <w:r w:rsidRPr="00A14426">
        <w:t>Existing approaches face three limitations. First, CLV and uplift are usually optimised in isolation: value-based targeting can select sure buyers who would purchase anyway, wasting budget, while response-based targeting can select low-incremental customers. Second, CLV frameworks are rarely stress-tested across structurally different contexts, so claims of generality remain untested; e-commerce future spend is strongly zero-inflated (47-67% zero) and heavy-tailed (skewness &gt;22), whereas grocery is dense and light-tailed, and a single model may not transfer for the same reasons. Third, targeting studies often lack calibrated uncertainty and stage-wise explanations, limiting marketer trust and risk-aware decisions. These motivate a framework that combines a Hurdle CLV model, semantic and sequence features, uplift learners, a value-adjusted policy, explainability, and bootstrap-based honesty about what is and is not statistically significant.</w:t>
      </w:r>
    </w:p>
    <w:p w14:paraId="6B2E1831" w14:textId="77777777" w:rsidR="00566206" w:rsidRPr="00566206" w:rsidRDefault="00566206" w:rsidP="00BC1AD4">
      <w:pPr>
        <w:numPr>
          <w:ilvl w:val="1"/>
          <w:numId w:val="5"/>
        </w:numPr>
        <w:jc w:val="both"/>
        <w:rPr>
          <w:b/>
          <w:bCs/>
          <w:lang w:val="en-US"/>
        </w:rPr>
      </w:pPr>
      <w:r w:rsidRPr="00566206">
        <w:rPr>
          <w:b/>
          <w:bCs/>
          <w:lang w:val="en-US"/>
        </w:rPr>
        <w:t xml:space="preserve">1.3. </w:t>
      </w:r>
      <w:r w:rsidRPr="0025150C">
        <w:rPr>
          <w:lang w:val="en-US"/>
        </w:rPr>
        <w:t xml:space="preserve">The necessity of the research / </w:t>
      </w:r>
      <w:proofErr w:type="spellStart"/>
      <w:r w:rsidRPr="0025150C">
        <w:rPr>
          <w:lang w:val="en-US"/>
        </w:rPr>
        <w:t>Sự</w:t>
      </w:r>
      <w:proofErr w:type="spellEnd"/>
      <w:r w:rsidRPr="0025150C">
        <w:rPr>
          <w:lang w:val="en-US"/>
        </w:rPr>
        <w:t xml:space="preserve"> </w:t>
      </w:r>
      <w:proofErr w:type="spellStart"/>
      <w:r w:rsidRPr="0025150C">
        <w:rPr>
          <w:lang w:val="en-US"/>
        </w:rPr>
        <w:t>cần</w:t>
      </w:r>
      <w:proofErr w:type="spellEnd"/>
      <w:r w:rsidRPr="0025150C">
        <w:rPr>
          <w:lang w:val="en-US"/>
        </w:rPr>
        <w:t xml:space="preserve"> </w:t>
      </w:r>
      <w:proofErr w:type="spellStart"/>
      <w:r w:rsidRPr="0025150C">
        <w:rPr>
          <w:lang w:val="en-US"/>
        </w:rPr>
        <w:t>thiết</w:t>
      </w:r>
      <w:proofErr w:type="spellEnd"/>
      <w:r w:rsidRPr="0025150C">
        <w:rPr>
          <w:lang w:val="en-US"/>
        </w:rPr>
        <w:t xml:space="preserve"> </w:t>
      </w:r>
      <w:proofErr w:type="spellStart"/>
      <w:r w:rsidRPr="0025150C">
        <w:rPr>
          <w:lang w:val="en-US"/>
        </w:rPr>
        <w:t>tiến</w:t>
      </w:r>
      <w:proofErr w:type="spellEnd"/>
      <w:r w:rsidRPr="0025150C">
        <w:rPr>
          <w:lang w:val="en-US"/>
        </w:rPr>
        <w:t xml:space="preserve"> </w:t>
      </w:r>
      <w:proofErr w:type="spellStart"/>
      <w:r w:rsidRPr="0025150C">
        <w:rPr>
          <w:lang w:val="en-US"/>
        </w:rPr>
        <w:t>hành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p>
    <w:p w14:paraId="62630BA8" w14:textId="77777777" w:rsidR="00A14426" w:rsidRDefault="00A14426" w:rsidP="00BC1AD4">
      <w:pPr>
        <w:jc w:val="both"/>
      </w:pPr>
      <w:r>
        <w:t>The specific problem this study addresses is not that marketing budgets are finite -- a generic motivation -- but that the two standard ways of spending those budgets disagree, and the field lacks an honest, like-for-like comparison of them. A CLV model ranks the most valuable customers, yet many of them are already-loyal sure buyers who would purchase without any campaign; an uplift model ranks campaign-responsive customers, yet many of them are low-value. Practitioners therefore face a concrete decision gap: among a limited number of contacts, which customers are both valuable and incrementally persuadable? Answering this requires estimating value and uplift in the same pipeline, comparing the resulting policies on the same randomised data, and testing whether the differences are real rather than noise.</w:t>
      </w:r>
    </w:p>
    <w:p w14:paraId="0CC30F9D" w14:textId="77777777" w:rsidR="00566206" w:rsidRPr="00566206" w:rsidRDefault="00A14426" w:rsidP="00BC1AD4">
      <w:pPr>
        <w:jc w:val="both"/>
        <w:rPr>
          <w:b/>
          <w:bCs/>
          <w:i/>
          <w:lang w:val="en-US"/>
        </w:rPr>
      </w:pPr>
      <w:r>
        <w:t>A second, methodological necessity is robustness. CLV is a forecasting task, so a random split leaks future information and inflates metrics; the framework must be evaluated with a walk-forward (temporal) protocol and re-estimated across structurally different retail regimes (e-commerce, which is zero-inflated, versus grocery, which is habitual and near fully active). Establishing whether an explainable Hurdle-Semantic framework transfers across these regimes -- and which of its components do the work -- is itself a contribution, because claims of generality in the CLV literature are frequently asserted but seldom tested across contexts.</w:t>
      </w:r>
      <w:r/>
    </w:p>
    <w:p>
      <w:r>
        <w:rPr>
          <w:b/>
        </w:rPr>
        <w:t>Research Questions / Câu hỏi nghiên cứu</w:t>
      </w:r>
    </w:p>
    <w:p>
      <w:r>
        <w:rPr>
          <w:b w:val="0"/>
        </w:rPr>
        <w:t>The project is organised around four research questions, which the objectives below operationalise:</w:t>
      </w:r>
    </w:p>
    <w:p>
      <w:r>
        <w:rPr>
          <w:b w:val="0"/>
        </w:rPr>
        <w:t>RQ1. How robust is the explainable Hurdle-Semantic CLV framework when re-estimated across the UK online-retail (Online Retail II) and US grocery (Dunnhumby) contexts under a walk-forward protocol?</w:t>
      </w:r>
    </w:p>
    <w:p>
      <w:r>
        <w:rPr>
          <w:b w:val="0"/>
        </w:rPr>
        <w:t>RQ2. Do behavioural, sequence, and semantic features add ranking value beyond RFM, and which group contributes most in each context?</w:t>
      </w:r>
    </w:p>
    <w:p>
      <w:r>
        <w:rPr>
          <w:b w:val="0"/>
        </w:rPr>
        <w:t>RQ3. On the randomised X5 campaign, does uplift-aware targeting outperform response-based and value-based (CLV) targeting?</w:t>
      </w:r>
    </w:p>
    <w:p>
      <w:r>
        <w:rPr>
          <w:b w:val="0"/>
        </w:rPr>
        <w:t>RQ4. Does value-adjusted uplift improve simulated campaign efficiency under budget constraints, and how does it trade off against CLV-only and uplift-only policies?</w:t>
      </w:r>
    </w:p>
    <w:p w14:paraId="323ABCDF" w14:textId="77777777" w:rsidR="00566206" w:rsidRPr="00566206" w:rsidRDefault="00566206" w:rsidP="00BC1AD4">
      <w:pPr>
        <w:numPr>
          <w:ilvl w:val="0"/>
          <w:numId w:val="5"/>
        </w:numPr>
        <w:jc w:val="both"/>
        <w:rPr>
          <w:b/>
          <w:bCs/>
          <w:lang w:val="en-US"/>
        </w:rPr>
      </w:pPr>
      <w:r w:rsidRPr="00566206">
        <w:rPr>
          <w:b/>
          <w:bCs/>
          <w:lang w:val="en-US"/>
        </w:rPr>
        <w:t xml:space="preserve">Research objectives / </w:t>
      </w:r>
      <w:proofErr w:type="spellStart"/>
      <w:r w:rsidRPr="00566206">
        <w:rPr>
          <w:b/>
          <w:bCs/>
          <w:lang w:val="en-US"/>
        </w:rPr>
        <w:t>Mục</w:t>
      </w:r>
      <w:proofErr w:type="spellEnd"/>
      <w:r w:rsidRPr="00566206">
        <w:rPr>
          <w:b/>
          <w:bCs/>
          <w:lang w:val="en-US"/>
        </w:rPr>
        <w:t xml:space="preserve"> </w:t>
      </w:r>
      <w:proofErr w:type="spellStart"/>
      <w:r w:rsidRPr="00566206">
        <w:rPr>
          <w:b/>
          <w:bCs/>
          <w:lang w:val="en-US"/>
        </w:rPr>
        <w:t>tiêu</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126C91C1" w14:textId="77777777" w:rsidR="00473905" w:rsidRDefault="00473905" w:rsidP="00BC1AD4">
      <w:pPr>
        <w:jc w:val="both"/>
      </w:pPr>
      <w:r>
        <w:t>The project pursues five concrete objectives, each mapped to the proposed workflow:</w:t>
      </w:r>
    </w:p>
    <w:p w14:paraId="6A204B50" w14:textId="77777777" w:rsidR="00473905" w:rsidRPr="00007943" w:rsidRDefault="00473905" w:rsidP="00BC1AD4">
      <w:pPr>
        <w:jc w:val="both"/>
      </w:pPr>
      <w:r w:rsidRPr="00007943">
        <w:t>O1. Build a complete and reproducible data-science pipeline across three datasets (Online Retail II, Dunnhumby Complete Journey, X5 RetailHero), covering ingestion, cleaning, EDA, a shared feature pipeline, modelling, and evaluation, with SQL analytics integrated into Python and a single-command reproduction script.</w:t>
      </w:r>
    </w:p>
    <w:p w14:paraId="73F630B9" w14:textId="77777777" w:rsidR="00473905" w:rsidRPr="00007943" w:rsidRDefault="00473905" w:rsidP="00BC1AD4">
      <w:pPr>
        <w:jc w:val="both"/>
      </w:pPr>
      <w:r w:rsidRPr="00007943">
        <w:t>O2. Re-estimate the explainable Hurdle-Semantic CLV model across the UK online-retail and US grocery contexts under a walk-forward (temporal) protocol aligned with prior work, and test, with paired tests and bootstrap confidence intervals, whether the framework is robust and which feature groups (behavioural, sequence, semantic) add ranking value via leave-one-group-out ablation. This addresses RQ1 and RQ2.</w:t>
      </w:r>
    </w:p>
    <w:p w14:paraId="46B8224B" w14:textId="77777777" w:rsidR="00473905" w:rsidRPr="00007943" w:rsidRDefault="00473905" w:rsidP="00BC1AD4">
      <w:pPr>
        <w:jc w:val="both"/>
      </w:pPr>
      <w:r w:rsidRPr="00007943">
        <w:t>O3. Train, tune, and compare more than five predictive models, including CLV regressors (Mean, Monetary, RFM, Ridge, Random Forest, XGBoost, LightGBM, and the proposed Hurdle) against probabilistic baselines, and uplift learners (S/T/X-Learner, class transformation) against response and random baselines.</w:t>
      </w:r>
    </w:p>
    <w:p w14:paraId="593549B3" w14:textId="401C9471" w:rsidR="00473905" w:rsidRPr="00007943" w:rsidRDefault="00473905" w:rsidP="00BC1AD4">
      <w:pPr>
        <w:jc w:val="both"/>
        <w:rPr>
          <w:lang w:val="en-US"/>
        </w:rPr>
      </w:pPr>
      <w:r w:rsidRPr="00007943">
        <w:t>O4. On the randomised X5 campaign, evaluate whether uplift-aware targeting outperforms CLV-only, RFM-only, and response-model targeting, using Qini AUC, AUUC, and uplift@K. This addresses RQ3.</w:t>
      </w:r>
    </w:p>
    <w:p w14:paraId="6C594F63" w14:textId="77777777" w:rsidR="00566206" w:rsidRPr="00007943" w:rsidRDefault="00473905" w:rsidP="00BC1AD4">
      <w:pPr>
        <w:jc w:val="both"/>
        <w:rPr>
          <w:i/>
          <w:lang w:val="en-US"/>
        </w:rPr>
      </w:pPr>
      <w:r w:rsidRPr="00007943">
        <w:t>O5. Combine predicted value with uplift into a value-adjusted policy, simulate campaign profit under budget constraints, and deliver an interactive targeting dashboard and a complete AI Audit Log documenting the Human Delta. This addresses RQ4.</w:t>
      </w:r>
    </w:p>
    <w:p w14:paraId="3947705E" w14:textId="77777777" w:rsidR="00566206" w:rsidRPr="00566206" w:rsidRDefault="00566206" w:rsidP="00BC1AD4">
      <w:pPr>
        <w:numPr>
          <w:ilvl w:val="0"/>
          <w:numId w:val="5"/>
        </w:numPr>
        <w:jc w:val="both"/>
        <w:rPr>
          <w:b/>
          <w:bCs/>
          <w:lang w:val="en-US"/>
        </w:rPr>
      </w:pPr>
      <w:r w:rsidRPr="00566206">
        <w:rPr>
          <w:b/>
          <w:bCs/>
          <w:lang w:val="en-US"/>
        </w:rPr>
        <w:t xml:space="preserve">Research scope / Phạm vi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04AE931B" w14:textId="77777777" w:rsidR="001235D3" w:rsidRDefault="00000000" w:rsidP="00BC1AD4">
      <w:pPr>
        <w:jc w:val="both"/>
      </w:pPr>
      <w:r>
        <w:t>This study uses three public datasets with deliberately separated roles. Online Retail II (UK e-commerce, ~0.8M cleaned transactions, 5,038 customers) is the baseline CLV context. Dunnhumby Complete Journey (US grocery, 2,500 households, ~2.6M lines over 102 weeks) is an external CLV validation context. X5 RetailHero (randomised SMS campaign, 200,039 labelled clients, 45.7M pre-communication purchase lines) is the sole source of causal uplift. Coupon redemption is explicitly excluded as a treatment because it is a post-campaign outcome, not a clean assignment. The scope covers RFM, behavioural, sequence, and semantic-graph features; eight CLV models and six uplift learners; business-oriented evaluation; SHAP and conformal uncertainty; a value-adjusted policy with profit simulation; and a targeting dashboard, delivered within a five-week PBL + RBL schedule. Production deployment is out of scope.</w:t>
      </w:r>
    </w:p>
    <w:p w14:paraId="384E14D4" w14:textId="77777777" w:rsidR="00566206" w:rsidRPr="00566206" w:rsidRDefault="00566206" w:rsidP="00BC1AD4">
      <w:pPr>
        <w:numPr>
          <w:ilvl w:val="0"/>
          <w:numId w:val="5"/>
        </w:numPr>
        <w:jc w:val="both"/>
        <w:rPr>
          <w:b/>
          <w:bCs/>
          <w:lang w:val="en-US"/>
        </w:rPr>
      </w:pPr>
      <w:r w:rsidRPr="00566206">
        <w:rPr>
          <w:b/>
          <w:bCs/>
          <w:lang w:val="en-US"/>
        </w:rPr>
        <w:t xml:space="preserve">Feasibility of research / </w:t>
      </w:r>
      <w:proofErr w:type="spellStart"/>
      <w:r w:rsidRPr="00566206">
        <w:rPr>
          <w:b/>
          <w:bCs/>
          <w:lang w:val="en-US"/>
        </w:rPr>
        <w:t>Tính</w:t>
      </w:r>
      <w:proofErr w:type="spellEnd"/>
      <w:r w:rsidRPr="00566206">
        <w:rPr>
          <w:b/>
          <w:bCs/>
          <w:lang w:val="en-US"/>
        </w:rPr>
        <w:t xml:space="preserve"> </w:t>
      </w:r>
      <w:proofErr w:type="spellStart"/>
      <w:r w:rsidRPr="00566206">
        <w:rPr>
          <w:b/>
          <w:bCs/>
          <w:lang w:val="en-US"/>
        </w:rPr>
        <w:t>khả</w:t>
      </w:r>
      <w:proofErr w:type="spellEnd"/>
      <w:r w:rsidRPr="00566206">
        <w:rPr>
          <w:b/>
          <w:bCs/>
          <w:lang w:val="en-US"/>
        </w:rPr>
        <w:t xml:space="preserve"> </w:t>
      </w:r>
      <w:proofErr w:type="spellStart"/>
      <w:r w:rsidRPr="00566206">
        <w:rPr>
          <w:b/>
          <w:bCs/>
          <w:lang w:val="en-US"/>
        </w:rPr>
        <w:t>thi</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r w:rsidRPr="00566206">
        <w:rPr>
          <w:b/>
          <w:bCs/>
          <w:lang w:val="en-US"/>
        </w:rPr>
        <w:t xml:space="preserve"> </w:t>
      </w:r>
    </w:p>
    <w:p w14:paraId="2681CE54" w14:textId="77777777" w:rsidR="001235D3" w:rsidRDefault="00000000" w:rsidP="00BC1AD4">
      <w:pPr>
        <w:jc w:val="both"/>
      </w:pPr>
      <w:r>
        <w:t>The project is feasible within five weeks. All datasets are public and the tooling is open-source and mature (pandas, scikit-learn, XGBoost, LightGBM, SHAP, scikit-uplift, DuckDB, Plotly). The main practical risk is the large X5 purchase history (~45.7M lines, ~670 MB), which is downloaded with a resumable, integrity-checked downloader and aggregated with DuckDB/Polars or chunked pandas; the pipeline is designed to be memory-safe and resumable, and although runtime varies by machine it stays well within the project schedule. Other risks (causal misuse, overclaiming, cross-phase leakage) are mitigated by restricting causal estimation to the randomised design, reporting confidence intervals, and isolating Phase 2 in a separate write-guarded project tree. A pinned environment and a single reproduction script ensure reproducibility.</w:t>
      </w:r>
    </w:p>
    <w:p w14:paraId="5CD520AA" w14:textId="77777777" w:rsidR="00566206" w:rsidRPr="00566206" w:rsidRDefault="00566206" w:rsidP="00BC1AD4">
      <w:pPr>
        <w:numPr>
          <w:ilvl w:val="0"/>
          <w:numId w:val="5"/>
        </w:numPr>
        <w:jc w:val="both"/>
        <w:rPr>
          <w:b/>
          <w:bCs/>
          <w:lang w:val="en-US"/>
        </w:rPr>
      </w:pPr>
      <w:bookmarkStart w:id="0" w:name="_heading=h.gjdgxs"/>
      <w:bookmarkEnd w:id="0"/>
      <w:r w:rsidRPr="00566206">
        <w:rPr>
          <w:b/>
          <w:bCs/>
          <w:lang w:val="en-US"/>
        </w:rPr>
        <w:t xml:space="preserve">Approach and Method / </w:t>
      </w:r>
      <w:proofErr w:type="spellStart"/>
      <w:r w:rsidRPr="00566206">
        <w:rPr>
          <w:b/>
          <w:bCs/>
          <w:lang w:val="en-US"/>
        </w:rPr>
        <w:t>Cách</w:t>
      </w:r>
      <w:proofErr w:type="spellEnd"/>
      <w:r w:rsidRPr="00566206">
        <w:rPr>
          <w:b/>
          <w:bCs/>
          <w:lang w:val="en-US"/>
        </w:rPr>
        <w:t xml:space="preserve"> </w:t>
      </w:r>
      <w:proofErr w:type="spellStart"/>
      <w:r w:rsidRPr="00566206">
        <w:rPr>
          <w:b/>
          <w:bCs/>
          <w:lang w:val="en-US"/>
        </w:rPr>
        <w:t>tiếp</w:t>
      </w:r>
      <w:proofErr w:type="spellEnd"/>
      <w:r w:rsidRPr="00566206">
        <w:rPr>
          <w:b/>
          <w:bCs/>
          <w:lang w:val="en-US"/>
        </w:rPr>
        <w:t xml:space="preserve"> </w:t>
      </w:r>
      <w:proofErr w:type="spellStart"/>
      <w:r w:rsidRPr="00566206">
        <w:rPr>
          <w:b/>
          <w:bCs/>
          <w:lang w:val="en-US"/>
        </w:rPr>
        <w:t>cận</w:t>
      </w:r>
      <w:proofErr w:type="spellEnd"/>
      <w:r w:rsidRPr="00566206">
        <w:rPr>
          <w:b/>
          <w:bCs/>
          <w:lang w:val="en-US"/>
        </w:rPr>
        <w:t xml:space="preserve"> </w:t>
      </w:r>
      <w:proofErr w:type="spellStart"/>
      <w:r w:rsidRPr="00566206">
        <w:rPr>
          <w:b/>
          <w:bCs/>
          <w:lang w:val="en-US"/>
        </w:rPr>
        <w:t>và</w:t>
      </w:r>
      <w:proofErr w:type="spellEnd"/>
      <w:r w:rsidRPr="00566206">
        <w:rPr>
          <w:b/>
          <w:bCs/>
          <w:lang w:val="en-US"/>
        </w:rPr>
        <w:t xml:space="preserve"> </w:t>
      </w:r>
      <w:proofErr w:type="spellStart"/>
      <w:r w:rsidRPr="00566206">
        <w:rPr>
          <w:b/>
          <w:bCs/>
          <w:lang w:val="en-US"/>
        </w:rPr>
        <w:t>phương</w:t>
      </w:r>
      <w:proofErr w:type="spellEnd"/>
      <w:r w:rsidRPr="00566206">
        <w:rPr>
          <w:b/>
          <w:bCs/>
          <w:lang w:val="en-US"/>
        </w:rPr>
        <w:t xml:space="preserve"> </w:t>
      </w:r>
      <w:proofErr w:type="spellStart"/>
      <w:r w:rsidRPr="00566206">
        <w:rPr>
          <w:b/>
          <w:bCs/>
          <w:lang w:val="en-US"/>
        </w:rPr>
        <w:t>pháp</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775303C7" w14:textId="77777777" w:rsidR="00473905" w:rsidRPr="00007943" w:rsidRDefault="00473905" w:rsidP="00BC1AD4">
      <w:pPr>
        <w:jc w:val="both"/>
        <w:rPr>
          <w:bCs/>
        </w:rPr>
      </w:pPr>
      <w:r w:rsidRPr="00007943">
        <w:rPr>
          <w:bCs/>
        </w:rPr>
        <w:t>Pipeline (SQL + Python) and causal scope. The project follows an end-to-end pipeline (ingestion, cleaning, EDA, feature engineering, modelling, evaluation, dashboard). A key design decision concerns the treatment. The only causal treatment is the X5 randomised SMS indicator (treatment_flg = whether the client received the communication), with outcome the subsequent purchase (target); all X5 purchase history precedes the communication, so per-client features are leakage-safe. Coupon redemption in Dunnhumby is deliberately NOT used as a treatment, because it is a post-campaign outcome that would introduce selection bias; Dunnhumby is used only for CLV validation. Heterogeneity across datasets is handled by a shared schema normaliser that maps every dataset to one transaction schema (customer, basket, date, product, quantity, revenue), after which models are estimated per context with no cross-dataset pooling and results are reported separately. SQL (DuckDB) supports RFM, segmentation, cohort, balance, and overlap queries.</w:t>
      </w:r>
    </w:p>
    <w:p w14:paraId="46C4EA52" w14:textId="77777777" w:rsidR="00473905" w:rsidRPr="00007943" w:rsidRDefault="00473905" w:rsidP="00BC1AD4">
      <w:pPr>
        <w:jc w:val="both"/>
        <w:rPr>
          <w:bCs/>
        </w:rPr>
      </w:pPr>
      <w:r w:rsidRPr="00007943">
        <w:rPr>
          <w:bCs/>
        </w:rPr>
        <w:t>Modelling core and value proxy. Module A is a two-stage LightGBM Hurdle CLV model (incidence P(y&gt;0|x) times conditional log-spend, with a lognormal correction). Module B builds semantic product embeddings via PPMI co-occurrence and truncated SVD, plus revenue-weighted customer taste vectors. Module C estimates uplift with S/T/X-Learners and class transformation. Module D scores customers by value-adjusted uplift, the product of predicted uplift and a value proxy. The value proxy is defined precisely as each client total historical monetary spend aggregated over the full pre-communication purchase window (log-transformed and outlier-capped for stability). It is explicitly a proxy, not an observed future CLV, because X5 provides no post-communication monetary outcome; the proposal therefore never refers to it as actual CLV.</w:t>
      </w:r>
    </w:p>
    <w:p w14:paraId="0B5E1D8A" w14:textId="77777777" w:rsidR="00473905" w:rsidRDefault="00473905" w:rsidP="00BC1AD4">
      <w:pPr>
        <w:jc w:val="both"/>
        <w:rPr>
          <w:bCs/>
        </w:rPr>
      </w:pPr>
      <w:r w:rsidRPr="00473905">
        <w:rPr>
          <w:bCs/>
        </w:rPr>
        <w:t>Benchmark models. For CLV, the Hurdle model is benchmarked against Mean and Monetary baselines, an RFM score, Ridge, Random Forest, and XGBoost. For uplift, the learners are benchmarked against a response model (which ranks by purchase probability) and a random baseline. This comfortably exceeds the five-model requirement and compares against published baselines on both the CLV and the uplift side.</w:t>
      </w:r>
    </w:p>
    <w:p w14:paraId="349FF121" w14:textId="77777777" w:rsidR="001235D3" w:rsidRPr="00007943" w:rsidRDefault="00473905" w:rsidP="00BC1AD4">
      <w:pPr>
        <w:jc w:val="both"/>
        <w:rPr>
          <w:bCs/>
        </w:rPr>
      </w:pPr>
      <w:r w:rsidRPr="00007943">
        <w:rPr>
          <w:bCs/>
        </w:rPr>
        <w:t>Tuning and evaluation. CLV uses a walk-forward (temporal) protocol: the e-commerce context reuses the prior walk-forward windows and feature set (so results are temporally valid and comparable with prior work), and the grocery context uses week-level observation-to-prediction windows (26-&gt;8, 39-&gt;13, 52-&gt;13, 78-&gt;13 weeks); metrics are reported as the mean and standard deviation across windows. The uplift study uses the randomised X5 cross-section. Targeting profit is simulated as Profit@K = sum over the top-K targeted customers of (uplift_i x value_proxy_i x margin - contact_cost), reported under a sensitivity sweep over margin and contact-cost assumptions. Ranking quality is measured by Normalized Gini and Revenue Capture@10% (CLV) and Qini AUC, AUUC and uplift@K (uplift); a leave-one-group-out ablation with paired tests isolates feature-group value; treatment/control balance is checked by standardised mean differences; and the overlap between value-based and uplift-based targeting is quantified. Significance uses paired tests and bootstrap confidence intervals, and any non-significant result (notably dollar-level profit differences) is reported transparently rather than overclaimed.</w:t>
      </w:r>
      <w:r w:rsidRPr="00007943">
        <w:rPr>
          <w:bCs/>
        </w:rPr>
      </w:r>
    </w:p>
    <w:p w14:paraId="76F24917" w14:textId="77777777" w:rsidR="00566206" w:rsidRPr="00566206" w:rsidRDefault="00566206" w:rsidP="00BC1AD4">
      <w:pPr>
        <w:numPr>
          <w:ilvl w:val="0"/>
          <w:numId w:val="5"/>
        </w:numPr>
        <w:jc w:val="both"/>
        <w:rPr>
          <w:b/>
          <w:bCs/>
          <w:lang w:val="en-US"/>
        </w:rPr>
      </w:pPr>
      <w:r w:rsidRPr="00566206">
        <w:rPr>
          <w:b/>
          <w:bCs/>
          <w:lang w:val="en-US"/>
        </w:rPr>
        <w:t xml:space="preserve">Research plan / </w:t>
      </w:r>
      <w:proofErr w:type="spellStart"/>
      <w:r w:rsidRPr="00566206">
        <w:rPr>
          <w:b/>
          <w:bCs/>
          <w:lang w:val="en-US"/>
        </w:rPr>
        <w:t>Kế</w:t>
      </w:r>
      <w:proofErr w:type="spellEnd"/>
      <w:r w:rsidRPr="00566206">
        <w:rPr>
          <w:b/>
          <w:bCs/>
          <w:lang w:val="en-US"/>
        </w:rPr>
        <w:t xml:space="preserve"> </w:t>
      </w:r>
      <w:proofErr w:type="spellStart"/>
      <w:r w:rsidRPr="00566206">
        <w:rPr>
          <w:b/>
          <w:bCs/>
          <w:lang w:val="en-US"/>
        </w:rPr>
        <w:t>hoạch</w:t>
      </w:r>
      <w:proofErr w:type="spellEnd"/>
      <w:r w:rsidRPr="00566206">
        <w:rPr>
          <w:b/>
          <w:bCs/>
          <w:lang w:val="en-US"/>
        </w:rPr>
        <w:t xml:space="preserve"> </w:t>
      </w:r>
      <w:proofErr w:type="spellStart"/>
      <w:r w:rsidRPr="00566206">
        <w:rPr>
          <w:b/>
          <w:bCs/>
          <w:lang w:val="en-US"/>
        </w:rPr>
        <w:t>thực</w:t>
      </w:r>
      <w:proofErr w:type="spellEnd"/>
      <w:r w:rsidRPr="00566206">
        <w:rPr>
          <w:b/>
          <w:bCs/>
          <w:lang w:val="en-US"/>
        </w:rPr>
        <w:t xml:space="preserve"> </w:t>
      </w:r>
      <w:proofErr w:type="spellStart"/>
      <w:r w:rsidRPr="00566206">
        <w:rPr>
          <w:b/>
          <w:bCs/>
          <w:lang w:val="en-US"/>
        </w:rPr>
        <w:t>hiện</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47EAE9D9" w14:textId="77777777" w:rsidR="001235D3" w:rsidRDefault="00000000" w:rsidP="00BC1AD4">
      <w:pPr>
        <w:jc w:val="both"/>
      </w:pPr>
      <w:r>
        <w:t>The project is executed over five weeks following the PBL + RBL framework. Each week produces concrete, version-controlled deliverables, as detailed in the table below.</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2788"/>
        <w:gridCol w:w="2880"/>
        <w:gridCol w:w="1265"/>
      </w:tblGrid>
      <w:tr w:rsidR="00566206" w:rsidRPr="00566206" w14:paraId="1EA572D6"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1A19F24A" w14:textId="77777777" w:rsidR="00566206" w:rsidRPr="00566206" w:rsidRDefault="00566206" w:rsidP="00BC1AD4">
            <w:pPr>
              <w:jc w:val="both"/>
              <w:rPr>
                <w:b/>
                <w:bCs/>
                <w:lang w:val="en-US"/>
              </w:rPr>
            </w:pPr>
            <w:r w:rsidRPr="00566206">
              <w:rPr>
                <w:b/>
                <w:bCs/>
                <w:lang w:val="en-US"/>
              </w:rPr>
              <w:t>No.</w:t>
            </w:r>
          </w:p>
        </w:tc>
        <w:tc>
          <w:tcPr>
            <w:tcW w:w="1531" w:type="dxa"/>
            <w:tcBorders>
              <w:top w:val="single" w:sz="4" w:space="0" w:color="000000"/>
              <w:left w:val="single" w:sz="4" w:space="0" w:color="000000"/>
              <w:bottom w:val="single" w:sz="4" w:space="0" w:color="000000"/>
              <w:right w:val="single" w:sz="4" w:space="0" w:color="000000"/>
            </w:tcBorders>
            <w:hideMark/>
          </w:tcPr>
          <w:p w14:paraId="7070CD28" w14:textId="77777777" w:rsidR="00566206" w:rsidRPr="00566206" w:rsidRDefault="00566206" w:rsidP="00BC1AD4">
            <w:pPr>
              <w:jc w:val="both"/>
              <w:rPr>
                <w:b/>
                <w:bCs/>
                <w:lang w:val="en-US"/>
              </w:rPr>
            </w:pPr>
            <w:r w:rsidRPr="00566206">
              <w:rPr>
                <w:b/>
                <w:bCs/>
                <w:lang w:val="en-US"/>
              </w:rPr>
              <w:t>Date</w:t>
            </w:r>
          </w:p>
        </w:tc>
        <w:tc>
          <w:tcPr>
            <w:tcW w:w="2788" w:type="dxa"/>
            <w:tcBorders>
              <w:top w:val="single" w:sz="4" w:space="0" w:color="000000"/>
              <w:left w:val="single" w:sz="4" w:space="0" w:color="000000"/>
              <w:bottom w:val="single" w:sz="4" w:space="0" w:color="000000"/>
              <w:right w:val="single" w:sz="4" w:space="0" w:color="000000"/>
            </w:tcBorders>
            <w:hideMark/>
          </w:tcPr>
          <w:p w14:paraId="327B744A" w14:textId="77777777" w:rsidR="00566206" w:rsidRPr="00566206" w:rsidRDefault="00566206" w:rsidP="00BC1AD4">
            <w:pPr>
              <w:jc w:val="both"/>
              <w:rPr>
                <w:b/>
                <w:bCs/>
                <w:lang w:val="en-US"/>
              </w:rPr>
            </w:pPr>
            <w:r w:rsidRPr="00566206">
              <w:rPr>
                <w:b/>
                <w:bCs/>
                <w:lang w:val="en-US"/>
              </w:rPr>
              <w:t>Task</w:t>
            </w:r>
          </w:p>
        </w:tc>
        <w:tc>
          <w:tcPr>
            <w:tcW w:w="2880" w:type="dxa"/>
            <w:tcBorders>
              <w:top w:val="single" w:sz="4" w:space="0" w:color="000000"/>
              <w:left w:val="single" w:sz="4" w:space="0" w:color="000000"/>
              <w:bottom w:val="single" w:sz="4" w:space="0" w:color="000000"/>
              <w:right w:val="single" w:sz="4" w:space="0" w:color="000000"/>
            </w:tcBorders>
            <w:hideMark/>
          </w:tcPr>
          <w:p w14:paraId="4528FEFE" w14:textId="77777777" w:rsidR="00566206" w:rsidRPr="00566206" w:rsidRDefault="00566206" w:rsidP="00BC1AD4">
            <w:pPr>
              <w:jc w:val="both"/>
              <w:rPr>
                <w:b/>
                <w:bCs/>
                <w:lang w:val="en-US"/>
              </w:rPr>
            </w:pPr>
            <w:r w:rsidRPr="00566206">
              <w:rPr>
                <w:b/>
                <w:bCs/>
                <w:lang w:val="en-US"/>
              </w:rPr>
              <w:t>Output</w:t>
            </w:r>
          </w:p>
        </w:tc>
        <w:tc>
          <w:tcPr>
            <w:tcW w:w="1265" w:type="dxa"/>
            <w:tcBorders>
              <w:top w:val="single" w:sz="4" w:space="0" w:color="000000"/>
              <w:left w:val="single" w:sz="4" w:space="0" w:color="000000"/>
              <w:bottom w:val="single" w:sz="4" w:space="0" w:color="000000"/>
              <w:right w:val="single" w:sz="4" w:space="0" w:color="000000"/>
            </w:tcBorders>
            <w:hideMark/>
          </w:tcPr>
          <w:p w14:paraId="50CB3462" w14:textId="77777777" w:rsidR="00566206" w:rsidRPr="00566206" w:rsidRDefault="00566206" w:rsidP="00BC1AD4">
            <w:pPr>
              <w:jc w:val="both"/>
              <w:rPr>
                <w:b/>
                <w:bCs/>
                <w:lang w:val="en-US"/>
              </w:rPr>
            </w:pPr>
            <w:r w:rsidRPr="00566206">
              <w:rPr>
                <w:b/>
                <w:bCs/>
                <w:lang w:val="en-US"/>
              </w:rPr>
              <w:t>Person in charge</w:t>
            </w:r>
          </w:p>
        </w:tc>
      </w:tr>
      <w:tr w:rsidR="00566206" w:rsidRPr="00566206" w14:paraId="18719368"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4C335069" w14:textId="77777777" w:rsidR="00ED1AF5" w:rsidRDefault="00000000">
            <w:r>
              <w:t>1</w:t>
            </w:r>
          </w:p>
        </w:tc>
        <w:tc>
          <w:tcPr>
            <w:tcW w:w="1531" w:type="dxa"/>
            <w:tcBorders>
              <w:top w:val="single" w:sz="4" w:space="0" w:color="000000"/>
              <w:left w:val="single" w:sz="4" w:space="0" w:color="000000"/>
              <w:bottom w:val="single" w:sz="4" w:space="0" w:color="000000"/>
              <w:right w:val="single" w:sz="4" w:space="0" w:color="000000"/>
            </w:tcBorders>
            <w:hideMark/>
          </w:tcPr>
          <w:p w14:paraId="67A0AFB9" w14:textId="77777777" w:rsidR="00ED1AF5" w:rsidRDefault="00000000">
            <w:r>
              <w:t>Week 1</w:t>
            </w:r>
          </w:p>
        </w:tc>
        <w:tc>
          <w:tcPr>
            <w:tcW w:w="2788" w:type="dxa"/>
            <w:tcBorders>
              <w:top w:val="single" w:sz="4" w:space="0" w:color="000000"/>
              <w:left w:val="single" w:sz="4" w:space="0" w:color="000000"/>
              <w:bottom w:val="single" w:sz="4" w:space="0" w:color="000000"/>
              <w:right w:val="single" w:sz="4" w:space="0" w:color="000000"/>
            </w:tcBorders>
          </w:tcPr>
          <w:p w14:paraId="1A823569" w14:textId="77777777" w:rsidR="00ED1AF5" w:rsidRDefault="00000000">
            <w:r>
              <w:t>Dataset audits and feasibility gating; build the shared feature pipeline (RFM, behavioural, sequence, semantic) across contexts; design the CLV walk-forward windows.</w:t>
            </w:r>
          </w:p>
        </w:tc>
        <w:tc>
          <w:tcPr>
            <w:tcW w:w="2880" w:type="dxa"/>
            <w:tcBorders>
              <w:top w:val="single" w:sz="4" w:space="0" w:color="000000"/>
              <w:left w:val="single" w:sz="4" w:space="0" w:color="000000"/>
              <w:bottom w:val="single" w:sz="4" w:space="0" w:color="000000"/>
              <w:right w:val="single" w:sz="4" w:space="0" w:color="000000"/>
            </w:tcBorders>
          </w:tcPr>
          <w:p w14:paraId="1047B186" w14:textId="77777777" w:rsidR="00ED1AF5" w:rsidRDefault="00000000">
            <w:r>
              <w:t>audit statistics, feature tables, walk-forward windows.</w:t>
            </w:r>
          </w:p>
        </w:tc>
        <w:tc>
          <w:tcPr>
            <w:tcW w:w="1265" w:type="dxa"/>
            <w:tcBorders>
              <w:top w:val="single" w:sz="4" w:space="0" w:color="000000"/>
              <w:left w:val="single" w:sz="4" w:space="0" w:color="000000"/>
              <w:bottom w:val="single" w:sz="4" w:space="0" w:color="000000"/>
              <w:right w:val="single" w:sz="4" w:space="0" w:color="000000"/>
            </w:tcBorders>
          </w:tcPr>
          <w:p w14:paraId="297213E2" w14:textId="77777777" w:rsidR="00ED1AF5" w:rsidRDefault="00000000">
            <w:r>
              <w:t>Group 11</w:t>
            </w:r>
          </w:p>
        </w:tc>
      </w:tr>
      <w:tr w:rsidR="00566206" w:rsidRPr="00566206" w14:paraId="74C8C5FE"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830A923" w14:textId="77777777" w:rsidR="00ED1AF5" w:rsidRDefault="00000000">
            <w:r>
              <w:t>2</w:t>
            </w:r>
          </w:p>
        </w:tc>
        <w:tc>
          <w:tcPr>
            <w:tcW w:w="1531" w:type="dxa"/>
            <w:tcBorders>
              <w:top w:val="single" w:sz="4" w:space="0" w:color="000000"/>
              <w:left w:val="single" w:sz="4" w:space="0" w:color="000000"/>
              <w:bottom w:val="single" w:sz="4" w:space="0" w:color="000000"/>
              <w:right w:val="single" w:sz="4" w:space="0" w:color="000000"/>
            </w:tcBorders>
          </w:tcPr>
          <w:p w14:paraId="5DD591EF" w14:textId="77777777" w:rsidR="00ED1AF5" w:rsidRDefault="00000000">
            <w:r>
              <w:t>Week 2</w:t>
            </w:r>
          </w:p>
        </w:tc>
        <w:tc>
          <w:tcPr>
            <w:tcW w:w="2788" w:type="dxa"/>
            <w:tcBorders>
              <w:top w:val="single" w:sz="4" w:space="0" w:color="000000"/>
              <w:left w:val="single" w:sz="4" w:space="0" w:color="000000"/>
              <w:bottom w:val="single" w:sz="4" w:space="0" w:color="000000"/>
              <w:right w:val="single" w:sz="4" w:space="0" w:color="000000"/>
            </w:tcBorders>
          </w:tcPr>
          <w:p w14:paraId="654C5F14" w14:textId="77777777" w:rsidR="00ED1AF5" w:rsidRDefault="00000000">
            <w:r>
              <w:t>Cross-context CLV benchmark under the walk-forward protocol with leave-one-group-out feature ablation; SHAP per Hurdle stage; conformal prediction intervals.</w:t>
            </w:r>
          </w:p>
        </w:tc>
        <w:tc>
          <w:tcPr>
            <w:tcW w:w="2880" w:type="dxa"/>
            <w:tcBorders>
              <w:top w:val="single" w:sz="4" w:space="0" w:color="000000"/>
              <w:left w:val="single" w:sz="4" w:space="0" w:color="000000"/>
              <w:bottom w:val="single" w:sz="4" w:space="0" w:color="000000"/>
              <w:right w:val="single" w:sz="4" w:space="0" w:color="000000"/>
            </w:tcBorders>
          </w:tcPr>
          <w:p w14:paraId="3DE879A0" w14:textId="77777777" w:rsidR="00ED1AF5" w:rsidRDefault="00000000">
            <w:r>
              <w:t>benchmark and ablation CSVs, SHAP figures, coverage results.</w:t>
            </w:r>
          </w:p>
        </w:tc>
        <w:tc>
          <w:tcPr>
            <w:tcW w:w="1265" w:type="dxa"/>
            <w:tcBorders>
              <w:top w:val="single" w:sz="4" w:space="0" w:color="000000"/>
              <w:left w:val="single" w:sz="4" w:space="0" w:color="000000"/>
              <w:bottom w:val="single" w:sz="4" w:space="0" w:color="000000"/>
              <w:right w:val="single" w:sz="4" w:space="0" w:color="000000"/>
            </w:tcBorders>
          </w:tcPr>
          <w:p w14:paraId="1A8ED687" w14:textId="77777777" w:rsidR="00ED1AF5" w:rsidRDefault="00000000">
            <w:r>
              <w:t>Group 11</w:t>
            </w:r>
          </w:p>
        </w:tc>
      </w:tr>
      <w:tr w:rsidR="00566206" w:rsidRPr="00566206" w14:paraId="1E0EA845"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5609004" w14:textId="77777777" w:rsidR="00ED1AF5" w:rsidRDefault="00000000">
            <w:r>
              <w:t>3</w:t>
            </w:r>
          </w:p>
        </w:tc>
        <w:tc>
          <w:tcPr>
            <w:tcW w:w="1531" w:type="dxa"/>
            <w:tcBorders>
              <w:top w:val="single" w:sz="4" w:space="0" w:color="000000"/>
              <w:left w:val="single" w:sz="4" w:space="0" w:color="000000"/>
              <w:bottom w:val="single" w:sz="4" w:space="0" w:color="000000"/>
              <w:right w:val="single" w:sz="4" w:space="0" w:color="000000"/>
            </w:tcBorders>
          </w:tcPr>
          <w:p w14:paraId="7481D546" w14:textId="77777777" w:rsidR="00ED1AF5" w:rsidRDefault="00000000">
            <w:r>
              <w:t>Week 3</w:t>
            </w:r>
          </w:p>
        </w:tc>
        <w:tc>
          <w:tcPr>
            <w:tcW w:w="2788" w:type="dxa"/>
            <w:tcBorders>
              <w:top w:val="single" w:sz="4" w:space="0" w:color="000000"/>
              <w:left w:val="single" w:sz="4" w:space="0" w:color="000000"/>
              <w:bottom w:val="single" w:sz="4" w:space="0" w:color="000000"/>
              <w:right w:val="single" w:sz="4" w:space="0" w:color="000000"/>
            </w:tcBorders>
          </w:tcPr>
          <w:p w14:paraId="33DFC6E1" w14:textId="77777777" w:rsidR="00ED1AF5" w:rsidRDefault="00000000">
            <w:r>
              <w:t>X5 uplift feature engineering from pre-communication purchases; uplift learners (S/T/X-Learner, class transformation) with Qini/AUUC; treatment/control balance check.</w:t>
            </w:r>
          </w:p>
        </w:tc>
        <w:tc>
          <w:tcPr>
            <w:tcW w:w="2880" w:type="dxa"/>
            <w:tcBorders>
              <w:top w:val="single" w:sz="4" w:space="0" w:color="000000"/>
              <w:left w:val="single" w:sz="4" w:space="0" w:color="000000"/>
              <w:bottom w:val="single" w:sz="4" w:space="0" w:color="000000"/>
              <w:right w:val="single" w:sz="4" w:space="0" w:color="000000"/>
            </w:tcBorders>
          </w:tcPr>
          <w:p w14:paraId="2ADD87AC" w14:textId="77777777" w:rsidR="00ED1AF5" w:rsidRDefault="00000000">
            <w:r>
              <w:t>uplift feature table, model comparison, balance table.</w:t>
            </w:r>
          </w:p>
        </w:tc>
        <w:tc>
          <w:tcPr>
            <w:tcW w:w="1265" w:type="dxa"/>
            <w:tcBorders>
              <w:top w:val="single" w:sz="4" w:space="0" w:color="000000"/>
              <w:left w:val="single" w:sz="4" w:space="0" w:color="000000"/>
              <w:bottom w:val="single" w:sz="4" w:space="0" w:color="000000"/>
              <w:right w:val="single" w:sz="4" w:space="0" w:color="000000"/>
            </w:tcBorders>
          </w:tcPr>
          <w:p w14:paraId="0FAA9479" w14:textId="77777777" w:rsidR="00ED1AF5" w:rsidRDefault="00000000">
            <w:r>
              <w:t>Group 11</w:t>
            </w:r>
          </w:p>
        </w:tc>
      </w:tr>
      <w:tr w:rsidR="001235D3" w14:paraId="54A1D2AB" w14:textId="77777777" w:rsidTr="00007943">
        <w:tc>
          <w:tcPr>
            <w:tcW w:w="626" w:type="dxa"/>
          </w:tcPr>
          <w:p w14:paraId="335A2F64" w14:textId="77777777" w:rsidR="00ED1AF5" w:rsidRDefault="00000000">
            <w:r>
              <w:lastRenderedPageBreak/>
              <w:t>4</w:t>
            </w:r>
          </w:p>
        </w:tc>
        <w:tc>
          <w:tcPr>
            <w:tcW w:w="1531" w:type="dxa"/>
          </w:tcPr>
          <w:p w14:paraId="25D8DE61" w14:textId="77777777" w:rsidR="00ED1AF5" w:rsidRDefault="00000000">
            <w:r>
              <w:t>Week 4</w:t>
            </w:r>
          </w:p>
        </w:tc>
        <w:tc>
          <w:tcPr>
            <w:tcW w:w="2788" w:type="dxa"/>
          </w:tcPr>
          <w:p w14:paraId="0BD7FAEB" w14:textId="77777777" w:rsidR="00ED1AF5" w:rsidRDefault="00000000">
            <w:r>
              <w:t>Value-adjusted uplift policy with profit simulation, cost/margin sensitivity, and value-vs-uplift overlap; bootstrap robustness and paired significance tests.</w:t>
            </w:r>
          </w:p>
        </w:tc>
        <w:tc>
          <w:tcPr>
            <w:tcW w:w="2880" w:type="dxa"/>
          </w:tcPr>
          <w:p w14:paraId="77C1CE61" w14:textId="77777777" w:rsidR="00ED1AF5" w:rsidRDefault="00000000">
            <w:r>
              <w:t>policy comparison, profit/overlap figures, robustness tables.</w:t>
            </w:r>
          </w:p>
        </w:tc>
        <w:tc>
          <w:tcPr>
            <w:tcW w:w="1265" w:type="dxa"/>
          </w:tcPr>
          <w:p w14:paraId="6117443D" w14:textId="77777777" w:rsidR="00ED1AF5" w:rsidRDefault="00000000">
            <w:r>
              <w:t>Group 11</w:t>
            </w:r>
          </w:p>
        </w:tc>
      </w:tr>
      <w:tr w:rsidR="00ED1AF5" w14:paraId="6994AD96" w14:textId="77777777" w:rsidTr="00007943">
        <w:tc>
          <w:tcPr>
            <w:tcW w:w="626" w:type="dxa"/>
          </w:tcPr>
          <w:p w14:paraId="5F1BC349" w14:textId="77777777" w:rsidR="00ED1AF5" w:rsidRDefault="00000000">
            <w:r>
              <w:t>5</w:t>
            </w:r>
          </w:p>
        </w:tc>
        <w:tc>
          <w:tcPr>
            <w:tcW w:w="1531" w:type="dxa"/>
          </w:tcPr>
          <w:p w14:paraId="471FA734" w14:textId="77777777" w:rsidR="00ED1AF5" w:rsidRDefault="00000000">
            <w:r>
              <w:t>Week 5</w:t>
            </w:r>
          </w:p>
        </w:tc>
        <w:tc>
          <w:tcPr>
            <w:tcW w:w="2788" w:type="dxa"/>
          </w:tcPr>
          <w:p w14:paraId="245E4E02" w14:textId="77777777" w:rsidR="00ED1AF5" w:rsidRDefault="00000000">
            <w:r>
              <w:t>Report writing in the Springer template, reproducibility package, and the final AI Audit Log demonstrating the Human Delta.</w:t>
            </w:r>
          </w:p>
        </w:tc>
        <w:tc>
          <w:tcPr>
            <w:tcW w:w="2880" w:type="dxa"/>
          </w:tcPr>
          <w:p w14:paraId="50E36D94" w14:textId="77777777" w:rsidR="00ED1AF5" w:rsidRDefault="00000000">
            <w:r>
              <w:t>final report PDF, reproduce_all script, AI Audit Log.</w:t>
            </w:r>
          </w:p>
        </w:tc>
        <w:tc>
          <w:tcPr>
            <w:tcW w:w="1265" w:type="dxa"/>
          </w:tcPr>
          <w:p w14:paraId="3FEFB237" w14:textId="77777777" w:rsidR="00ED1AF5" w:rsidRDefault="00000000">
            <w:r>
              <w:t>Group 11</w:t>
            </w:r>
          </w:p>
        </w:tc>
      </w:tr>
    </w:tbl>
    <w:p w14:paraId="07D449E2" w14:textId="77777777" w:rsidR="00566206" w:rsidRPr="00566206" w:rsidRDefault="00566206" w:rsidP="00BC1AD4">
      <w:pPr>
        <w:jc w:val="both"/>
        <w:rPr>
          <w:b/>
          <w:bCs/>
          <w:lang w:val="en-US"/>
        </w:rPr>
      </w:pPr>
    </w:p>
    <w:p w14:paraId="76231646" w14:textId="77777777" w:rsidR="00566206" w:rsidRPr="00566206" w:rsidRDefault="00566206" w:rsidP="00BC1AD4">
      <w:pPr>
        <w:jc w:val="both"/>
        <w:rPr>
          <w:b/>
          <w:bCs/>
          <w:lang w:val="en-US"/>
        </w:rPr>
      </w:pPr>
      <w:r w:rsidRPr="00566206">
        <w:rPr>
          <w:b/>
          <w:bCs/>
          <w:lang w:val="en-US"/>
        </w:rPr>
        <w:t>Computational Resource Requirements (if any)</w:t>
      </w:r>
    </w:p>
    <w:p w14:paraId="3B1A7DF5" w14:textId="77777777" w:rsidR="001235D3" w:rsidRDefault="00000000" w:rsidP="00BC1AD4">
      <w:pPr>
        <w:jc w:val="both"/>
      </w:pPr>
      <w:r>
        <w:t>A standard development laptop is sufficient: a multi-core CPU, 8-16 GB RAM, and a Python 3.12 environment with the listed open-source libraries. The largest computation is aggregating the 45.7M-line X5 purchase history, which is done by chunked streaming and completes in minutes on CPU; all models train in minutes. No GPU is required. All code and artefacts are stored in a GitHub repository, isolated under a Phase 2 project tree, and reproduced via a single script.</w:t>
      </w:r>
    </w:p>
    <w:p w14:paraId="025EE3AB" w14:textId="77777777" w:rsidR="00566206" w:rsidRPr="00566206" w:rsidRDefault="00566206" w:rsidP="00BC1AD4">
      <w:pPr>
        <w:numPr>
          <w:ilvl w:val="0"/>
          <w:numId w:val="5"/>
        </w:numPr>
        <w:jc w:val="both"/>
        <w:rPr>
          <w:b/>
          <w:bCs/>
          <w:lang w:val="en-US"/>
        </w:rPr>
      </w:pPr>
      <w:r w:rsidRPr="00566206">
        <w:rPr>
          <w:b/>
          <w:bCs/>
          <w:lang w:val="en-US"/>
        </w:rPr>
        <w:t xml:space="preserve">Expected results / </w:t>
      </w:r>
      <w:proofErr w:type="spellStart"/>
      <w:r w:rsidRPr="00566206">
        <w:rPr>
          <w:b/>
          <w:bCs/>
          <w:lang w:val="en-US"/>
        </w:rPr>
        <w:t>Dự</w:t>
      </w:r>
      <w:proofErr w:type="spellEnd"/>
      <w:r w:rsidRPr="00566206">
        <w:rPr>
          <w:b/>
          <w:bCs/>
          <w:lang w:val="en-US"/>
        </w:rPr>
        <w:t xml:space="preserve"> </w:t>
      </w:r>
      <w:proofErr w:type="spellStart"/>
      <w:r w:rsidRPr="00566206">
        <w:rPr>
          <w:b/>
          <w:bCs/>
          <w:lang w:val="en-US"/>
        </w:rPr>
        <w:t>kiến</w:t>
      </w:r>
      <w:proofErr w:type="spellEnd"/>
      <w:r w:rsidRPr="00566206">
        <w:rPr>
          <w:b/>
          <w:bCs/>
          <w:lang w:val="en-US"/>
        </w:rPr>
        <w:t xml:space="preserve"> </w:t>
      </w:r>
      <w:proofErr w:type="spellStart"/>
      <w:r w:rsidRPr="00566206">
        <w:rPr>
          <w:b/>
          <w:bCs/>
          <w:lang w:val="en-US"/>
        </w:rPr>
        <w:t>kết</w:t>
      </w:r>
      <w:proofErr w:type="spellEnd"/>
      <w:r w:rsidRPr="00566206">
        <w:rPr>
          <w:b/>
          <w:bCs/>
          <w:lang w:val="en-US"/>
        </w:rPr>
        <w:t xml:space="preserve"> </w:t>
      </w:r>
      <w:proofErr w:type="spellStart"/>
      <w:r w:rsidRPr="00566206">
        <w:rPr>
          <w:b/>
          <w:bCs/>
          <w:lang w:val="en-US"/>
        </w:rPr>
        <w:t>quả</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0D50CB6D" w14:textId="77777777" w:rsidR="00566206" w:rsidRPr="00566206" w:rsidRDefault="00BC1AD4" w:rsidP="00BC1AD4">
      <w:pPr>
        <w:jc w:val="both"/>
        <w:rPr>
          <w:b/>
          <w:bCs/>
          <w:lang w:val="en-US"/>
        </w:rPr>
      </w:pPr>
      <w:r>
        <w:t>The project is expected to deliver a reproducible Python-SQL pipeline spanning three retail contexts, a temporally-valid cross-context CLV benchmark, and an uplift and value-adjusted targeting study on the randomised campaign. We expect the Hurdle-Semantic framework to transfer across contexts but with a context-dependent mechanism, and uplift-aware targeting to outperform response-based and value-based targeting. The project will TEST whether behavioural, sequence, and semantic features add ranking value beyond RFM rather than assume it; if semantic features do not significantly improve ranking, their contribution will be interpreted through customer profiling and explainability. Likewise, value-adjusted uplift is expected to give the most efficient policy under tight budgets, but profit differences will be reported with explicit significance testing rather than asserted. Final outputs include SHAP explanations, conformal prediction intervals, a targeting dashboard, a 10-12 page Springer report, and a complete AI Audit Log demonstrating the Human Delta.</w:t>
      </w:r>
    </w:p>
    <w:p w14:paraId="6F98BFD5" w14:textId="77777777" w:rsidR="00566206" w:rsidRPr="00566206" w:rsidRDefault="00566206" w:rsidP="00BC1AD4">
      <w:pPr>
        <w:jc w:val="both"/>
        <w:rPr>
          <w:b/>
          <w:bCs/>
          <w:lang w:val="en-US"/>
        </w:rPr>
      </w:pPr>
      <w:r w:rsidRPr="00566206">
        <w:rPr>
          <w:b/>
          <w:bCs/>
          <w:lang w:val="en-US"/>
        </w:rPr>
        <w:t xml:space="preserve">References </w:t>
      </w:r>
    </w:p>
    <w:p w14:paraId="520437CB" w14:textId="77777777" w:rsidR="001235D3" w:rsidRPr="00007943" w:rsidRDefault="00000000" w:rsidP="00BC1AD4">
      <w:pPr>
        <w:jc w:val="both"/>
        <w:rPr>
          <w:bCs/>
        </w:rPr>
      </w:pPr>
      <w:r w:rsidRPr="00007943">
        <w:rPr>
          <w:bCs/>
        </w:rPr>
        <w:t>[1]  Fader, P. S., Hardie, B. G. S., &amp; Lee, K. L. (2005). Counting your customers the easy way: An alternative to the Pareto/NBD model. Marketing Science, 24(2), 275-284.</w:t>
      </w:r>
    </w:p>
    <w:p w14:paraId="06DD472F" w14:textId="77777777" w:rsidR="001235D3" w:rsidRPr="00007943" w:rsidRDefault="00000000" w:rsidP="00BC1AD4">
      <w:pPr>
        <w:jc w:val="both"/>
        <w:rPr>
          <w:bCs/>
        </w:rPr>
      </w:pPr>
      <w:r w:rsidRPr="00007943">
        <w:rPr>
          <w:bCs/>
        </w:rPr>
        <w:t>[2]  Wang, X., Liu, T., &amp; Miao, J. (2019). A deep probabilistic model for customer lifetime value prediction. arXiv:1912.07753.</w:t>
      </w:r>
    </w:p>
    <w:p w14:paraId="720080C8" w14:textId="77777777" w:rsidR="001235D3" w:rsidRPr="00007943" w:rsidRDefault="00000000" w:rsidP="00BC1AD4">
      <w:pPr>
        <w:jc w:val="both"/>
        <w:rPr>
          <w:bCs/>
        </w:rPr>
      </w:pPr>
      <w:r w:rsidRPr="00007943">
        <w:rPr>
          <w:bCs/>
        </w:rPr>
        <w:lastRenderedPageBreak/>
        <w:t>[3]  Romano, Y., Patterson, E., &amp; Candes, E. (2019). Conformalized quantile regression. Advances in Neural Information Processing Systems, 32.</w:t>
      </w:r>
    </w:p>
    <w:p w14:paraId="18596707" w14:textId="77777777" w:rsidR="001235D3" w:rsidRPr="00007943" w:rsidRDefault="00000000" w:rsidP="00BC1AD4">
      <w:pPr>
        <w:jc w:val="both"/>
        <w:rPr>
          <w:bCs/>
        </w:rPr>
      </w:pPr>
      <w:r w:rsidRPr="00007943">
        <w:rPr>
          <w:bCs/>
        </w:rPr>
        <w:t>[4]  Gutierrez, P., &amp; Gerardy, J.-Y. (2017). Causal inference and uplift modelling: A review of the literature. Proceedings of Machine Learning Research, 67, 1-13.</w:t>
      </w:r>
    </w:p>
    <w:p w14:paraId="38D24073" w14:textId="77777777" w:rsidR="001235D3" w:rsidRPr="00007943" w:rsidRDefault="00000000" w:rsidP="00BC1AD4">
      <w:pPr>
        <w:jc w:val="both"/>
        <w:rPr>
          <w:bCs/>
        </w:rPr>
      </w:pPr>
      <w:r w:rsidRPr="00007943">
        <w:rPr>
          <w:bCs/>
        </w:rPr>
        <w:t>[5]  Kunzel, S. R., Sekhon, J. S., Bickel, P. J., &amp; Yu, B. (2019). Metalearners for estimating heterogeneous treatment effects using machine learning. PNAS, 116(10), 4156-4165.</w:t>
      </w:r>
      <w:hyperlink r:id="rId5" w:tgtFrame="_new" w:history="1">
        <w:r w:rsidR="00A14426" w:rsidRPr="00007943">
          <w:rPr>
            <w:rStyle w:val="Hyperlink"/>
            <w:bCs/>
          </w:rPr>
          <w:t>https://doi.org/10.24432/C5CG6D</w:t>
        </w:r>
      </w:hyperlink>
    </w:p>
    <w:sectPr w:rsidR="001235D3" w:rsidRPr="000079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07943"/>
    <w:rsid w:val="000631A1"/>
    <w:rsid w:val="000F6C4E"/>
    <w:rsid w:val="001235D3"/>
    <w:rsid w:val="001A3514"/>
    <w:rsid w:val="0025150C"/>
    <w:rsid w:val="003549ED"/>
    <w:rsid w:val="003D059C"/>
    <w:rsid w:val="003E4210"/>
    <w:rsid w:val="00473905"/>
    <w:rsid w:val="00477A88"/>
    <w:rsid w:val="00566206"/>
    <w:rsid w:val="00587935"/>
    <w:rsid w:val="00603CA1"/>
    <w:rsid w:val="006178C2"/>
    <w:rsid w:val="006B1006"/>
    <w:rsid w:val="009071A3"/>
    <w:rsid w:val="00A14426"/>
    <w:rsid w:val="00BC1AD4"/>
    <w:rsid w:val="00C31372"/>
    <w:rsid w:val="00E02C11"/>
    <w:rsid w:val="00E10C77"/>
    <w:rsid w:val="00E41A3D"/>
    <w:rsid w:val="00ED1AF5"/>
    <w:rsid w:val="00F67A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EC2F"/>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CG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Phuc Tu</cp:lastModifiedBy>
  <cp:revision>5</cp:revision>
  <dcterms:created xsi:type="dcterms:W3CDTF">2026-06-03T08:34:00Z</dcterms:created>
  <dcterms:modified xsi:type="dcterms:W3CDTF">2026-06-21T11:05:00Z</dcterms:modified>
</cp:coreProperties>
</file>