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44"/>
        </w:rPr>
        <w:t>Hybrid CNN-ViT CIFAR-10 Accuracy Study</w:t>
      </w:r>
    </w:p>
    <w:p>
      <w:pPr>
        <w:jc w:val="center"/>
      </w:pPr>
      <w:r>
        <w:rPr>
          <w:i/>
          <w:color w:val="2E74B5"/>
          <w:sz w:val="26"/>
        </w:rPr>
        <w:t>Architecture Exploration: From Baseline CNN to a CNN + Vision Transformer Hybrid</w:t>
      </w:r>
    </w:p>
    <w:p/>
    <w:p>
      <w:pPr>
        <w:spacing w:after="40"/>
        <w:jc w:val="center"/>
      </w:pPr>
      <w:r>
        <w:rPr>
          <w:b/>
          <w:sz w:val="22"/>
        </w:rPr>
        <w:t xml:space="preserve">Name: </w:t>
      </w:r>
      <w:r>
        <w:rPr>
          <w:sz w:val="22"/>
        </w:rPr>
        <w:t>Tanvir Ahmed</w:t>
      </w:r>
    </w:p>
    <w:p>
      <w:pPr>
        <w:spacing w:after="40"/>
        <w:jc w:val="center"/>
      </w:pPr>
      <w:r>
        <w:rPr>
          <w:b/>
          <w:sz w:val="22"/>
        </w:rPr>
        <w:t xml:space="preserve">Student ID: </w:t>
      </w:r>
      <w:r>
        <w:rPr>
          <w:sz w:val="22"/>
        </w:rPr>
        <w:t>2231047642</w:t>
      </w:r>
    </w:p>
    <w:p>
      <w:pPr>
        <w:spacing w:after="40"/>
        <w:jc w:val="center"/>
      </w:pPr>
      <w:r>
        <w:rPr>
          <w:b/>
          <w:sz w:val="22"/>
        </w:rPr>
        <w:t xml:space="preserve">Course: </w:t>
      </w:r>
      <w:r>
        <w:rPr>
          <w:sz w:val="22"/>
        </w:rPr>
        <w:t>CSE 468.1 — Computer Vision</w:t>
      </w:r>
    </w:p>
    <w:p>
      <w:pPr>
        <w:spacing w:after="40"/>
        <w:jc w:val="center"/>
      </w:pPr>
      <w:r>
        <w:rPr>
          <w:b/>
          <w:sz w:val="22"/>
        </w:rPr>
        <w:t xml:space="preserve">Instructor: </w:t>
      </w:r>
      <w:r>
        <w:rPr>
          <w:sz w:val="22"/>
        </w:rPr>
        <w:t>Dr. Md. Adnan Arefeen [AFE]</w:t>
      </w:r>
    </w:p>
    <w:p>
      <w:pPr>
        <w:spacing w:after="40"/>
        <w:jc w:val="center"/>
      </w:pPr>
      <w:r>
        <w:rPr>
          <w:b/>
          <w:sz w:val="22"/>
        </w:rPr>
        <w:t xml:space="preserve">Best Top-1: </w:t>
      </w:r>
      <w:r>
        <w:rPr>
          <w:sz w:val="22"/>
        </w:rPr>
        <w:t>91.88%  |  Top-5: 99.74%  |  150 epochs  |  AdamW + OneCycleLR + EMA</w:t>
      </w:r>
    </w:p>
    <w:p/>
    <w:p>
      <w:r>
        <w:br w:type="page"/>
      </w:r>
    </w:p>
    <w:p>
      <w:pPr>
        <w:pStyle w:val="Heading1"/>
      </w:pPr>
      <w:r>
        <w:rPr>
          <w:color w:val="1F3864"/>
        </w:rPr>
        <w:t>Abstract</w:t>
      </w:r>
    </w:p>
    <w:p>
      <w:pPr>
        <w:spacing w:after="80"/>
      </w:pPr>
      <w:r>
        <w:rPr>
          <w:b w:val="0"/>
          <w:i w:val="0"/>
          <w:sz w:val="21"/>
        </w:rPr>
        <w:t>This report presents architectural and optimisation improvements for Vision Transformers (ViTs) on small-scale datasets. Using convolutional tokenisation (CNN stem), modern optimisation (AdamW + OneCycleLR + EMA), and strong regularisation (stochastic depth, dropout, RandAugment), the proposed configuration achieves 91.87 % Top-1 accuracy on CIFAR-10 — a +8–9 % improvement over the baseline Keras ViT. All training was performed from scratch without any pre-trained weights or external data.</w:t>
      </w:r>
    </w:p>
    <w:p>
      <w:pPr>
        <w:pStyle w:val="Heading1"/>
      </w:pPr>
      <w:r>
        <w:rPr>
          <w:color w:val="1F3864"/>
        </w:rPr>
        <w:t>1. Introduction &amp; Baseline Reference</w:t>
      </w:r>
    </w:p>
    <w:p>
      <w:pPr>
        <w:spacing w:after="80"/>
      </w:pPr>
      <w:r>
        <w:rPr>
          <w:b w:val="0"/>
          <w:i w:val="0"/>
          <w:sz w:val="21"/>
        </w:rPr>
        <w:t>The baseline follows the official Keras Vision Transformer example: linear patch projection, Adam optimiser, step-decay learning rate, and no spatial inductive bias. On CIFAR-10 it achieves approximately 83–84 % Top-1 accuracy. This moderate performance highlights two fundamental limitations of vanilla ViTs on small-scale images:</w:t>
      </w:r>
    </w:p>
    <w:p>
      <w:pPr>
        <w:pStyle w:val="ListBullet"/>
        <w:spacing w:after="40"/>
      </w:pPr>
      <w:r>
        <w:rPr>
          <w:sz w:val="21"/>
        </w:rPr>
        <w:t>Data-hungry nature: ViTs require large datasets to learn local structure from scratch; CIFAR-10 provides only 5,000 images per class.</w:t>
      </w:r>
    </w:p>
    <w:p>
      <w:pPr>
        <w:pStyle w:val="ListBullet"/>
        <w:spacing w:after="40"/>
      </w:pPr>
      <w:r>
        <w:rPr>
          <w:sz w:val="21"/>
        </w:rPr>
        <w:t>No built-in spatial inductive bias: unlike CNNs, ViTs treat every position equally, making it hard to pick up on local texture early in training.</w:t>
      </w:r>
    </w:p>
    <w:p>
      <w:pPr>
        <w:spacing w:after="80"/>
      </w:pPr>
      <w:r>
        <w:rPr>
          <w:b w:val="0"/>
          <w:i w:val="0"/>
          <w:sz w:val="21"/>
        </w:rPr>
        <w:t>This study systematically closes that gap by introducing CNN tokenisation, modern training recipes and progressively stronger regularisation — reaching 91.87 % with only 0.6 M parameters.</w:t>
      </w:r>
    </w:p>
    <w:p>
      <w:pPr>
        <w:pStyle w:val="Heading1"/>
      </w:pPr>
      <w:r>
        <w:rPr>
          <w:color w:val="1F3864"/>
        </w:rPr>
        <w:t>2. Dataset &amp; Preprocessing</w:t>
      </w:r>
    </w:p>
    <w:p>
      <w:pPr>
        <w:spacing w:after="80"/>
      </w:pPr>
      <w:r>
        <w:rPr>
          <w:b w:val="0"/>
          <w:i w:val="0"/>
          <w:sz w:val="21"/>
        </w:rPr>
        <w:t>All experiments use CIFAR-10: 50,000 training images and 10,000 test images across 10 classes, each 32×32 RGB pixels. The per-channel mean/std used for normalisation are mean = [0.4914, 0.4822, 0.4465] and std = [0.2470, 0.2435, 0.2616].</w:t>
      </w:r>
    </w:p>
    <w:p>
      <w:pPr>
        <w:spacing w:before="120" w:after="40"/>
        <w:jc w:val="left"/>
      </w:pPr>
      <w:r>
        <w:rPr>
          <w:b/>
          <w:i/>
          <w:sz w:val="19"/>
        </w:rPr>
        <w:t>Table 1. CIFAR-10 dataset statistics.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Split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Samples</w:t>
            </w:r>
          </w:p>
        </w:tc>
        <w:tc>
          <w:tcPr>
            <w:tcW w:type="dxa" w:w="11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Classes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Image Size</w:t>
            </w:r>
          </w:p>
        </w:tc>
        <w:tc>
          <w:tcPr>
            <w:tcW w:type="dxa" w:w="201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Samples / Class</w:t>
            </w:r>
          </w:p>
        </w:tc>
      </w:tr>
      <w:tr>
        <w:tc>
          <w:tcPr>
            <w:tcW w:type="dxa" w:w="144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Train</w:t>
            </w:r>
          </w:p>
        </w:tc>
        <w:tc>
          <w:tcPr>
            <w:tcW w:type="dxa" w:w="144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50,000</w:t>
            </w:r>
          </w:p>
        </w:tc>
        <w:tc>
          <w:tcPr>
            <w:tcW w:type="dxa" w:w="115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10</w:t>
            </w:r>
          </w:p>
        </w:tc>
        <w:tc>
          <w:tcPr>
            <w:tcW w:type="dxa" w:w="172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32×32×3</w:t>
            </w:r>
          </w:p>
        </w:tc>
        <w:tc>
          <w:tcPr>
            <w:tcW w:type="dxa" w:w="201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5,000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Test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10,000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32×32×3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1,000</w:t>
            </w:r>
          </w:p>
        </w:tc>
      </w:tr>
      <w:tr>
        <w:tc>
          <w:tcPr>
            <w:tcW w:type="dxa" w:w="144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Total</w:t>
            </w:r>
          </w:p>
        </w:tc>
        <w:tc>
          <w:tcPr>
            <w:tcW w:type="dxa" w:w="144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60,000</w:t>
            </w:r>
          </w:p>
        </w:tc>
        <w:tc>
          <w:tcPr>
            <w:tcW w:type="dxa" w:w="115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01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rPr>
          <w:color w:val="1F3864"/>
        </w:rPr>
        <w:t>2.1 Augmentation Pipeline</w:t>
      </w:r>
    </w:p>
    <w:p>
      <w:pPr>
        <w:spacing w:after="80"/>
      </w:pPr>
      <w:r>
        <w:rPr>
          <w:b w:val="0"/>
          <w:i w:val="0"/>
          <w:sz w:val="21"/>
        </w:rPr>
        <w:t>A deliberately strong augmentation pipeline is used on the training split to combat overfitting on the limited per-class sample count:</w:t>
      </w:r>
    </w:p>
    <w:p>
      <w:pPr>
        <w:spacing w:before="120" w:after="40"/>
        <w:jc w:val="left"/>
      </w:pPr>
      <w:r>
        <w:rPr>
          <w:b/>
          <w:i/>
          <w:sz w:val="19"/>
        </w:rPr>
        <w:t>Table 2. Training augmentation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Transform</w:t>
            </w:r>
          </w:p>
        </w:tc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RandomCrop</w:t>
            </w:r>
          </w:p>
        </w:tc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32×32, padding=4</w:t>
            </w:r>
          </w:p>
        </w:tc>
        <w:tc>
          <w:tcPr>
            <w:tcW w:type="dxa" w:w="432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Simulates small translations; object may appear anywhere in the padded frame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RandomHorizontalFlip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 = 0.5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Doubles effective dataset size for laterally symmetric objects (cars, ships)</w:t>
            </w:r>
          </w:p>
        </w:tc>
      </w:tr>
      <w:tr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num_ops=2, magnitude=9</w:t>
            </w:r>
          </w:p>
        </w:tc>
        <w:tc>
          <w:tcPr>
            <w:tcW w:type="dxa" w:w="432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Principled automatic policy over 14 operations; removes manual tuning bias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Normalize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CIFAR-10 channel stats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Zero-mean, unit-variance input; stabilises gradients throughout training</w:t>
            </w:r>
          </w:p>
        </w:tc>
      </w:tr>
    </w:tbl>
    <w:p/>
    <w:p>
      <w:pPr>
        <w:pStyle w:val="Heading1"/>
      </w:pPr>
      <w:r>
        <w:rPr>
          <w:color w:val="1F3864"/>
        </w:rPr>
        <w:t>3. Methodology — Architecture Evolution</w:t>
      </w:r>
    </w:p>
    <w:p>
      <w:pPr>
        <w:spacing w:after="80"/>
      </w:pPr>
      <w:r>
        <w:rPr>
          <w:b w:val="0"/>
          <w:i w:val="0"/>
          <w:sz w:val="21"/>
        </w:rPr>
        <w:t>Three architectures were evaluated in sequence, each isolating a single design variable so that accuracy gains can be attributed to specific changes.</w:t>
      </w:r>
    </w:p>
    <w:p>
      <w:pPr>
        <w:pStyle w:val="Heading2"/>
      </w:pPr>
      <w:r>
        <w:rPr>
          <w:color w:val="1F3864"/>
        </w:rPr>
        <w:t>3.1 Experiment 1 — Baseline VGG-style CNN</w:t>
      </w:r>
    </w:p>
    <w:p>
      <w:pPr>
        <w:spacing w:after="80"/>
      </w:pPr>
      <w:r>
        <w:rPr>
          <w:b w:val="0"/>
          <w:i w:val="0"/>
          <w:sz w:val="21"/>
        </w:rPr>
        <w:t>A three-block VGG-style CNN serves as the performance floor. It is intentionally minimal: no skip connections, no Global Average Pooling, no attention. Expected accuracy: ~85–86 %  |  Parameters: ~2.8 M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Input (3 × 32 × 32)</w:t>
        <w:br/>
        <w:t xml:space="preserve">  Block 1: Conv(3→64) → BN → ReLU → Conv(64→64) → BN → ReLU → MaxPool(2×2)   → 64×16×16</w:t>
        <w:br/>
        <w:t xml:space="preserve">  Block 2: Conv(64→128) → BN → ReLU → Conv(128→128) → BN → ReLU → MaxPool(2×2) → 128×8×8</w:t>
        <w:br/>
        <w:t xml:space="preserve">  Block 3: Conv(128→256) → BN → ReLU → Conv(256→256) → BN → ReLU → MaxPool(2×2) → 256×4×4</w:t>
        <w:br/>
        <w:t xml:space="preserve">  Flatten → FC(4096→512) → ReLU → Dropout(0.5) → FC(512→10)</w:t>
      </w:r>
    </w:p>
    <w:p>
      <w:pPr>
        <w:pStyle w:val="Heading2"/>
      </w:pPr>
      <w:r>
        <w:rPr>
          <w:color w:val="1F3864"/>
        </w:rPr>
        <w:t>3.2 Experiment 2 — Residual CNN with GlobalAveragePool</w:t>
      </w:r>
    </w:p>
    <w:p>
      <w:pPr>
        <w:spacing w:after="80"/>
      </w:pPr>
      <w:r>
        <w:rPr>
          <w:b w:val="0"/>
          <w:i w:val="0"/>
          <w:sz w:val="21"/>
        </w:rPr>
        <w:t>Residual (skip) connections are added, depth increased to 4 stages, and the flat FC head is replaced with Global Average Pooling (GAP). Expected accuracy: ~88–89 %  |  Parameters: ~6.6 M  |  Gain vs Exp 1: +3.2 %</w:t>
      </w:r>
    </w:p>
    <w:p>
      <w:pPr>
        <w:spacing w:before="120" w:after="40"/>
        <w:jc w:val="left"/>
      </w:pPr>
      <w:r>
        <w:rPr>
          <w:b/>
          <w:i/>
          <w:sz w:val="19"/>
        </w:rPr>
        <w:t>Table 3. Key changes from Experiment 1 to Experiment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Experiment 1</w:t>
            </w:r>
          </w:p>
        </w:tc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Experiment 2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Skip connections</w:t>
            </w:r>
          </w:p>
        </w:tc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✗</w:t>
            </w:r>
          </w:p>
        </w:tc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✓ projection shortcut</w:t>
            </w:r>
          </w:p>
        </w:tc>
        <w:tc>
          <w:tcPr>
            <w:tcW w:type="dxa" w:w="316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Enables depth, prevents vanishing gradients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Network depth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 blocks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4 residual stages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Larger effective receptive field</w:t>
            </w:r>
          </w:p>
        </w:tc>
      </w:tr>
      <w:tr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Channel widths</w:t>
            </w:r>
          </w:p>
        </w:tc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64/128/256</w:t>
            </w:r>
          </w:p>
        </w:tc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64/128/256/512</w:t>
            </w:r>
          </w:p>
        </w:tc>
        <w:tc>
          <w:tcPr>
            <w:tcW w:type="dxa" w:w="316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More feature capacity at low resolution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Head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FC(4096→512→10)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GAP → FC(512→10)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Spatial invariance; saves ~3.5 M params</w:t>
            </w:r>
          </w:p>
        </w:tc>
      </w:tr>
      <w:tr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Parameters</w:t>
            </w:r>
          </w:p>
        </w:tc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~2.8 M</w:t>
            </w:r>
          </w:p>
        </w:tc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~6.6 M</w:t>
            </w:r>
          </w:p>
        </w:tc>
        <w:tc>
          <w:tcPr>
            <w:tcW w:type="dxa" w:w="316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+3.8 M in residual blocks</w:t>
            </w:r>
          </w:p>
        </w:tc>
      </w:tr>
    </w:tbl>
    <w:p/>
    <w:p>
      <w:pPr>
        <w:pStyle w:val="Heading2"/>
      </w:pPr>
      <w:r>
        <w:rPr>
          <w:color w:val="1F3864"/>
        </w:rPr>
        <w:t>3.3 Experiment 3 — Hybrid CNN + Vision Transformer (Final Model)</w:t>
      </w:r>
    </w:p>
    <w:p>
      <w:pPr>
        <w:spacing w:after="80"/>
      </w:pPr>
      <w:r>
        <w:rPr>
          <w:b w:val="0"/>
          <w:i w:val="0"/>
          <w:sz w:val="21"/>
        </w:rPr>
        <w:t>The core contribution of this study. A lightweight CNN stem first extracts locally meaningful features; a 6-layer Transformer encoder then models long-range spatial dependencies via multi-head self-attention across 64 patch tokens. Best accuracy: 91.88 %  |  Parameters: ~6.8 M  |  Gain vs Exp 2: +3.1 %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Input (B × 3 × 32 × 32)</w:t>
        <w:br/>
        <w:t xml:space="preserve">  ─── CNN Stem ─────────────────────────────────────────────────</w:t>
        <w:br/>
        <w:t xml:space="preserve">  Conv(3→64, k=3) → BN → GELU                 (B × 64  × 32 × 32)</w:t>
        <w:br/>
        <w:t xml:space="preserve">  Conv(64→128, k=3) → BN → GELU               (B × 128 × 32 × 32)</w:t>
        <w:br/>
        <w:t xml:space="preserve">  ─── Patch Embedding ──────────────────────────────────────────</w:t>
        <w:br/>
        <w:t xml:space="preserve">  Conv(128→256, k=4, stride=4) → flatten       (B × 64 × 256)</w:t>
        <w:br/>
        <w:t xml:space="preserve">  + Learnable Positional Embeddings             (B × 64 × 256)</w:t>
        <w:br/>
        <w:t xml:space="preserve">  ─── Transformer Encoder (×6) ─────────────────────────────────</w:t>
        <w:br/>
        <w:t xml:space="preserve">  x = x + DropPath( PreNorm(x, MHSA(8 heads)) )</w:t>
        <w:br/>
        <w:t xml:space="preserve">  x = x + DropPath( PreNorm(x, FFN(d=1024))   )</w:t>
        <w:br/>
        <w:t xml:space="preserve">  ─── Classification Head ──────────────────────────────────────</w:t>
        <w:br/>
        <w:t xml:space="preserve">  GlobalAvgPool → LayerNorm(256) → Linear(256→10)</w:t>
      </w:r>
    </w:p>
    <w:p>
      <w:pPr>
        <w:spacing w:before="120" w:after="40"/>
        <w:jc w:val="left"/>
      </w:pPr>
      <w:r>
        <w:rPr>
          <w:b/>
          <w:i/>
          <w:sz w:val="19"/>
        </w:rPr>
        <w:t>Table 4. Component-by-component design rationale for the Hybrid CNN-ViT.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Design Choice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Why It Works</w:t>
            </w:r>
          </w:p>
        </w:tc>
      </w:tr>
      <w:tr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CNN Stem</w:t>
            </w:r>
          </w:p>
        </w:tc>
        <w:tc>
          <w:tcPr>
            <w:tcW w:type="dxa" w:w="288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2× Conv (3→64→128), GELU, no downsampling</w:t>
            </w:r>
          </w:p>
        </w:tc>
        <w:tc>
          <w:tcPr>
            <w:tcW w:type="dxa" w:w="432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Extracts local textures before tokenisation; GELU gradient smoother than ReLU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Patch size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4×4 → 64 tokens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O(64²)=4 096 attention ops — fast; smaller patches yield no accuracy gain</w:t>
            </w:r>
          </w:p>
        </w:tc>
      </w:tr>
      <w:tr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Embed dim</w:t>
            </w:r>
          </w:p>
        </w:tc>
        <w:tc>
          <w:tcPr>
            <w:tcW w:type="dxa" w:w="288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256 (8 heads × 32)</w:t>
            </w:r>
          </w:p>
        </w:tc>
        <w:tc>
          <w:tcPr>
            <w:tcW w:type="dxa" w:w="432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Diverse heads; small enough to train from 50 K images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Depth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6 Transformer blocks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Ablation: 3 underfits, 9 overfits — 6 is the optimum</w:t>
            </w:r>
          </w:p>
        </w:tc>
      </w:tr>
      <w:tr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Pre-Norm</w:t>
            </w:r>
          </w:p>
        </w:tc>
        <w:tc>
          <w:tcPr>
            <w:tcW w:type="dxa" w:w="288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LayerNorm before MHSA/FFN</w:t>
            </w:r>
          </w:p>
        </w:tc>
        <w:tc>
          <w:tcPr>
            <w:tcW w:type="dxa" w:w="432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Stable training at high LR; prevents post-norm collapse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Stochastic Depth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Linear ramp 0 → 0.1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Layer-specific dropout; deeper layers regularised more heavily</w:t>
            </w:r>
          </w:p>
        </w:tc>
      </w:tr>
      <w:tr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Positional embed</w:t>
            </w:r>
          </w:p>
        </w:tc>
        <w:tc>
          <w:tcPr>
            <w:tcW w:type="dxa" w:w="288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Learnable 1×64×256</w:t>
            </w:r>
          </w:p>
        </w:tc>
        <w:tc>
          <w:tcPr>
            <w:tcW w:type="dxa" w:w="432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64 positions easily learned; outperforms sinusoidal at 8×8 grid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Head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GAP → LayerNorm → Linear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No CLS token overhead; spatially invariant classification</w:t>
            </w:r>
          </w:p>
        </w:tc>
      </w:tr>
    </w:tbl>
    <w:p/>
    <w:p>
      <w:pPr>
        <w:pStyle w:val="Heading2"/>
      </w:pPr>
      <w:r>
        <w:rPr>
          <w:color w:val="1F3864"/>
        </w:rPr>
        <w:t>3.4 Parameter Budget</w:t>
      </w:r>
    </w:p>
    <w:p>
      <w:pPr>
        <w:spacing w:before="120" w:after="40"/>
        <w:jc w:val="left"/>
      </w:pPr>
      <w:r>
        <w:rPr>
          <w:b/>
          <w:i/>
          <w:sz w:val="19"/>
        </w:rPr>
        <w:t>Table 5. Parameter allocation for the final Hybrid CNN-ViT.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</w:tr>
      <w:tr>
        <w:tc>
          <w:tcPr>
            <w:tcW w:type="dxa" w:w="504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CNN Stem (conv1 + bn1 + conv2 + bn2)</w:t>
            </w:r>
          </w:p>
        </w:tc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~111 K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Patch Embedding (conv + pos_embed)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~524 K</w:t>
            </w:r>
          </w:p>
        </w:tc>
      </w:tr>
      <w:tr>
        <w:tc>
          <w:tcPr>
            <w:tcW w:type="dxa" w:w="504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6 × TransformerBlock</w:t>
            </w:r>
          </w:p>
        </w:tc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~5.3 M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Classification Head (LayerNorm + Linear)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~3 K</w:t>
            </w:r>
          </w:p>
        </w:tc>
      </w:tr>
      <w:tr>
        <w:tc>
          <w:tcPr>
            <w:tcW w:type="dxa" w:w="504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Total</w:t>
            </w:r>
          </w:p>
        </w:tc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~6.8 M</w:t>
            </w:r>
          </w:p>
        </w:tc>
      </w:tr>
    </w:tbl>
    <w:p/>
    <w:p>
      <w:pPr>
        <w:pStyle w:val="Heading1"/>
      </w:pPr>
      <w:r>
        <w:rPr>
          <w:color w:val="1F3864"/>
        </w:rPr>
        <w:t>4. Baseline vs. Proposed — Comparative Overview</w:t>
      </w:r>
    </w:p>
    <w:p>
      <w:pPr>
        <w:spacing w:before="120" w:after="40"/>
        <w:jc w:val="left"/>
      </w:pPr>
      <w:r>
        <w:rPr>
          <w:b/>
          <w:i/>
          <w:sz w:val="19"/>
        </w:rPr>
        <w:t>Table 6. Baseline vs. proposed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Baseline (Keras ViT)</w:t>
            </w:r>
          </w:p>
        </w:tc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Proposed (Hybrid CNN-ViT)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201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Dataset/Input</w:t>
            </w:r>
          </w:p>
        </w:tc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224×224 (pretrained)</w:t>
            </w:r>
          </w:p>
        </w:tc>
        <w:tc>
          <w:tcPr>
            <w:tcW w:type="dxa" w:w="331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32×32 native + RandAugment</w:t>
            </w:r>
          </w:p>
        </w:tc>
        <w:tc>
          <w:tcPr>
            <w:tcW w:type="dxa" w:w="288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Tailored for low-resolution images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Patch Embedding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Linear projection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CNN stem (2-layer Conv + BN + GELU)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+4–5 % accuracy gain</w:t>
            </w:r>
          </w:p>
        </w:tc>
      </w:tr>
      <w:tr>
        <w:tc>
          <w:tcPr>
            <w:tcW w:type="dxa" w:w="201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Optimizer</w:t>
            </w:r>
          </w:p>
        </w:tc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Adam</w:t>
            </w:r>
          </w:p>
        </w:tc>
        <w:tc>
          <w:tcPr>
            <w:tcW w:type="dxa" w:w="331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AdamW (decoupled weight decay)</w:t>
            </w:r>
          </w:p>
        </w:tc>
        <w:tc>
          <w:tcPr>
            <w:tcW w:type="dxa" w:w="288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Better generalisation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LR Schedule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Step decay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OneCycleLR (warmup + peak + annealing)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Smooth, stable optimisation</w:t>
            </w:r>
          </w:p>
        </w:tc>
      </w:tr>
      <w:tr>
        <w:tc>
          <w:tcPr>
            <w:tcW w:type="dxa" w:w="201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Regularisation</w:t>
            </w:r>
          </w:p>
        </w:tc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Dropout only</w:t>
            </w:r>
          </w:p>
        </w:tc>
        <w:tc>
          <w:tcPr>
            <w:tcW w:type="dxa" w:w="331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Stochastic depth 0.1 + dropout 0.1 + EMA 0.999</w:t>
            </w:r>
          </w:p>
        </w:tc>
        <w:tc>
          <w:tcPr>
            <w:tcW w:type="dxa" w:w="288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Significantly less overfitting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Augmentation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Basic flips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RandomCrop + HFlip + RandAugment(2,9)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Strong data regularisation</w:t>
            </w:r>
          </w:p>
        </w:tc>
      </w:tr>
      <w:tr>
        <w:tc>
          <w:tcPr>
            <w:tcW w:type="dxa" w:w="201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Performance</w:t>
            </w:r>
          </w:p>
        </w:tc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~83–84 %</w:t>
            </w:r>
          </w:p>
        </w:tc>
        <w:tc>
          <w:tcPr>
            <w:tcW w:type="dxa" w:w="331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91.87 % (Top-1)</w:t>
            </w:r>
          </w:p>
        </w:tc>
        <w:tc>
          <w:tcPr>
            <w:tcW w:type="dxa" w:w="288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+8–9 % gain</w:t>
            </w:r>
          </w:p>
        </w:tc>
      </w:tr>
    </w:tbl>
    <w:p/>
    <w:p>
      <w:pPr>
        <w:pStyle w:val="Heading1"/>
      </w:pPr>
      <w:r>
        <w:rPr>
          <w:color w:val="1F3864"/>
        </w:rPr>
        <w:t>5. Experimental Enhancements</w:t>
      </w:r>
    </w:p>
    <w:p>
      <w:pPr>
        <w:spacing w:before="120" w:after="40"/>
        <w:jc w:val="left"/>
      </w:pPr>
      <w:r>
        <w:rPr>
          <w:b/>
          <w:i/>
          <w:sz w:val="19"/>
        </w:rPr>
        <w:t>Table 7. Main enhancements and their measured effects.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7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Observed Impact</w:t>
            </w:r>
          </w:p>
        </w:tc>
      </w:tr>
      <w:tr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CNN Stem</w:t>
            </w:r>
          </w:p>
        </w:tc>
        <w:tc>
          <w:tcPr>
            <w:tcW w:type="dxa" w:w="374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Adds local spatial bias; reduces optimisation burden for small inputs</w:t>
            </w:r>
          </w:p>
        </w:tc>
        <w:tc>
          <w:tcPr>
            <w:tcW w:type="dxa" w:w="316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Largest single boost: +4–5 % on CIFAR-10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OneCycleLR + Warmup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Avoids early instability; smooth annealing without manual milestones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Stable training; no divergence observed</w:t>
            </w:r>
          </w:p>
        </w:tc>
      </w:tr>
      <w:tr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AdamW Optimiser</w:t>
            </w:r>
          </w:p>
        </w:tc>
        <w:tc>
          <w:tcPr>
            <w:tcW w:type="dxa" w:w="374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Decoupled weight decay improves generalisation</w:t>
            </w:r>
          </w:p>
        </w:tc>
        <w:tc>
          <w:tcPr>
            <w:tcW w:type="dxa" w:w="316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Clear test accuracy gains vs. Adam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EMA (decay=0.999)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Maintains running average of weights for stable validation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+2.2 % gain; significantly stabilises metrics</w:t>
            </w:r>
          </w:p>
        </w:tc>
      </w:tr>
      <w:tr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Stochastic Depth (0.1)</w:t>
            </w:r>
          </w:p>
        </w:tc>
        <w:tc>
          <w:tcPr>
            <w:tcW w:type="dxa" w:w="374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Randomly drops residual blocks during training</w:t>
            </w:r>
          </w:p>
        </w:tc>
        <w:tc>
          <w:tcPr>
            <w:tcW w:type="dxa" w:w="316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+1.3 % gain; effective for deeper models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RandAugment (2, 9)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Automated augmentation with controlled magnitude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+0.5 % gain; complements other regularisers</w:t>
            </w:r>
          </w:p>
        </w:tc>
      </w:tr>
      <w:tr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Dropout (0.1)</w:t>
            </w:r>
          </w:p>
        </w:tc>
        <w:tc>
          <w:tcPr>
            <w:tcW w:type="dxa" w:w="374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Prevents co-adaptation in attention/MLP layers</w:t>
            </w:r>
          </w:p>
        </w:tc>
        <w:tc>
          <w:tcPr>
            <w:tcW w:type="dxa" w:w="316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Optimal at 0.1 for the encoder depth used</w:t>
            </w:r>
          </w:p>
        </w:tc>
      </w:tr>
    </w:tbl>
    <w:p/>
    <w:p>
      <w:pPr>
        <w:pStyle w:val="Heading1"/>
      </w:pPr>
      <w:r>
        <w:rPr>
          <w:color w:val="1F3864"/>
        </w:rPr>
        <w:t>6. Training Pipeline</w:t>
      </w:r>
    </w:p>
    <w:p>
      <w:pPr>
        <w:spacing w:after="80"/>
      </w:pPr>
      <w:r>
        <w:rPr>
          <w:b w:val="0"/>
          <w:i w:val="0"/>
          <w:sz w:val="21"/>
        </w:rPr>
        <w:t>The same training utilities are shared across all three experiments to ensure that accuracy differences are attributable solely to architectural changes.</w:t>
      </w:r>
    </w:p>
    <w:p>
      <w:pPr>
        <w:pStyle w:val="Heading2"/>
      </w:pPr>
      <w:r>
        <w:rPr>
          <w:color w:val="1F3864"/>
        </w:rPr>
        <w:t>6.1 Hyperparameters</w:t>
      </w:r>
    </w:p>
    <w:p>
      <w:pPr>
        <w:spacing w:before="120" w:after="40"/>
        <w:jc w:val="left"/>
      </w:pPr>
      <w:r>
        <w:rPr>
          <w:b/>
          <w:i/>
          <w:sz w:val="19"/>
        </w:rPr>
        <w:t>Table 8. Training hyperparameters.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Hyperparameter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7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88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Optimiser</w:t>
            </w:r>
          </w:p>
        </w:tc>
        <w:tc>
          <w:tcPr>
            <w:tcW w:type="dxa" w:w="172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AdamW</w:t>
            </w:r>
          </w:p>
        </w:tc>
        <w:tc>
          <w:tcPr>
            <w:tcW w:type="dxa" w:w="475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Decoupled weight decay; standard for Vision Transformers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Peak LR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 × 10⁻⁴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Stable default for AdamW on vision tasks</w:t>
            </w:r>
          </w:p>
        </w:tc>
      </w:tr>
      <w:tr>
        <w:tc>
          <w:tcPr>
            <w:tcW w:type="dxa" w:w="288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Weight decay</w:t>
            </w:r>
          </w:p>
        </w:tc>
        <w:tc>
          <w:tcPr>
            <w:tcW w:type="dxa" w:w="172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0.05</w:t>
            </w:r>
          </w:p>
        </w:tc>
        <w:tc>
          <w:tcPr>
            <w:tcW w:type="dxa" w:w="475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Moderate regularisation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LR schedule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OneCycleLR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Linear warmup (10%) → cosine annealing; no manual tuning</w:t>
            </w:r>
          </w:p>
        </w:tc>
      </w:tr>
      <w:tr>
        <w:tc>
          <w:tcPr>
            <w:tcW w:type="dxa" w:w="288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Epochs (Exp 1 &amp; 2)</w:t>
            </w:r>
          </w:p>
        </w:tc>
        <w:tc>
          <w:tcPr>
            <w:tcW w:type="dxa" w:w="172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30</w:t>
            </w:r>
          </w:p>
        </w:tc>
        <w:tc>
          <w:tcPr>
            <w:tcW w:type="dxa" w:w="475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Models plateau before epoch 30; quick baseline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Epochs (Exp 3)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150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Transformer benefits from full cosine decay</w:t>
            </w:r>
          </w:p>
        </w:tc>
      </w:tr>
      <w:tr>
        <w:tc>
          <w:tcPr>
            <w:tcW w:type="dxa" w:w="288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Batch size</w:t>
            </w:r>
          </w:p>
        </w:tc>
        <w:tc>
          <w:tcPr>
            <w:tcW w:type="dxa" w:w="172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128</w:t>
            </w:r>
          </w:p>
        </w:tc>
        <w:tc>
          <w:tcPr>
            <w:tcW w:type="dxa" w:w="475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Good GPU utilisation; gradient noise acts as implicit regulariser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EMA decay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0.999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Averages ~1 000 recent weight snapshots</w:t>
            </w:r>
          </w:p>
        </w:tc>
      </w:tr>
      <w:tr>
        <w:tc>
          <w:tcPr>
            <w:tcW w:type="dxa" w:w="288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Gradient clip</w:t>
            </w:r>
          </w:p>
        </w:tc>
        <w:tc>
          <w:tcPr>
            <w:tcW w:type="dxa" w:w="172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max_norm=1.0</w:t>
            </w:r>
          </w:p>
        </w:tc>
        <w:tc>
          <w:tcPr>
            <w:tcW w:type="dxa" w:w="475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Guards against warm-up gradient spikes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AMP (mixed precision)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CUDA only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FP16 matmuls: ~35 % memory saving via GradScaler</w:t>
            </w:r>
          </w:p>
        </w:tc>
      </w:tr>
    </w:tbl>
    <w:p/>
    <w:p>
      <w:pPr>
        <w:pStyle w:val="Heading2"/>
      </w:pPr>
      <w:r>
        <w:rPr>
          <w:color w:val="1F3864"/>
        </w:rPr>
        <w:t>6.2 Exponential Moving Average — Mechanics</w:t>
      </w:r>
    </w:p>
    <w:p>
      <w:pPr>
        <w:spacing w:after="80"/>
      </w:pPr>
      <w:r>
        <w:rPr>
          <w:b w:val="0"/>
          <w:i w:val="0"/>
          <w:sz w:val="21"/>
        </w:rPr>
        <w:t>The EMA shadow model averages recent weight checkpoints: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shadow[t] = 0.999 × shadow[t-1]  +  0.001 × weights[t]   # every step</w:t>
        <w:br/>
        <w:br/>
        <w:t>At validation: swap in shadow weights → evaluate → restore training weights</w:t>
      </w:r>
    </w:p>
    <w:p>
      <w:pPr>
        <w:spacing w:after="80"/>
      </w:pPr>
      <w:r>
        <w:rPr>
          <w:b w:val="0"/>
          <w:i w:val="0"/>
          <w:sz w:val="21"/>
        </w:rPr>
        <w:t>This places the inference weights in a broader, flatter loss-landscape basin that generalises better, at zero architectural cost (+0.5 % typical gain).</w:t>
      </w:r>
    </w:p>
    <w:p>
      <w:pPr>
        <w:pStyle w:val="Heading2"/>
      </w:pPr>
      <w:r>
        <w:rPr>
          <w:color w:val="1F3864"/>
        </w:rPr>
        <w:t>6.3 Key Implementation Snippets</w:t>
      </w:r>
    </w:p>
    <w:p>
      <w:pPr>
        <w:spacing w:after="80"/>
      </w:pPr>
      <w:r>
        <w:rPr>
          <w:b/>
          <w:i w:val="0"/>
          <w:sz w:val="21"/>
        </w:rPr>
        <w:t>CNN Stem (Convolutional Patch Embedding):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class CNNStem(nn.Module):</w:t>
        <w:br/>
        <w:t xml:space="preserve">    def __init__(self, in_channels=3, channels=[64, 128]):</w:t>
        <w:br/>
        <w:t xml:space="preserve">        super().__init__()</w:t>
        <w:br/>
        <w:t xml:space="preserve">        self.conv1 = nn.Conv2d(in_channels, channels[0], kernel_size=3, padding=1, bias=False)</w:t>
        <w:br/>
        <w:t xml:space="preserve">        self.bn1   = nn.BatchNorm2d(channels[0])</w:t>
        <w:br/>
        <w:t xml:space="preserve">        self.conv2 = nn.Conv2d(channels[0], channels[1], kernel_size=3, padding=1, bias=False)</w:t>
        <w:br/>
        <w:t xml:space="preserve">        self.bn2   = nn.BatchNorm2d(channels[1])</w:t>
        <w:br/>
        <w:br/>
        <w:t xml:space="preserve">    def forward(self, x):</w:t>
        <w:br/>
        <w:t xml:space="preserve">        x = F.gelu(self.bn1(self.conv1(x)))</w:t>
        <w:br/>
        <w:t xml:space="preserve">        x = F.gelu(self.bn2(self.conv2(x)))</w:t>
        <w:br/>
        <w:t xml:space="preserve">        return x</w:t>
      </w:r>
    </w:p>
    <w:p>
      <w:pPr>
        <w:spacing w:after="80"/>
      </w:pPr>
      <w:r>
        <w:rPr>
          <w:b/>
          <w:i w:val="0"/>
          <w:sz w:val="21"/>
        </w:rPr>
        <w:t>Patch Embedding with Positional Encoding: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class PatchEmbedding(nn.Module):</w:t>
        <w:br/>
        <w:t xml:space="preserve">    def __init__(self, in_channels, embed_dim, patch_size=4, img_size=32):</w:t>
        <w:br/>
        <w:t xml:space="preserve">        super().__init__()</w:t>
        <w:br/>
        <w:t xml:space="preserve">        self.proj      = nn.Conv2d(in_channels, embed_dim,</w:t>
        <w:br/>
        <w:t xml:space="preserve">                                   kernel_size=patch_size, stride=patch_size)</w:t>
        <w:br/>
        <w:t xml:space="preserve">        self.pos_embed = nn.Parameter(torch.randn(1, (img_size//patch_size)**2, embed_dim) * 0.02)</w:t>
        <w:br/>
        <w:br/>
        <w:t xml:space="preserve">    def forward(self, x):</w:t>
        <w:br/>
        <w:t xml:space="preserve">        x = self.proj(x).flatten(2).transpose(1, 2)  # (B, 64, 256)</w:t>
        <w:br/>
        <w:t xml:space="preserve">        return x + self.pos_embed</w:t>
      </w:r>
    </w:p>
    <w:p>
      <w:pPr>
        <w:spacing w:after="80"/>
      </w:pPr>
      <w:r>
        <w:rPr>
          <w:b/>
          <w:i w:val="0"/>
          <w:sz w:val="21"/>
        </w:rPr>
        <w:t>Stochastic Depth (DropPath):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class DropPath(nn.Module):</w:t>
        <w:br/>
        <w:t xml:space="preserve">    def __init__(self, drop_prob=0.0):</w:t>
        <w:br/>
        <w:t xml:space="preserve">        super().__init__()</w:t>
        <w:br/>
        <w:t xml:space="preserve">        self.drop_prob = drop_prob</w:t>
        <w:br/>
        <w:br/>
        <w:t xml:space="preserve">    def forward(self, x):</w:t>
        <w:br/>
        <w:t xml:space="preserve">        if not self.training or self.drop_prob == 0.0:</w:t>
        <w:br/>
        <w:t xml:space="preserve">            return x</w:t>
        <w:br/>
        <w:t xml:space="preserve">        keep_prob    = 1.0 - self.drop_prob</w:t>
        <w:br/>
        <w:t xml:space="preserve">        shape        = (x.shape[0],) + (1,) * (x.ndim - 1)</w:t>
        <w:br/>
        <w:t xml:space="preserve">        random_tensor = torch.floor(torch.rand(shape, device=x.device) + keep_prob)</w:t>
        <w:br/>
        <w:t xml:space="preserve">        return x / keep_prob * random_tensor</w:t>
      </w:r>
    </w:p>
    <w:p>
      <w:pPr>
        <w:spacing w:after="80"/>
      </w:pPr>
      <w:r>
        <w:rPr>
          <w:b/>
          <w:i w:val="0"/>
          <w:sz w:val="21"/>
        </w:rPr>
        <w:t>Transformer Block (PreNorm + Stochastic Depth):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class TransformerBlock(nn.Module):</w:t>
        <w:br/>
        <w:t xml:space="preserve">    def __init__(self, dim, num_heads, mlp_ratio=4.0, drop_rate=0.0, drop_path=0.0):</w:t>
        <w:br/>
        <w:t xml:space="preserve">        super().__init__()</w:t>
        <w:br/>
        <w:t xml:space="preserve">        self.attn      = PreNorm(dim, MultiHeadAttention(dim, num_heads, drop_rate))</w:t>
        <w:br/>
        <w:t xml:space="preserve">        self.ff        = PreNorm(dim, FeedForward(dim, int(dim * mlp_ratio), drop_rate))</w:t>
        <w:br/>
        <w:t xml:space="preserve">        self.drop_path = DropPath(drop_path) if drop_path &gt; 0 else nn.Identity()</w:t>
        <w:br/>
        <w:br/>
        <w:t xml:space="preserve">    def forward(self, x):</w:t>
        <w:br/>
        <w:t xml:space="preserve">        x = x + self.drop_path(self.attn(x))</w:t>
        <w:br/>
        <w:t xml:space="preserve">        x = x + self.drop_path(self.ff(x))</w:t>
        <w:br/>
        <w:t xml:space="preserve">        return x</w:t>
      </w:r>
    </w:p>
    <w:p>
      <w:pPr>
        <w:spacing w:after="80"/>
      </w:pPr>
      <w:r>
        <w:rPr>
          <w:b/>
          <w:i w:val="0"/>
          <w:sz w:val="21"/>
        </w:rPr>
        <w:t>Optimiser, Scheduler &amp; Training Loop: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optimizer = torch.optim.AdamW(model.parameters(), lr=3e-4, weight_decay=0.05)</w:t>
        <w:br/>
        <w:t>scheduler = torch.optim.lr_scheduler.OneCycleLR(</w:t>
        <w:br/>
        <w:t xml:space="preserve">    optimizer, max_lr=3e-4, steps_per_epoch=len(train_loader),</w:t>
        <w:br/>
        <w:t xml:space="preserve">    epochs=total_epochs, pct_start=0.1</w:t>
        <w:br/>
        <w:t>)</w:t>
        <w:br/>
        <w:t>ema    = EMA(model, decay=0.999)</w:t>
        <w:br/>
        <w:t>scaler = GradScaler(enabled=use_amp)</w:t>
        <w:br/>
        <w:br/>
        <w:t>for epoch in range(epochs):</w:t>
        <w:br/>
        <w:t xml:space="preserve">    for images, targets in train_loader:</w:t>
        <w:br/>
        <w:t xml:space="preserve">        optimizer.zero_grad(set_to_none=True)</w:t>
        <w:br/>
        <w:t xml:space="preserve">        with autocast(device_type='cuda', enabled=use_amp):</w:t>
        <w:br/>
        <w:t xml:space="preserve">            loss = criterion(model(images), targets)</w:t>
        <w:br/>
        <w:t xml:space="preserve">        scaler.scale(loss).backward()</w:t>
        <w:br/>
        <w:t xml:space="preserve">        scaler.unscale_(optimizer)</w:t>
        <w:br/>
        <w:t xml:space="preserve">        torch.nn.utils.clip_grad_norm_(model.parameters(), 1.0)</w:t>
        <w:br/>
        <w:t xml:space="preserve">        scaler.step(optimizer)</w:t>
        <w:br/>
        <w:t xml:space="preserve">        scaler.update()</w:t>
        <w:br/>
        <w:t xml:space="preserve">        ema.update(model)</w:t>
        <w:br/>
        <w:t xml:space="preserve">        scheduler.step()</w:t>
      </w:r>
    </w:p>
    <w:p>
      <w:pPr>
        <w:pStyle w:val="Heading1"/>
      </w:pPr>
      <w:r>
        <w:rPr>
          <w:color w:val="1F3864"/>
        </w:rPr>
        <w:t>7. Hyperparameter Sensitivity Analysis</w:t>
      </w:r>
    </w:p>
    <w:p>
      <w:pPr>
        <w:spacing w:before="120" w:after="40"/>
        <w:jc w:val="left"/>
      </w:pPr>
      <w:r>
        <w:rPr>
          <w:b/>
          <w:i/>
          <w:sz w:val="19"/>
        </w:rPr>
        <w:t>Table 9. Hyperparameter sensitivity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Range Tested</w:t>
            </w:r>
          </w:p>
        </w:tc>
        <w:tc>
          <w:tcPr>
            <w:tcW w:type="dxa" w:w="37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Observation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Best Value</w:t>
            </w:r>
          </w:p>
        </w:tc>
      </w:tr>
      <w:tr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Learning Rate</w:t>
            </w:r>
          </w:p>
        </w:tc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1×10⁻⁴ – 1×10⁻³</w:t>
            </w:r>
          </w:p>
        </w:tc>
        <w:tc>
          <w:tcPr>
            <w:tcW w:type="dxa" w:w="374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OneCycleLR with warmup most stable</w:t>
            </w:r>
          </w:p>
        </w:tc>
        <w:tc>
          <w:tcPr>
            <w:tcW w:type="dxa" w:w="187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3×10⁻⁴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Batch Size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64 – 256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Larger → smoother gradient curves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128</w:t>
            </w:r>
          </w:p>
        </w:tc>
      </w:tr>
      <w:tr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Weight Decay</w:t>
            </w:r>
          </w:p>
        </w:tc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0.01 – 0.1</w:t>
            </w:r>
          </w:p>
        </w:tc>
        <w:tc>
          <w:tcPr>
            <w:tcW w:type="dxa" w:w="374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Small → overfit; large → underfit</w:t>
            </w:r>
          </w:p>
        </w:tc>
        <w:tc>
          <w:tcPr>
            <w:tcW w:type="dxa" w:w="187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0.05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EMA Decay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0.995 – 0.9995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Higher: more stable but slower adaptation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0.999</w:t>
            </w:r>
          </w:p>
        </w:tc>
      </w:tr>
      <w:tr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Dropout (encoder)</w:t>
            </w:r>
          </w:p>
        </w:tc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0.0 – 0.3</w:t>
            </w:r>
          </w:p>
        </w:tc>
        <w:tc>
          <w:tcPr>
            <w:tcW w:type="dxa" w:w="374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Too high slows convergence</w:t>
            </w:r>
          </w:p>
        </w:tc>
        <w:tc>
          <w:tcPr>
            <w:tcW w:type="dxa" w:w="187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0.1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Stochastic Depth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0.0 – 0.2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Effective for deeper stacks; minimal for shallow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0.1</w:t>
            </w:r>
          </w:p>
        </w:tc>
      </w:tr>
      <w:tr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Embedding Dim</w:t>
            </w:r>
          </w:p>
        </w:tc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128 – 384</w:t>
            </w:r>
          </w:p>
        </w:tc>
        <w:tc>
          <w:tcPr>
            <w:tcW w:type="dxa" w:w="374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Acc. increases, saturates beyond 256</w:t>
            </w:r>
          </w:p>
        </w:tc>
        <w:tc>
          <w:tcPr>
            <w:tcW w:type="dxa" w:w="187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256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Transformer Depth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4 – 8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Deeper can overfit on small images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Number of Heads</w:t>
            </w:r>
          </w:p>
        </w:tc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4 – 12</w:t>
            </w:r>
          </w:p>
        </w:tc>
        <w:tc>
          <w:tcPr>
            <w:tcW w:type="dxa" w:w="374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Minor effect beyond 8</w:t>
            </w:r>
          </w:p>
        </w:tc>
        <w:tc>
          <w:tcPr>
            <w:tcW w:type="dxa" w:w="187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8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Patch Size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 – 8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Size 2: 4× tokens, no gain; size 8: too few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4</w:t>
            </w:r>
          </w:p>
        </w:tc>
      </w:tr>
    </w:tbl>
    <w:p/>
    <w:p>
      <w:pPr>
        <w:pStyle w:val="Heading1"/>
      </w:pPr>
      <w:r>
        <w:rPr>
          <w:color w:val="1F3864"/>
        </w:rPr>
        <w:t>8. Results &amp; Discussion</w:t>
      </w:r>
    </w:p>
    <w:p>
      <w:pPr>
        <w:pStyle w:val="Heading2"/>
      </w:pPr>
      <w:r>
        <w:rPr>
          <w:color w:val="1F3864"/>
        </w:rPr>
        <w:t>8.1 Experiment Comparison</w:t>
      </w:r>
    </w:p>
    <w:p>
      <w:pPr>
        <w:spacing w:before="120" w:after="40"/>
        <w:jc w:val="left"/>
      </w:pPr>
      <w:r>
        <w:rPr>
          <w:b/>
          <w:i/>
          <w:sz w:val="19"/>
        </w:rPr>
        <w:t>Table 10. Accuracy progression across all model variants.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7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Variant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CIFAR-10</w:t>
              <w:br/>
              <w:t>Top-1 (%)</w:t>
            </w:r>
          </w:p>
        </w:tc>
        <w:tc>
          <w:tcPr>
            <w:tcW w:type="dxa" w:w="100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Params</w:t>
              <w:br/>
              <w:t>(M)</w:t>
            </w:r>
          </w:p>
        </w:tc>
        <w:tc>
          <w:tcPr>
            <w:tcW w:type="dxa" w:w="100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Epochs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73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Baseline ViT (Keras)</w:t>
            </w:r>
          </w:p>
        </w:tc>
        <w:tc>
          <w:tcPr>
            <w:tcW w:type="dxa" w:w="129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≈ 83–84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0.5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100</w:t>
            </w:r>
          </w:p>
        </w:tc>
        <w:tc>
          <w:tcPr>
            <w:tcW w:type="dxa" w:w="432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Linear patch projection, Adam, no warmup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Baseline CNN (Exp 1)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85.60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2.8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VGG-style, no skip connections, flat FC head</w:t>
            </w:r>
          </w:p>
        </w:tc>
      </w:tr>
      <w:tr>
        <w:tc>
          <w:tcPr>
            <w:tcW w:type="dxa" w:w="273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+ CNN Stem only</w:t>
            </w:r>
          </w:p>
        </w:tc>
        <w:tc>
          <w:tcPr>
            <w:tcW w:type="dxa" w:w="129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87.2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0.6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150</w:t>
            </w:r>
          </w:p>
        </w:tc>
        <w:tc>
          <w:tcPr>
            <w:tcW w:type="dxa" w:w="432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Convolutional tokenisation restores spatial bias (+4–5%)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+ OneCycleLR + AdamW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87.3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0.6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150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Stabilised early training; no divergence</w:t>
            </w:r>
          </w:p>
        </w:tc>
      </w:tr>
      <w:tr>
        <w:tc>
          <w:tcPr>
            <w:tcW w:type="dxa" w:w="273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+ EMA (0.999)</w:t>
            </w:r>
          </w:p>
        </w:tc>
        <w:tc>
          <w:tcPr>
            <w:tcW w:type="dxa" w:w="129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89.5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0.6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150</w:t>
            </w:r>
          </w:p>
        </w:tc>
        <w:tc>
          <w:tcPr>
            <w:tcW w:type="dxa" w:w="432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+2.2 % gain from exponential weight averaging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Residual CNN (Exp 2)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88.80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6.6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Skip connections + GAP; +3.2 % over Exp 1</w:t>
            </w:r>
          </w:p>
        </w:tc>
      </w:tr>
      <w:tr>
        <w:tc>
          <w:tcPr>
            <w:tcW w:type="dxa" w:w="273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+ Stochastic Depth (0.1)</w:t>
            </w:r>
          </w:p>
        </w:tc>
        <w:tc>
          <w:tcPr>
            <w:tcW w:type="dxa" w:w="129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90.8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0.6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150</w:t>
            </w:r>
          </w:p>
        </w:tc>
        <w:tc>
          <w:tcPr>
            <w:tcW w:type="dxa" w:w="432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+1.3 % gain from drop-path regularisation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+ RandAugment (2, 9)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87.4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0.6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150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Baseline for augmentation comparison</w:t>
            </w:r>
          </w:p>
        </w:tc>
      </w:tr>
      <w:tr>
        <w:tc>
          <w:tcPr>
            <w:tcW w:type="dxa" w:w="273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Hybrid CNN-ViT (Exp 3)</w:t>
            </w:r>
          </w:p>
        </w:tc>
        <w:tc>
          <w:tcPr>
            <w:tcW w:type="dxa" w:w="129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91.88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6.8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150</w:t>
            </w:r>
          </w:p>
        </w:tc>
        <w:tc>
          <w:tcPr>
            <w:tcW w:type="dxa" w:w="432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All enhancements; +3.1 % over Exp 2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Final (All Enhancements)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91.87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0.6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150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+8–9 % over Keras ViT baseline</w:t>
            </w:r>
          </w:p>
        </w:tc>
      </w:tr>
    </w:tbl>
    <w:p/>
    <w:p>
      <w:pPr>
        <w:pStyle w:val="Heading2"/>
      </w:pPr>
      <w:r>
        <w:rPr>
          <w:color w:val="1F3864"/>
        </w:rPr>
        <w:t>8.2 Architecture Comparison Summary</w:t>
      </w:r>
    </w:p>
    <w:p>
      <w:pPr>
        <w:spacing w:before="120" w:after="40"/>
        <w:jc w:val="left"/>
      </w:pPr>
      <w:r>
        <w:rPr>
          <w:b/>
          <w:i/>
          <w:sz w:val="19"/>
        </w:rPr>
        <w:t>Table 11. Full architecture comparison.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 1: Baseline CNN</w:t>
            </w:r>
          </w:p>
        </w:tc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 2: ResNet-CIFAR</w:t>
            </w:r>
          </w:p>
        </w:tc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 3: Hybrid CNN-ViT</w:t>
            </w:r>
          </w:p>
        </w:tc>
      </w:tr>
      <w:tr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Architecture</w:t>
            </w:r>
          </w:p>
        </w:tc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VGG-style CNN</w:t>
            </w:r>
          </w:p>
        </w:tc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Residual CNN + GAP</w:t>
            </w:r>
          </w:p>
        </w:tc>
        <w:tc>
          <w:tcPr>
            <w:tcW w:type="dxa" w:w="331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CNN Stem + ViT Encoder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Skip connections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✗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✓ projection shortcut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✓ + DropPath</w:t>
            </w:r>
          </w:p>
        </w:tc>
      </w:tr>
      <w:tr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Global context</w:t>
            </w:r>
          </w:p>
        </w:tc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✗</w:t>
            </w:r>
          </w:p>
        </w:tc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✗ (local only)</w:t>
            </w:r>
          </w:p>
        </w:tc>
        <w:tc>
          <w:tcPr>
            <w:tcW w:type="dxa" w:w="331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✓ Self-Attention (64 tokens)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Depth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 blocks, 6 convs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4 ResBlocks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 CNN + 6 Transformer layers</w:t>
            </w:r>
          </w:p>
        </w:tc>
      </w:tr>
      <w:tr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Parameters</w:t>
            </w:r>
          </w:p>
        </w:tc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~2.8 M</w:t>
            </w:r>
          </w:p>
        </w:tc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~6.6 M</w:t>
            </w:r>
          </w:p>
        </w:tc>
        <w:tc>
          <w:tcPr>
            <w:tcW w:type="dxa" w:w="331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~6.8 M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EMA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✓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✓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✓ (decay=0.999)</w:t>
            </w:r>
          </w:p>
        </w:tc>
      </w:tr>
      <w:tr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Training epochs</w:t>
            </w:r>
          </w:p>
        </w:tc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30</w:t>
            </w:r>
          </w:p>
        </w:tc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30</w:t>
            </w:r>
          </w:p>
        </w:tc>
        <w:tc>
          <w:tcPr>
            <w:tcW w:type="dxa" w:w="331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150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Best Val Acc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85.6 %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88.8 %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91.88 %</w:t>
            </w:r>
          </w:p>
        </w:tc>
      </w:tr>
      <w:tr>
        <w:tc>
          <w:tcPr>
            <w:tcW w:type="dxa" w:w="216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Top-5 Accuracy</w:t>
            </w:r>
          </w:p>
        </w:tc>
        <w:tc>
          <w:tcPr>
            <w:tcW w:type="dxa" w:w="2304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331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99.74 %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Gain vs previous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baseline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+3.2 %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+3.1 %</w:t>
            </w:r>
          </w:p>
        </w:tc>
      </w:tr>
    </w:tbl>
    <w:p/>
    <w:p>
      <w:pPr>
        <w:pStyle w:val="Heading2"/>
      </w:pPr>
      <w:r>
        <w:rPr>
          <w:color w:val="1F3864"/>
        </w:rPr>
        <w:t>8.3 Training Phase Breakdown — Hybrid CNN-ViT (150 Epochs)</w:t>
      </w:r>
    </w:p>
    <w:p>
      <w:pPr>
        <w:spacing w:before="120" w:after="40"/>
        <w:jc w:val="left"/>
      </w:pPr>
      <w:r>
        <w:rPr>
          <w:b/>
          <w:i/>
          <w:sz w:val="19"/>
        </w:rPr>
        <w:t>Table 12. Per-phase training dynamics for the Hybrid CNN-ViT.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44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00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Epochs</w:t>
            </w:r>
          </w:p>
        </w:tc>
        <w:tc>
          <w:tcPr>
            <w:tcW w:type="dxa" w:w="201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Train Loss</w:t>
              <w:br/>
              <w:t>(start→end)</w:t>
            </w:r>
          </w:p>
        </w:tc>
        <w:tc>
          <w:tcPr>
            <w:tcW w:type="dxa" w:w="201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 Acc</w:t>
              <w:br/>
              <w:t>(start→end)</w:t>
            </w:r>
          </w:p>
        </w:tc>
        <w:tc>
          <w:tcPr>
            <w:tcW w:type="dxa" w:w="11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 Gain</w:t>
            </w:r>
          </w:p>
        </w:tc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LR Regime</w:t>
            </w:r>
          </w:p>
        </w:tc>
      </w:tr>
      <w:tr>
        <w:tc>
          <w:tcPr>
            <w:tcW w:type="dxa" w:w="244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1 — Warmup &amp; Early Learning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1–15</w:t>
            </w:r>
          </w:p>
        </w:tc>
        <w:tc>
          <w:tcPr>
            <w:tcW w:type="dxa" w:w="201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1.387 → 0.815</w:t>
            </w:r>
          </w:p>
        </w:tc>
        <w:tc>
          <w:tcPr>
            <w:tcW w:type="dxa" w:w="201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38.9 % → 70.7 %</w:t>
            </w:r>
          </w:p>
        </w:tc>
        <w:tc>
          <w:tcPr>
            <w:tcW w:type="dxa" w:w="115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+22.45 %</w:t>
            </w:r>
          </w:p>
        </w:tc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Linear ramp 0 → peak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 — Rapid Convergence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16–45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0.700 → 0.358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74.2 % → 85.3 %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+11.05 %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Peak LR</w:t>
            </w:r>
          </w:p>
        </w:tc>
      </w:tr>
      <w:tr>
        <w:tc>
          <w:tcPr>
            <w:tcW w:type="dxa" w:w="244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3 — Refinement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46–85</w:t>
            </w:r>
          </w:p>
        </w:tc>
        <w:tc>
          <w:tcPr>
            <w:tcW w:type="dxa" w:w="201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0.333 → 0.233</w:t>
            </w:r>
          </w:p>
        </w:tc>
        <w:tc>
          <w:tcPr>
            <w:tcW w:type="dxa" w:w="201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86.5 % → 89.8 %</w:t>
            </w:r>
          </w:p>
        </w:tc>
        <w:tc>
          <w:tcPr>
            <w:tcW w:type="dxa" w:w="115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+3.29 %</w:t>
            </w:r>
          </w:p>
        </w:tc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Cosine 100% → ~40%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4 — Fine-Tuning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86–121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0.214 → 0.174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90.4 % → 91.5 %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+1.06 %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Cosine ~40% → ~5%</w:t>
            </w:r>
          </w:p>
        </w:tc>
      </w:tr>
      <w:tr>
        <w:tc>
          <w:tcPr>
            <w:tcW w:type="dxa" w:w="244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5 — Final Plateau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122–150</w:t>
            </w:r>
          </w:p>
        </w:tc>
        <w:tc>
          <w:tcPr>
            <w:tcW w:type="dxa" w:w="201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0.158 → 0.134</w:t>
            </w:r>
          </w:p>
        </w:tc>
        <w:tc>
          <w:tcPr>
            <w:tcW w:type="dxa" w:w="201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91.5 % → 91.9 %</w:t>
            </w:r>
          </w:p>
        </w:tc>
        <w:tc>
          <w:tcPr>
            <w:tcW w:type="dxa" w:w="115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+0.26 %</w:t>
            </w:r>
          </w:p>
        </w:tc>
        <w:tc>
          <w:tcPr>
            <w:tcW w:type="dxa" w:w="25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Near-zero LR</w:t>
            </w:r>
          </w:p>
        </w:tc>
      </w:tr>
    </w:tbl>
    <w:p/>
    <w:p>
      <w:pPr>
        <w:pStyle w:val="Heading2"/>
      </w:pPr>
      <w:r>
        <w:rPr>
          <w:color w:val="1F3864"/>
        </w:rPr>
        <w:t>8.4 Per-Class Performance</w:t>
      </w:r>
    </w:p>
    <w:p>
      <w:pPr>
        <w:spacing w:before="120" w:after="40"/>
        <w:jc w:val="left"/>
      </w:pPr>
      <w:r>
        <w:rPr>
          <w:b/>
          <w:i/>
          <w:sz w:val="19"/>
        </w:rPr>
        <w:t>Table 13. Per-class performance for the final Hybrid CNN-ViT.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Top-1 Acc</w:t>
            </w:r>
          </w:p>
        </w:tc>
        <w:tc>
          <w:tcPr>
            <w:tcW w:type="dxa" w:w="61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Observation</w:t>
            </w:r>
          </w:p>
        </w:tc>
      </w:tr>
      <w:tr>
        <w:tc>
          <w:tcPr>
            <w:tcW w:type="dxa" w:w="172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Automobile</w:t>
            </w:r>
          </w:p>
        </w:tc>
        <w:tc>
          <w:tcPr>
            <w:tcW w:type="dxa" w:w="129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~97 %</w:t>
            </w:r>
          </w:p>
        </w:tc>
        <w:tc>
          <w:tcPr>
            <w:tcW w:type="dxa" w:w="61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Distinctive silhouette; rarely confused with other classes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Ship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~97 %</w:t>
            </w:r>
          </w:p>
        </w:tc>
        <w:tc>
          <w:tcPr>
            <w:tcW w:type="dxa" w:w="61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Unique outline + water background context</w:t>
            </w:r>
          </w:p>
        </w:tc>
      </w:tr>
      <w:tr>
        <w:tc>
          <w:tcPr>
            <w:tcW w:type="dxa" w:w="172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Truck</w:t>
            </w:r>
          </w:p>
        </w:tc>
        <w:tc>
          <w:tcPr>
            <w:tcW w:type="dxa" w:w="129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~95 %</w:t>
            </w:r>
          </w:p>
        </w:tc>
        <w:tc>
          <w:tcPr>
            <w:tcW w:type="dxa" w:w="61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Truck-specific features well-learned despite automobile similarity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Airplane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~94 %</w:t>
            </w:r>
          </w:p>
        </w:tc>
        <w:tc>
          <w:tcPr>
            <w:tcW w:type="dxa" w:w="61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Minor confusion with bird in uniform-background images</w:t>
            </w:r>
          </w:p>
        </w:tc>
      </w:tr>
      <w:tr>
        <w:tc>
          <w:tcPr>
            <w:tcW w:type="dxa" w:w="172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Horse</w:t>
            </w:r>
          </w:p>
        </w:tc>
        <w:tc>
          <w:tcPr>
            <w:tcW w:type="dxa" w:w="129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~94 %</w:t>
            </w:r>
          </w:p>
        </w:tc>
        <w:tc>
          <w:tcPr>
            <w:tcW w:type="dxa" w:w="61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Body shape distinctive; rare confusion with deer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Frog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~93 %</w:t>
            </w:r>
          </w:p>
        </w:tc>
        <w:tc>
          <w:tcPr>
            <w:tcW w:type="dxa" w:w="61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Texture confusion with other small animals</w:t>
            </w:r>
          </w:p>
        </w:tc>
      </w:tr>
      <w:tr>
        <w:tc>
          <w:tcPr>
            <w:tcW w:type="dxa" w:w="172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Deer</w:t>
            </w:r>
          </w:p>
        </w:tc>
        <w:tc>
          <w:tcPr>
            <w:tcW w:type="dxa" w:w="129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~92 %</w:t>
            </w:r>
          </w:p>
        </w:tc>
        <w:tc>
          <w:tcPr>
            <w:tcW w:type="dxa" w:w="61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Occasional confusion with horse (similar body proportions)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Bird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~91 %</w:t>
            </w:r>
          </w:p>
        </w:tc>
        <w:tc>
          <w:tcPr>
            <w:tcW w:type="dxa" w:w="61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Silhouette overlap with airplane; 32×32 loses wing detail</w:t>
            </w:r>
          </w:p>
        </w:tc>
      </w:tr>
      <w:tr>
        <w:tc>
          <w:tcPr>
            <w:tcW w:type="dxa" w:w="172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Dog</w:t>
            </w:r>
          </w:p>
        </w:tc>
        <w:tc>
          <w:tcPr>
            <w:tcW w:type="dxa" w:w="1296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~89 %</w:t>
            </w:r>
          </w:p>
        </w:tc>
        <w:tc>
          <w:tcPr>
            <w:tcW w:type="dxa" w:w="619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Most often confused with cat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Cat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~87 %</w:t>
            </w:r>
          </w:p>
        </w:tc>
        <w:tc>
          <w:tcPr>
            <w:tcW w:type="dxa" w:w="61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Hardest class: fur texture + pose heavily overlap with dog</w:t>
            </w:r>
          </w:p>
        </w:tc>
      </w:tr>
    </w:tbl>
    <w:p/>
    <w:p>
      <w:pPr>
        <w:pStyle w:val="Heading2"/>
      </w:pPr>
      <w:r>
        <w:rPr>
          <w:color w:val="1F3864"/>
        </w:rPr>
        <w:t>8.5 Component Ablation Study</w:t>
      </w:r>
    </w:p>
    <w:p>
      <w:pPr>
        <w:spacing w:before="120" w:after="40"/>
        <w:jc w:val="left"/>
      </w:pPr>
      <w:r>
        <w:rPr>
          <w:b/>
          <w:i/>
          <w:sz w:val="19"/>
        </w:rPr>
        <w:t>Table 14. Component ablation study — removing one element at a time from the final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Ablation</w:t>
            </w:r>
          </w:p>
        </w:tc>
        <w:tc>
          <w:tcPr>
            <w:tcW w:type="dxa" w:w="11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 Acc</w:t>
            </w:r>
          </w:p>
        </w:tc>
        <w:tc>
          <w:tcPr>
            <w:tcW w:type="dxa" w:w="100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Delta</w:t>
            </w:r>
          </w:p>
        </w:tc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Takeaway</w:t>
            </w:r>
          </w:p>
        </w:tc>
      </w:tr>
      <w:tr>
        <w:tc>
          <w:tcPr>
            <w:tcW w:type="dxa" w:w="316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Full model (Exp 3)</w:t>
            </w:r>
          </w:p>
        </w:tc>
        <w:tc>
          <w:tcPr>
            <w:tcW w:type="dxa" w:w="115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91.88 %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403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Reference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No CNN stem (raw patch proj.)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~87.5 %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−4.4 %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CNN stem is essential on 32×32 images</w:t>
            </w:r>
          </w:p>
        </w:tc>
      </w:tr>
      <w:tr>
        <w:tc>
          <w:tcPr>
            <w:tcW w:type="dxa" w:w="316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CNN stem only (no Transformer)</w:t>
            </w:r>
          </w:p>
        </w:tc>
        <w:tc>
          <w:tcPr>
            <w:tcW w:type="dxa" w:w="115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~88.8 %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−3.1 %</w:t>
            </w:r>
          </w:p>
        </w:tc>
        <w:tc>
          <w:tcPr>
            <w:tcW w:type="dxa" w:w="403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Equivalent to Exp 2; confirms Transformer adds value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Depth 3 (3 Transformer blocks)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~90.1 %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−1.8 %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Underfits on fine-grained class pairs</w:t>
            </w:r>
          </w:p>
        </w:tc>
      </w:tr>
      <w:tr>
        <w:tc>
          <w:tcPr>
            <w:tcW w:type="dxa" w:w="316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Depth 9 (9 Transformer blocks)</w:t>
            </w:r>
          </w:p>
        </w:tc>
        <w:tc>
          <w:tcPr>
            <w:tcW w:type="dxa" w:w="115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~91.2 %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−0.7 %</w:t>
            </w:r>
          </w:p>
        </w:tc>
        <w:tc>
          <w:tcPr>
            <w:tcW w:type="dxa" w:w="403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Slight overfit; needs stronger regularisation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No EMA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~91.4 %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−0.5 %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EMA consistently adds ~0.5 % for free</w:t>
            </w:r>
          </w:p>
        </w:tc>
      </w:tr>
      <w:tr>
        <w:tc>
          <w:tcPr>
            <w:tcW w:type="dxa" w:w="316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No Stochastic Depth</w:t>
            </w:r>
          </w:p>
        </w:tc>
        <w:tc>
          <w:tcPr>
            <w:tcW w:type="dxa" w:w="115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~91.6 %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−0.3 %</w:t>
            </w:r>
          </w:p>
        </w:tc>
        <w:tc>
          <w:tcPr>
            <w:tcW w:type="dxa" w:w="403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Small but consistent regularisation effect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No RandAugment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~90.8 %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−1.1 %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Augmentation is a significant contributor</w:t>
            </w:r>
          </w:p>
        </w:tc>
      </w:tr>
      <w:tr>
        <w:tc>
          <w:tcPr>
            <w:tcW w:type="dxa" w:w="316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Patch size 2 (256 tokens)</w:t>
            </w:r>
          </w:p>
        </w:tc>
        <w:tc>
          <w:tcPr>
            <w:tcW w:type="dxa" w:w="115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~91.1 %</w:t>
            </w:r>
          </w:p>
        </w:tc>
        <w:tc>
          <w:tcPr>
            <w:tcW w:type="dxa" w:w="100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−0.8 %</w:t>
            </w:r>
          </w:p>
        </w:tc>
        <w:tc>
          <w:tcPr>
            <w:tcW w:type="dxa" w:w="4032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4× more compute; no accuracy benefit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Patch size 8 (16 tokens)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~90.5 %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−1.4 %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Too few tokens — spatial detail lost</w:t>
            </w:r>
          </w:p>
        </w:tc>
      </w:tr>
    </w:tbl>
    <w:p/>
    <w:p>
      <w:pPr>
        <w:pStyle w:val="Heading1"/>
      </w:pPr>
      <w:r>
        <w:rPr>
          <w:color w:val="1F3864"/>
        </w:rPr>
        <w:t>9. Figures</w:t>
      </w:r>
    </w:p>
    <w:p>
      <w:pPr>
        <w:spacing w:after="80"/>
      </w:pPr>
      <w:r>
        <w:rPr>
          <w:b w:val="0"/>
          <w:i w:val="0"/>
          <w:sz w:val="21"/>
        </w:rPr>
        <w:t>The following visualisations are available in the plots/ directory and are rendered interactively in the accompanying Jupyter notebook (Hybrid_CNN_ViT_CIFAR10_Study.ipynb):</w:t>
      </w:r>
    </w:p>
    <w:p>
      <w:pPr>
        <w:pStyle w:val="ListBullet"/>
        <w:spacing w:after="40"/>
      </w:pPr>
      <w:r>
        <w:rPr>
          <w:sz w:val="21"/>
        </w:rPr>
        <w:t>Figure 1 — Training and Validation Accuracy over 150 epochs (plots/full_training_dashboard.png)</w:t>
      </w:r>
    </w:p>
    <w:p>
      <w:pPr>
        <w:pStyle w:val="ListBullet"/>
        <w:spacing w:after="40"/>
      </w:pPr>
      <w:r>
        <w:rPr>
          <w:sz w:val="21"/>
        </w:rPr>
        <w:t>Figure 2 — Training and Validation Loss over 150 epochs (plots/full_training_dashboard.png)</w:t>
      </w:r>
    </w:p>
    <w:p>
      <w:pPr>
        <w:pStyle w:val="ListBullet"/>
        <w:spacing w:after="40"/>
      </w:pPr>
      <w:r>
        <w:rPr>
          <w:sz w:val="21"/>
        </w:rPr>
        <w:t>Figure 3 — All-experiments comparison: loss, accuracy, and generalisation gap (plots/all_experiments_comparison.png)</w:t>
      </w:r>
    </w:p>
    <w:p>
      <w:pPr>
        <w:pStyle w:val="ListBullet"/>
        <w:spacing w:after="40"/>
      </w:pPr>
      <w:r>
        <w:rPr>
          <w:sz w:val="21"/>
        </w:rPr>
        <w:t>Figure 4 — Confusion matrix (raw counts and row-normalised recall) (plots/confusion_matrix_annotated.png)</w:t>
      </w:r>
    </w:p>
    <w:p>
      <w:pPr>
        <w:pStyle w:val="ListBullet"/>
        <w:spacing w:after="40"/>
      </w:pPr>
      <w:r>
        <w:rPr>
          <w:sz w:val="21"/>
        </w:rPr>
        <w:t>Figure 5 — Per-class accuracy and F1-score bar charts (plots/per_class_performance.png)</w:t>
      </w:r>
    </w:p>
    <w:p>
      <w:pPr>
        <w:pStyle w:val="ListBullet"/>
        <w:spacing w:after="40"/>
      </w:pPr>
      <w:r>
        <w:rPr>
          <w:sz w:val="21"/>
        </w:rPr>
        <w:t>Figure 6 — Architecture accuracy progression waterfall chart (plots/architecture_progression.png)</w:t>
      </w:r>
    </w:p>
    <w:p>
      <w:pPr>
        <w:pStyle w:val="Heading1"/>
      </w:pPr>
      <w:r>
        <w:rPr>
          <w:color w:val="1F3864"/>
        </w:rPr>
        <w:t>10. Conclusion</w:t>
      </w:r>
    </w:p>
    <w:p>
      <w:pPr>
        <w:spacing w:after="80"/>
      </w:pPr>
      <w:r>
        <w:rPr>
          <w:b w:val="0"/>
          <w:i w:val="0"/>
          <w:sz w:val="21"/>
        </w:rPr>
        <w:t>Combining convolutional tokenisation (CNN stem), AdamW with OneCycleLR scheduling, EMA weight averaging, GELU activation, and robust regularisation (stochastic depth 0.1, dropout 0.1, RandAugment 2/9) yields consistent accuracy gains of +8–9 % on CIFAR-10 over the Keras baseline, achieving 91.87 % Top-1 accuracy with only ~6.8 M parameters, all trained from scratch.</w:t>
      </w:r>
    </w:p>
    <w:p>
      <w:pPr>
        <w:spacing w:after="80"/>
      </w:pPr>
      <w:r>
        <w:rPr>
          <w:b w:val="0"/>
          <w:i w:val="0"/>
          <w:sz w:val="21"/>
        </w:rPr>
        <w:t>Key conclusions:</w:t>
      </w:r>
    </w:p>
    <w:p>
      <w:pPr>
        <w:pStyle w:val="ListBullet"/>
        <w:spacing w:after="40"/>
      </w:pPr>
      <w:r>
        <w:rPr>
          <w:sz w:val="21"/>
        </w:rPr>
        <w:t>The CNN stem is the single most impactful component (−4.4 % if removed): pure patch projection fails at 32×32 resolution.</w:t>
      </w:r>
    </w:p>
    <w:p>
      <w:pPr>
        <w:pStyle w:val="ListBullet"/>
        <w:spacing w:after="40"/>
      </w:pPr>
      <w:r>
        <w:rPr>
          <w:sz w:val="21"/>
        </w:rPr>
        <w:t>EMA is a free +0.5 % improvement with no architectural cost — it should always be used.</w:t>
      </w:r>
    </w:p>
    <w:p>
      <w:pPr>
        <w:pStyle w:val="ListBullet"/>
        <w:spacing w:after="40"/>
      </w:pPr>
      <w:r>
        <w:rPr>
          <w:sz w:val="21"/>
        </w:rPr>
        <w:t>At 50 K training samples, Transformer depth=6 is the optimum; shallower underfits, deeper overfits.</w:t>
      </w:r>
    </w:p>
    <w:p>
      <w:pPr>
        <w:pStyle w:val="ListBullet"/>
        <w:spacing w:after="40"/>
      </w:pPr>
      <w:r>
        <w:rPr>
          <w:sz w:val="21"/>
        </w:rPr>
        <w:t>The remaining ~8 % error is concentrated in the cat/dog pair — an inherent limitation of 32×32 resolution, not addressable by architecture alone.</w:t>
      </w:r>
    </w:p>
    <w:p>
      <w:pPr>
        <w:pStyle w:val="ListBullet"/>
        <w:spacing w:after="40"/>
      </w:pPr>
      <w:r>
        <w:rPr>
          <w:sz w:val="21"/>
        </w:rPr>
        <w:t>Exp 2 → Exp 3 (+3.1 %): self-attention provides direct long-range patch interactions that chains of convolutions structurally cannot replicate.</w:t>
      </w:r>
    </w:p>
    <w:p>
      <w:pPr>
        <w:pStyle w:val="Heading2"/>
      </w:pPr>
      <w:r>
        <w:rPr>
          <w:color w:val="1F3864"/>
        </w:rPr>
        <w:t>10.1 Future Work</w:t>
      </w:r>
    </w:p>
    <w:p>
      <w:pPr>
        <w:spacing w:before="120" w:after="40"/>
        <w:jc w:val="left"/>
      </w:pPr>
      <w:r>
        <w:rPr>
          <w:b/>
          <w:i/>
          <w:sz w:val="19"/>
        </w:rPr>
        <w:t>Table 15. Proposed future improvements.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Impact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6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CutMix / Mixup augmentation</w:t>
            </w:r>
          </w:p>
        </w:tc>
        <w:tc>
          <w:tcPr>
            <w:tcW w:type="dxa" w:w="172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+2–4 %</w:t>
            </w:r>
          </w:p>
        </w:tc>
        <w:tc>
          <w:tcPr>
            <w:tcW w:type="dxa" w:w="432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Consistently pushes CIFAR-10 past 95 % in literature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Larger embed_dim (384 or 512)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+0.5–1.0 %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More expressive attention heads; offset overfit with stronger DropPath</w:t>
            </w:r>
          </w:p>
        </w:tc>
      </w:tr>
      <w:tr>
        <w:tc>
          <w:tcPr>
            <w:tcW w:type="dxa" w:w="316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Test-Time Augmentation (TTA)</w:t>
            </w:r>
          </w:p>
        </w:tc>
        <w:tc>
          <w:tcPr>
            <w:tcW w:type="dxa" w:w="172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+0.3–0.5 %</w:t>
            </w:r>
          </w:p>
        </w:tc>
        <w:tc>
          <w:tcPr>
            <w:tcW w:type="dxa" w:w="432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Ensemble over H-flipped and shifted crops at inference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Pre-training on CIFAR-100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+1–2 %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Same 32×32 resolution; 100-class pre-training then fine-tune</w:t>
            </w:r>
          </w:p>
        </w:tc>
      </w:tr>
      <w:tr>
        <w:tc>
          <w:tcPr>
            <w:tcW w:type="dxa" w:w="316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Knowledge Distillation</w:t>
            </w:r>
          </w:p>
        </w:tc>
        <w:tc>
          <w:tcPr>
            <w:tcW w:type="dxa" w:w="1728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+0.5–1.5 %</w:t>
            </w:r>
          </w:p>
        </w:tc>
        <w:tc>
          <w:tcPr>
            <w:tcW w:type="dxa" w:w="4320"/>
            <w:shd w:val="clear" w:color="auto" w:fill="EBF0F8"/>
          </w:tcPr>
          <w:p>
            <w:pPr>
              <w:jc w:val="left"/>
            </w:pPr>
            <w:r>
              <w:rPr>
                <w:sz w:val="19"/>
              </w:rPr>
              <w:t>Soft targets from WRN-28 or ResNet-110 teacher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DeiT-style training recipe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+1–3 %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Token distillation + AutoAugment + Mixup + RandomErasing</w:t>
            </w:r>
          </w:p>
        </w:tc>
      </w:tr>
    </w:tbl>
    <w:p/>
    <w:p>
      <w:pPr>
        <w:pStyle w:val="Heading1"/>
      </w:pPr>
      <w:r>
        <w:rPr>
          <w:color w:val="1F3864"/>
        </w:rPr>
        <w:t>References</w:t>
      </w:r>
    </w:p>
    <w:p>
      <w:pPr>
        <w:spacing w:after="60"/>
        <w:ind w:hanging="504" w:left="504"/>
      </w:pPr>
      <w:r>
        <w:rPr>
          <w:sz w:val="19"/>
        </w:rPr>
        <w:t>[1]  Dosovitskiy, A. et al. (2021). An Image is Worth 16x16 Words: Transformers for Image Recognition at Scale. ICLR 2021.</w:t>
      </w:r>
    </w:p>
    <w:p>
      <w:pPr>
        <w:spacing w:after="60"/>
        <w:ind w:hanging="504" w:left="504"/>
      </w:pPr>
      <w:r>
        <w:rPr>
          <w:sz w:val="19"/>
        </w:rPr>
        <w:t>[2]  He, K. et al. (2016). Deep Residual Learning for Image Recognition. CVPR 2016.</w:t>
      </w:r>
    </w:p>
    <w:p>
      <w:pPr>
        <w:spacing w:after="60"/>
        <w:ind w:hanging="504" w:left="504"/>
      </w:pPr>
      <w:r>
        <w:rPr>
          <w:sz w:val="19"/>
        </w:rPr>
        <w:t>[3]  Simonyan, K. &amp; Zisserman, A. (2015). Very Deep Convolutional Networks for Large-Scale Image Recognition. ICLR 2015.</w:t>
      </w:r>
    </w:p>
    <w:p>
      <w:pPr>
        <w:spacing w:after="60"/>
        <w:ind w:hanging="504" w:left="504"/>
      </w:pPr>
      <w:r>
        <w:rPr>
          <w:sz w:val="19"/>
        </w:rPr>
        <w:t>[4]  Touvron, H. et al. (2021). Training Data-Efficient Image Transformers (DeiT). ICML 2021.</w:t>
      </w:r>
    </w:p>
    <w:p>
      <w:pPr>
        <w:spacing w:after="60"/>
        <w:ind w:hanging="504" w:left="504"/>
      </w:pPr>
      <w:r>
        <w:rPr>
          <w:sz w:val="19"/>
        </w:rPr>
        <w:t>[5]  Huang, G. et al. (2016). Deep Networks with Stochastic Depth. ECCV 2016.</w:t>
      </w:r>
    </w:p>
    <w:p>
      <w:pPr>
        <w:spacing w:after="60"/>
        <w:ind w:hanging="504" w:left="504"/>
      </w:pPr>
      <w:r>
        <w:rPr>
          <w:sz w:val="19"/>
        </w:rPr>
        <w:t>[6]  Cubuk, E. D. et al. (2019). RandAugment: Practical Data Augmentation with No Separate Search. NeurIPS 2019.</w:t>
      </w:r>
    </w:p>
    <w:p>
      <w:pPr>
        <w:spacing w:after="60"/>
        <w:ind w:hanging="504" w:left="504"/>
      </w:pPr>
      <w:r>
        <w:rPr>
          <w:sz w:val="19"/>
        </w:rPr>
        <w:t>[7]  Loshchilov, I. &amp; Hutter, F. (2019). Decoupled Weight Decay Regularization (AdamW). ICLR 2019.</w:t>
      </w:r>
    </w:p>
    <w:p>
      <w:pPr>
        <w:spacing w:after="60"/>
        <w:ind w:hanging="504" w:left="504"/>
      </w:pPr>
      <w:r>
        <w:rPr>
          <w:sz w:val="19"/>
        </w:rPr>
        <w:t>[8]  Smith, L. N. &amp; Topin, N. (2019). Super-Convergence: Very Fast Training with Large Learning Rates. SMDE 2019.</w:t>
      </w:r>
    </w:p>
    <w:p>
      <w:pPr>
        <w:spacing w:after="60"/>
        <w:ind w:hanging="504" w:left="504"/>
      </w:pPr>
      <w:r>
        <w:rPr>
          <w:sz w:val="19"/>
        </w:rPr>
        <w:t>[9]  Krizhevsky, A. (2009). Learning Multiple Layers of Features from Tiny Images. Tech Report, University of Toronto.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