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commentRangeStart w:id="0"/>
      <w:r>
        <w:t>PRODUCT PLAN V2</w:t>
      </w:r>
      <w:commentRangeEnd w:id="0"/>
      <w:r>
        <w:commentReference w:id="0"/>
      </w:r>
    </w:p>
    <w:p>
      <w:pPr>
        <w:pStyle w:val="Meta"/>
      </w:pPr>
      <w:r>
        <w:t>BICAS Task Management SaaS • Bản kế hoạch triển khai chi tiết • Cập nhật 05/09/2026</w:t>
      </w:r>
    </w:p>
    <w:p>
      <w:pPr>
        <w:pStyle w:val="Subtitle"/>
      </w:pPr>
      <w:r>
        <w:t>Từ hệ thống Agile/Scrum nội bộ BICAS One đến nền tảng SaaS nhiều workspace, tự đăng ký và trả phí.</w:t>
      </w:r>
    </w:p>
    <w:p>
      <w:pPr>
        <w:pStyle w:val="Callout"/>
      </w:pPr>
      <w:r>
        <w:t>Mục tiêu: nâng cấp trên nền tảng BICAS V1, bảo toàn dữ liệu và nghiệp vụ hiện có; bổ sung tenant, account lifecycle, gói dịch vụ, thanh toán và vận hành SaaS.</w:t>
      </w:r>
    </w:p>
    <w:p>
      <w:pPr>
        <w:pStyle w:val="Heading2"/>
      </w:pPr>
      <w:r>
        <w:t>Cách dùng tài liệu</w:t>
      </w:r>
    </w:p>
    <w:p>
      <w:pPr>
        <w:pStyle w:val="PlanBullet"/>
        <w:numPr>
          <w:ilvl w:val="0"/>
          <w:numId w:val="80"/>
        </w:numPr>
      </w:pPr>
      <w:r>
        <w:t>Triển khai theo cổng nghiệm thu S0 → S1 → S2 → S3 → S4 → S5 → S6 → S7. Email, bảo mật và kiểm thử được làm ngay trong phase liên quan.</w:t>
      </w:r>
    </w:p>
    <w:p>
      <w:pPr>
        <w:pStyle w:val="PlanBullet"/>
        <w:numPr>
          <w:ilvl w:val="0"/>
          <w:numId w:val="80"/>
        </w:numPr>
      </w:pPr>
      <w:r>
        <w:t>Mỗi phase có công việc backend/frontend, quy tắc dữ liệu, ngoại lệ và đầu ra kiểm thử. Chỉ chuyển phase khi các điều kiện bắt buộc đã đạt.</w:t>
      </w:r>
    </w:p>
    <w:p>
      <w:pPr>
        <w:pStyle w:val="PlanBullet"/>
        <w:numPr>
          <w:ilvl w:val="0"/>
          <w:numId w:val="80"/>
        </w:numPr>
      </w:pPr>
      <w:r>
        <w:t>API, bảng và tên service trong bản này là thiết kế đích. Đối chiếu repository trước khi tạo mới; tái sử dụng cấu trúc, helper và migration thực tế.</w:t>
      </w:r>
    </w:p>
    <w:p>
      <w:pPr>
        <w:pStyle w:val="PlanBullet"/>
        <w:numPr>
          <w:ilvl w:val="0"/>
          <w:numId w:val="80"/>
        </w:numPr>
      </w:pPr>
      <w:r>
        <w:t>Các giá trị trial, quota, retention và thời lượng triển khai là đề xuất có thể cấu hình; không phải chính sách thương mại đã được chủ sản phẩm phê duyệt.</w:t>
      </w:r>
    </w:p>
    <w:p>
      <w:pPr>
        <w:pStyle w:val="Heading2"/>
      </w:pPr>
      <w:r>
        <w:t>Thay đổi so với bản gửi kèm</w:t>
      </w:r>
    </w:p>
    <w:p>
      <w:r>
        <w:t>Hợp nhất phần Product Plan và phần “đồng bộ với bối cảnh dự án” thành một kế hoạch duy nhất, giữ các phase S1–S7. Bổ sung S0 kiểm chứng baseline, phân quyền chi tiết, chuyển dữ liệu, cơ chế quota, vòng đời thuê bao, lịch triển khai và checklist release. Các đoạn trùng, sơ đồ ký tự và trạng thái mâu thuẫn được thay bằng quy tắc thống nhất.</w:t>
      </w:r>
    </w:p>
    <w:p>
      <w:pPr>
        <w:pStyle w:val="Meta"/>
      </w:pPr>
      <w:r>
        <w:t>Phạm vi xác nhận: đây là bản thiết kế thực hiện, chưa phải báo cáo kiểm toán mã nguồn hoặc xác nhận V1/V2 đã chạy production.</w:t>
      </w:r>
    </w:p>
    <w:p>
      <w:pPr>
        <w:pStyle w:val="Heading1"/>
        <w:pageBreakBefore/>
      </w:pPr>
      <w:r>
        <w:t>01. Baseline V1 và phạm vi V2</w:t>
      </w:r>
    </w:p>
    <w:p>
      <w:pPr>
        <w:pStyle w:val="Meta"/>
      </w:pPr>
      <w:r>
        <w:t>Nguồn chính: bản V2 người dùng gửi trong lượt này; thông tin cũ chỉ dùng để đối chiếu.</w:t>
      </w:r>
    </w:p>
    <w:p>
      <w:pPr>
        <w:pStyle w:val="Heading2"/>
      </w:pPr>
      <w:r>
        <w:t>Những gì bản nguồn ghi nhận đã có</w:t>
      </w:r>
    </w:p>
    <w:p>
      <w:pPr>
        <w:pStyle w:val="PlanBullet"/>
        <w:numPr>
          <w:ilvl w:val="0"/>
          <w:numId w:val="80"/>
        </w:numPr>
      </w:pPr>
      <w:r>
        <w:t>JWT, refresh rotation, revoke session, logout-all, disable user; Project/Member/Role, Backlog, Sprint, Task/Kanban, Comment và Time Log.</w:t>
      </w:r>
    </w:p>
    <w:p>
      <w:pPr>
        <w:pStyle w:val="PlanBullet"/>
        <w:numPr>
          <w:ilvl w:val="0"/>
          <w:numId w:val="80"/>
        </w:numPr>
      </w:pPr>
      <w:r>
        <w:t>Notification, Activity, Dashboard, Bug, Attachment, Search, import Excel atomic, báo cáo Excel/PDF, Analytics và Admin/Audit.</w:t>
      </w:r>
    </w:p>
    <w:p>
      <w:pPr>
        <w:pStyle w:val="PlanBullet"/>
        <w:numPr>
          <w:ilvl w:val="0"/>
          <w:numId w:val="80"/>
        </w:numPr>
      </w:pPr>
      <w:r>
        <w:t>WebSocket, scheduler, Redis cache/invalidation, validation, rate limit, OpenAPI, Docker/env; AI Meeting Assistant và link Google Meet nhập thủ công.</w:t>
      </w:r>
    </w:p>
    <w:p>
      <w:r>
        <w:t>Giữ các thông tin này ở trạng thái “nguồn khai báo đã có – cần xác minh tại S0”. Không kết luận thiếu module chỉ vì tài liệu V1 ngày 10/08 cũ hơn ghi Phase 5 chưa làm.</w:t>
      </w:r>
    </w:p>
    <w:p>
      <w:pPr>
        <w:pStyle w:val="Heading2"/>
      </w:pPr>
      <w:r>
        <w:t>Giới hạn baseline được giữ lại</w:t>
      </w:r>
    </w:p>
    <w:p>
      <w:pPr>
        <w:pStyle w:val="PlanBullet"/>
        <w:numPr>
          <w:ilvl w:val="0"/>
          <w:numId w:val="80"/>
        </w:numPr>
      </w:pPr>
      <w:r>
        <w:t>Action Items mới là đề xuất; V2 bổ sung confirm tạo Task sau khi người dùng xem lại và backend kiểm tra quyền.</w:t>
      </w:r>
    </w:p>
    <w:p>
      <w:pPr>
        <w:pStyle w:val="PlanBullet"/>
        <w:numPr>
          <w:ilvl w:val="0"/>
          <w:numId w:val="80"/>
        </w:numPr>
      </w:pPr>
      <w:r>
        <w:t>Google Meet chưa tích hợp Calendar/OAuth; tiếp tục nhập link thủ công. Tích hợp tự tạo lịch là hạng mục V2.1 sau release, không chặn MVP.</w:t>
      </w:r>
    </w:p>
    <w:p>
      <w:pPr>
        <w:pStyle w:val="PlanBullet"/>
        <w:numPr>
          <w:ilvl w:val="0"/>
          <w:numId w:val="80"/>
        </w:numPr>
      </w:pPr>
      <w:r>
        <w:t>Biểu đồ cần dữ liệu lịch sử đủ; không suy diễn biểu đồ quá khứ từ trạng thái Task hiện tại rồi trình bày như số liệu chính xác.</w:t>
      </w:r>
    </w:p>
    <w:p>
      <w:pPr>
        <w:pStyle w:val="Heading2"/>
      </w:pPr>
      <w:r>
        <w:t>Phạm vi release</w:t>
      </w:r>
    </w:p>
    <w:tbl>
      <w:tblPr>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CBD5E1"/>
          <w:left w:val="single" w:sz="4" w:color="CBD5E1"/>
          <w:bottom w:val="single" w:sz="4" w:color="CBD5E1"/>
          <w:right w:val="single" w:sz="4" w:color="CBD5E1"/>
          <w:insideH w:val="single" w:sz="4" w:color="CBD5E1"/>
          <w:insideV w:val="single" w:sz="4" w:color="CBD5E1"/>
        </w:tblBorders>
      </w:tblPr>
      <w:tblGrid>
        <w:gridCol w:w="4680"/>
        <w:gridCol w:w="4680"/>
      </w:tblGrid>
      <w:tr>
        <w:trPr>
          <w:cantSplit/>
          <w:tblHeader/>
        </w:trPr>
        <w:tc>
          <w:tcPr>
            <w:tcW w:type="dxa" w:w="4680"/>
            <w:shd w:fill="E8EEF5"/>
          </w:tcPr>
          <w:p>
            <w:pPr>
              <w:pStyle w:val="TableText"/>
            </w:pPr>
            <w:r>
              <w:rPr>
                <w:b/>
              </w:rPr>
              <w:t>Bắt buộc V2.0</w:t>
            </w:r>
          </w:p>
        </w:tc>
        <w:tc>
          <w:tcPr>
            <w:tcW w:type="dxa" w:w="4680"/>
            <w:shd w:fill="E8EEF5"/>
          </w:tcPr>
          <w:p>
            <w:pPr>
              <w:pStyle w:val="TableText"/>
            </w:pPr>
            <w:r>
              <w:rPr>
                <w:b/>
              </w:rPr>
              <w:t>Có thể sau V2.0</w:t>
            </w:r>
          </w:p>
        </w:tc>
      </w:tr>
      <w:tr>
        <w:trPr>
          <w:cantSplit/>
        </w:trPr>
        <w:tc>
          <w:tcPr>
            <w:tcW w:type="dxa" w:w="4680"/>
          </w:tcPr>
          <w:p>
            <w:pPr>
              <w:pStyle w:val="TableText"/>
            </w:pPr>
            <w:r>
              <w:t>Workspace, auth public, tenant isolation; Free/Pro/trial; billing và quản trị tối thiểu</w:t>
            </w:r>
          </w:p>
        </w:tc>
        <w:tc>
          <w:tcPr>
            <w:tcW w:type="dxa" w:w="4680"/>
          </w:tcPr>
          <w:p>
            <w:pPr>
              <w:pStyle w:val="TableText"/>
            </w:pPr>
            <w:r>
              <w:t>Business self-service, coupon, proration nâng cao, nhiều cổng thanh toán</w:t>
            </w:r>
          </w:p>
        </w:tc>
      </w:tr>
      <w:tr>
        <w:trPr>
          <w:cantSplit/>
        </w:trPr>
        <w:tc>
          <w:tcPr>
            <w:tcW w:type="dxa" w:w="4680"/>
          </w:tcPr>
          <w:p>
            <w:pPr>
              <w:pStyle w:val="TableText"/>
            </w:pPr>
            <w:r>
              <w:t>Tenant-scope mọi module V1 đang bật; quota, bảo mật, migration và restore</w:t>
            </w:r>
          </w:p>
        </w:tc>
        <w:tc>
          <w:tcPr>
            <w:tcW w:type="dxa" w:w="4680"/>
          </w:tcPr>
          <w:p>
            <w:pPr>
              <w:pStyle w:val="TableText"/>
            </w:pPr>
            <w:r>
              <w:t>SSO/SCIM, custom domain, tự tạo Google Meet qua OAuth</w:t>
            </w:r>
          </w:p>
        </w:tc>
      </w:tr>
      <w:tr>
        <w:trPr>
          <w:cantSplit/>
        </w:trPr>
        <w:tc>
          <w:tcPr>
            <w:tcW w:type="dxa" w:w="4680"/>
          </w:tcPr>
          <w:p>
            <w:pPr>
              <w:pStyle w:val="TableText"/>
            </w:pPr>
            <w:r>
              <w:t>AI đang cung cấp phải có quyền và hạn mức; confirm action item nếu công bố chức năng</w:t>
            </w:r>
          </w:p>
        </w:tc>
        <w:tc>
          <w:tcPr>
            <w:tcW w:type="dxa" w:w="4680"/>
          </w:tcPr>
          <w:p>
            <w:pPr>
              <w:pStyle w:val="TableText"/>
            </w:pPr>
            <w:r>
              <w:t>AI tự động thực thi nhiều bước, analytics mới ngoài baseline</w:t>
            </w:r>
          </w:p>
        </w:tc>
      </w:tr>
    </w:tbl>
    <w:p>
      <w:pPr>
        <w:pStyle w:val="Meta"/>
      </w:pPr>
      <w:r>
        <w:t>Không gỡ module V1 để đạt lịch. Module chưa kiểm chứng được giữ sau feature flag và không công bố đã sẵn sàng. “Time Log” được gọi là ghi nhận thời gian theo Task, không tự đổi thành chấm công nhân sự.</w:t>
      </w:r>
    </w:p>
    <w:p>
      <w:pPr>
        <w:pStyle w:val="Heading1"/>
        <w:pageBreakBefore/>
      </w:pPr>
      <w:r>
        <w:t>02. Quyết định sản phẩm và cấu hình</w:t>
      </w:r>
    </w:p>
    <w:p>
      <w:pPr>
        <w:pStyle w:val="Meta"/>
      </w:pPr>
      <w:r>
        <w:t>Đề xuất mặc định để đội phát triển có thể triển khai; chốt trước mở thanh toán thật.</w:t>
      </w:r>
    </w:p>
    <w:tbl>
      <w:tblPr>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CBD5E1"/>
          <w:left w:val="single" w:sz="4" w:color="CBD5E1"/>
          <w:bottom w:val="single" w:sz="4" w:color="CBD5E1"/>
          <w:right w:val="single" w:sz="4" w:color="CBD5E1"/>
          <w:insideH w:val="single" w:sz="4" w:color="CBD5E1"/>
          <w:insideV w:val="single" w:sz="4" w:color="CBD5E1"/>
        </w:tblBorders>
      </w:tblPr>
      <w:tblGrid>
        <w:gridCol w:w="700"/>
        <w:gridCol w:w="6910"/>
        <w:gridCol w:w="1750"/>
      </w:tblGrid>
      <w:tr>
        <w:trPr>
          <w:cantSplit/>
          <w:tblHeader/>
        </w:trPr>
        <w:tc>
          <w:tcPr>
            <w:tcW w:type="dxa" w:w="700"/>
            <w:shd w:fill="E8EEF5"/>
          </w:tcPr>
          <w:p>
            <w:pPr>
              <w:pStyle w:val="TableText"/>
            </w:pPr>
            <w:r>
              <w:rPr>
                <w:b/>
              </w:rPr>
              <w:t>Mã</w:t>
            </w:r>
          </w:p>
        </w:tc>
        <w:tc>
          <w:tcPr>
            <w:tcW w:type="dxa" w:w="6910"/>
            <w:shd w:fill="E8EEF5"/>
          </w:tcPr>
          <w:p>
            <w:pPr>
              <w:pStyle w:val="TableText"/>
            </w:pPr>
            <w:r>
              <w:rPr>
                <w:b/>
              </w:rPr>
              <w:t>Quyết định đề xuất</w:t>
            </w:r>
          </w:p>
        </w:tc>
        <w:tc>
          <w:tcPr>
            <w:tcW w:type="dxa" w:w="1750"/>
            <w:shd w:fill="E8EEF5"/>
          </w:tcPr>
          <w:p>
            <w:pPr>
              <w:pStyle w:val="TableText"/>
            </w:pPr>
            <w:r>
              <w:rPr>
                <w:b/>
              </w:rPr>
              <w:t>Cổng chốt</w:t>
            </w:r>
          </w:p>
        </w:tc>
      </w:tr>
      <w:tr>
        <w:trPr>
          <w:cantSplit/>
        </w:trPr>
        <w:tc>
          <w:tcPr>
            <w:tcW w:type="dxa" w:w="700"/>
          </w:tcPr>
          <w:p>
            <w:pPr>
              <w:pStyle w:val="TableText"/>
            </w:pPr>
            <w:r>
              <w:t>D01</w:t>
            </w:r>
          </w:p>
        </w:tc>
        <w:tc>
          <w:tcPr>
            <w:tcW w:type="dxa" w:w="6910"/>
          </w:tcPr>
          <w:p>
            <w:pPr>
              <w:pStyle w:val="TableText"/>
            </w:pPr>
            <w:r>
              <w:t>Tenant = workspace; user thuộc nhiều workspace; mỗi workspace một subscription hiện tại</w:t>
            </w:r>
          </w:p>
        </w:tc>
        <w:tc>
          <w:tcPr>
            <w:tcW w:type="dxa" w:w="1750"/>
          </w:tcPr>
          <w:p>
            <w:pPr>
              <w:pStyle w:val="TableText"/>
            </w:pPr>
            <w:r>
              <w:t>S1</w:t>
            </w:r>
          </w:p>
        </w:tc>
      </w:tr>
      <w:tr>
        <w:trPr>
          <w:cantSplit/>
        </w:trPr>
        <w:tc>
          <w:tcPr>
            <w:tcW w:type="dxa" w:w="700"/>
          </w:tcPr>
          <w:p>
            <w:pPr>
              <w:pStyle w:val="TableText"/>
            </w:pPr>
            <w:r>
              <w:t>D02</w:t>
            </w:r>
          </w:p>
        </w:tc>
        <w:tc>
          <w:tcPr>
            <w:tcW w:type="dxa" w:w="6910"/>
          </w:tcPr>
          <w:p>
            <w:pPr>
              <w:pStyle w:val="TableText"/>
            </w:pPr>
            <w:r>
              <w:t>Giữ Spring Boot modular monolith, PostgreSQL, Redis và stack FE đang dùng</w:t>
            </w:r>
          </w:p>
        </w:tc>
        <w:tc>
          <w:tcPr>
            <w:tcW w:type="dxa" w:w="1750"/>
          </w:tcPr>
          <w:p>
            <w:pPr>
              <w:pStyle w:val="TableText"/>
            </w:pPr>
            <w:r>
              <w:t>S0</w:t>
            </w:r>
          </w:p>
        </w:tc>
      </w:tr>
      <w:tr>
        <w:trPr>
          <w:cantSplit/>
        </w:trPr>
        <w:tc>
          <w:tcPr>
            <w:tcW w:type="dxa" w:w="700"/>
          </w:tcPr>
          <w:p>
            <w:pPr>
              <w:pStyle w:val="TableText"/>
            </w:pPr>
            <w:r>
              <w:t>D03</w:t>
            </w:r>
          </w:p>
        </w:tc>
        <w:tc>
          <w:tcPr>
            <w:tcW w:type="dxa" w:w="6910"/>
          </w:tcPr>
          <w:p>
            <w:pPr>
              <w:pStyle w:val="TableText"/>
            </w:pPr>
            <w:r>
              <w:t>Thu phí cố định theo workspace/gói; chưa tính tiền từng seat trong MVP</w:t>
            </w:r>
          </w:p>
        </w:tc>
        <w:tc>
          <w:tcPr>
            <w:tcW w:type="dxa" w:w="1750"/>
          </w:tcPr>
          <w:p>
            <w:pPr>
              <w:pStyle w:val="TableText"/>
            </w:pPr>
            <w:r>
              <w:t>S3</w:t>
            </w:r>
          </w:p>
        </w:tc>
      </w:tr>
      <w:tr>
        <w:trPr>
          <w:cantSplit/>
        </w:trPr>
        <w:tc>
          <w:tcPr>
            <w:tcW w:type="dxa" w:w="700"/>
          </w:tcPr>
          <w:p>
            <w:pPr>
              <w:pStyle w:val="TableText"/>
            </w:pPr>
            <w:r>
              <w:t>D04</w:t>
            </w:r>
          </w:p>
        </w:tc>
        <w:tc>
          <w:tcPr>
            <w:tcW w:type="dxa" w:w="6910"/>
          </w:tcPr>
          <w:p>
            <w:pPr>
              <w:pStyle w:val="TableText"/>
            </w:pPr>
            <w:r>
              <w:t>Free và Pro self-service; Business dùng cấu hình riêng hoặc liên hệ, chưa công bố giá giả</w:t>
            </w:r>
          </w:p>
        </w:tc>
        <w:tc>
          <w:tcPr>
            <w:tcW w:type="dxa" w:w="1750"/>
          </w:tcPr>
          <w:p>
            <w:pPr>
              <w:pStyle w:val="TableText"/>
            </w:pPr>
            <w:r>
              <w:t>S3</w:t>
            </w:r>
          </w:p>
        </w:tc>
      </w:tr>
      <w:tr>
        <w:trPr>
          <w:cantSplit/>
        </w:trPr>
        <w:tc>
          <w:tcPr>
            <w:tcW w:type="dxa" w:w="700"/>
          </w:tcPr>
          <w:p>
            <w:pPr>
              <w:pStyle w:val="TableText"/>
            </w:pPr>
            <w:r>
              <w:t>D05</w:t>
            </w:r>
          </w:p>
        </w:tc>
        <w:tc>
          <w:tcPr>
            <w:tcW w:type="dxa" w:w="6910"/>
          </w:tcPr>
          <w:p>
            <w:pPr>
              <w:pStyle w:val="TableText"/>
            </w:pPr>
            <w:r>
              <w:t>Trial Pro 14 ngày/workspace, kích hoạt chủ động một lần; không yêu cầu thẻ</w:t>
            </w:r>
          </w:p>
        </w:tc>
        <w:tc>
          <w:tcPr>
            <w:tcW w:type="dxa" w:w="1750"/>
          </w:tcPr>
          <w:p>
            <w:pPr>
              <w:pStyle w:val="TableText"/>
            </w:pPr>
            <w:r>
              <w:t>S3</w:t>
            </w:r>
          </w:p>
        </w:tc>
      </w:tr>
      <w:tr>
        <w:trPr>
          <w:cantSplit/>
        </w:trPr>
        <w:tc>
          <w:tcPr>
            <w:tcW w:type="dxa" w:w="700"/>
          </w:tcPr>
          <w:p>
            <w:pPr>
              <w:pStyle w:val="TableText"/>
            </w:pPr>
            <w:r>
              <w:t>D06</w:t>
            </w:r>
          </w:p>
        </w:tc>
        <w:tc>
          <w:tcPr>
            <w:tcW w:type="dxa" w:w="6910"/>
          </w:tcPr>
          <w:p>
            <w:pPr>
              <w:pStyle w:val="TableText"/>
            </w:pPr>
            <w:r>
              <w:t>Grace gia hạn 3 ngày; hủy tự gia hạn vẫn dùng hết kỳ đã trả</w:t>
            </w:r>
          </w:p>
        </w:tc>
        <w:tc>
          <w:tcPr>
            <w:tcW w:type="dxa" w:w="1750"/>
          </w:tcPr>
          <w:p>
            <w:pPr>
              <w:pStyle w:val="TableText"/>
            </w:pPr>
            <w:r>
              <w:t>S4</w:t>
            </w:r>
          </w:p>
        </w:tc>
      </w:tr>
      <w:tr>
        <w:trPr>
          <w:cantSplit/>
        </w:trPr>
        <w:tc>
          <w:tcPr>
            <w:tcW w:type="dxa" w:w="700"/>
          </w:tcPr>
          <w:p>
            <w:pPr>
              <w:pStyle w:val="TableText"/>
            </w:pPr>
            <w:r>
              <w:t>D07</w:t>
            </w:r>
          </w:p>
        </w:tc>
        <w:tc>
          <w:tcPr>
            <w:tcW w:type="dxa" w:w="6910"/>
          </w:tcPr>
          <w:p>
            <w:pPr>
              <w:pStyle w:val="TableText"/>
            </w:pPr>
            <w:r>
              <w:t>Giá, tiền tệ, nhà cung cấp payment/email/storage phải được điền từ cấu hình thật</w:t>
            </w:r>
          </w:p>
        </w:tc>
        <w:tc>
          <w:tcPr>
            <w:tcW w:type="dxa" w:w="1750"/>
          </w:tcPr>
          <w:p>
            <w:pPr>
              <w:pStyle w:val="TableText"/>
            </w:pPr>
            <w:r>
              <w:t>Trước S4 live</w:t>
            </w:r>
          </w:p>
        </w:tc>
      </w:tr>
      <w:tr>
        <w:trPr>
          <w:cantSplit/>
        </w:trPr>
        <w:tc>
          <w:tcPr>
            <w:tcW w:type="dxa" w:w="700"/>
          </w:tcPr>
          <w:p>
            <w:pPr>
              <w:pStyle w:val="TableText"/>
            </w:pPr>
            <w:r>
              <w:t>D08</w:t>
            </w:r>
          </w:p>
        </w:tc>
        <w:tc>
          <w:tcPr>
            <w:tcW w:type="dxa" w:w="6910"/>
          </w:tcPr>
          <w:p>
            <w:pPr>
              <w:pStyle w:val="TableText"/>
            </w:pPr>
            <w:r>
              <w:t>Hạ gói hiệu lực cuối kỳ; quá hạn về Free và áp dụng chế độ vượt quota</w:t>
            </w:r>
          </w:p>
        </w:tc>
        <w:tc>
          <w:tcPr>
            <w:tcW w:type="dxa" w:w="1750"/>
          </w:tcPr>
          <w:p>
            <w:pPr>
              <w:pStyle w:val="TableText"/>
            </w:pPr>
            <w:r>
              <w:t>S4</w:t>
            </w:r>
          </w:p>
        </w:tc>
      </w:tr>
      <w:tr>
        <w:trPr>
          <w:cantSplit/>
        </w:trPr>
        <w:tc>
          <w:tcPr>
            <w:tcW w:type="dxa" w:w="700"/>
          </w:tcPr>
          <w:p>
            <w:pPr>
              <w:pStyle w:val="TableText"/>
            </w:pPr>
            <w:r>
              <w:t>D09</w:t>
            </w:r>
          </w:p>
        </w:tc>
        <w:tc>
          <w:tcPr>
            <w:tcW w:type="dxa" w:w="6910"/>
          </w:tcPr>
          <w:p>
            <w:pPr>
              <w:pStyle w:val="TableText"/>
            </w:pPr>
            <w:r>
              <w:t>Owner quản lý billing; Workspace Admin quản lý thành viên, không tự mua gói</w:t>
            </w:r>
          </w:p>
        </w:tc>
        <w:tc>
          <w:tcPr>
            <w:tcW w:type="dxa" w:w="1750"/>
          </w:tcPr>
          <w:p>
            <w:pPr>
              <w:pStyle w:val="TableText"/>
            </w:pPr>
            <w:r>
              <w:t>S1</w:t>
            </w:r>
          </w:p>
        </w:tc>
      </w:tr>
      <w:tr>
        <w:trPr>
          <w:cantSplit/>
        </w:trPr>
        <w:tc>
          <w:tcPr>
            <w:tcW w:type="dxa" w:w="700"/>
          </w:tcPr>
          <w:p>
            <w:pPr>
              <w:pStyle w:val="TableText"/>
            </w:pPr>
            <w:r>
              <w:t>D10</w:t>
            </w:r>
          </w:p>
        </w:tc>
        <w:tc>
          <w:tcPr>
            <w:tcW w:type="dxa" w:w="6910"/>
          </w:tcPr>
          <w:p>
            <w:pPr>
              <w:pStyle w:val="TableText"/>
            </w:pPr>
            <w:r>
              <w:t>Không xóa dữ liệu chỉ vì hết hạn; xóa workspace có thời gian chờ đề xuất 30 ngày</w:t>
            </w:r>
          </w:p>
        </w:tc>
        <w:tc>
          <w:tcPr>
            <w:tcW w:type="dxa" w:w="1750"/>
          </w:tcPr>
          <w:p>
            <w:pPr>
              <w:pStyle w:val="TableText"/>
            </w:pPr>
            <w:r>
              <w:t>S7</w:t>
            </w:r>
          </w:p>
        </w:tc>
      </w:tr>
    </w:tbl>
    <w:p>
      <w:pPr>
        <w:pStyle w:val="Heading2"/>
      </w:pPr>
      <w:r>
        <w:t>Những việc không được tự suy đoán</w:t>
      </w:r>
    </w:p>
    <w:p>
      <w:pPr>
        <w:pStyle w:val="PlanBullet"/>
        <w:numPr>
          <w:ilvl w:val="0"/>
          <w:numId w:val="80"/>
        </w:numPr>
      </w:pPr>
      <w:r>
        <w:t>Không bịa giá bán, tiền tệ, khả năng auto-renew hoặc điều kiện mở tài khoản của cổng thanh toán. Nếu cổng chỉ hỗ trợ thanh toán từng lần, UI dùng “gia hạn thủ công”.</w:t>
      </w:r>
    </w:p>
    <w:p>
      <w:pPr>
        <w:pStyle w:val="PlanBullet"/>
        <w:numPr>
          <w:ilvl w:val="0"/>
          <w:numId w:val="80"/>
        </w:numPr>
      </w:pPr>
      <w:r>
        <w:t>Không coi biên nhận billing nội bộ là hóa đơn điện tử hợp lệ. Phần phát hành hóa đơn theo yêu cầu kinh doanh được chốt riêng trước mở bán.</w:t>
      </w:r>
    </w:p>
    <w:p>
      <w:pPr>
        <w:pStyle w:val="PlanBullet"/>
        <w:numPr>
          <w:ilvl w:val="0"/>
          <w:numId w:val="80"/>
        </w:numPr>
      </w:pPr>
      <w:r>
        <w:t>Chưa biết nguồn lực thực tế: roadmap ở cuối tài liệu là ước lượng để lập kế hoạch, không giữ mốc 12/2026 như một cam kết chắc chắn.</w:t>
      </w:r>
    </w:p>
    <w:p>
      <w:pPr>
        <w:pStyle w:val="Heading1"/>
        <w:pageBreakBefore/>
      </w:pPr>
      <w:r>
        <w:t>03. Kiến trúc và tenant context</w:t>
      </w:r>
    </w:p>
    <w:p>
      <w:pPr>
        <w:pStyle w:val="Meta"/>
      </w:pPr>
      <w:r>
        <w:t>Áp dụng cho API đồng bộ, file, realtime, cache, worker và AI.</w:t>
      </w:r>
    </w:p>
    <w:p>
      <w:pPr>
        <w:pStyle w:val="Heading2"/>
      </w:pPr>
      <w:r>
        <w:t>Mô hình dữ liệu và quyền</w:t>
      </w:r>
    </w:p>
    <w:p>
      <w:r>
        <w:t>User là danh tính toàn nền tảng. Workspace chứa membership, Project, subscription và usage. Project giữ các role nghiệp vụ Agile. Plan chỉ cho phép tính năng; quyền người dùng vẫn phải được kiểm tra riêng. [R1]</w:t>
      </w:r>
    </w:p>
    <w:p>
      <w:pPr>
        <w:pStyle w:val="Heading2"/>
      </w:pPr>
      <w:r>
        <w:t>Luồng xử lý mỗi request</w:t>
      </w:r>
    </w:p>
    <w:p>
      <w:pPr>
        <w:pStyle w:val="PlanBullet"/>
        <w:numPr>
          <w:ilvl w:val="0"/>
          <w:numId w:val="80"/>
        </w:numPr>
      </w:pPr>
      <w:r>
        <w:t>Xác thực user hiện hoạt động. Với đường dẫn /workspaces/{workspaceId}, coi ID là bộ chọn; backend kiểm tra membership và workspace status bằng dữ liệu tin cậy.</w:t>
      </w:r>
    </w:p>
    <w:p>
      <w:pPr>
        <w:pStyle w:val="PlanBullet"/>
        <w:numPr>
          <w:ilvl w:val="0"/>
          <w:numId w:val="80"/>
        </w:numPr>
      </w:pPr>
      <w:r>
        <w:t>Với API cũ /projects/{projectId}, tải Project theo truy vấn có phạm vi được phép rồi suy ra workspace; xác nhận các ID con cùng workspace và đúng quan hệ cha.</w:t>
      </w:r>
    </w:p>
    <w:p>
      <w:pPr>
        <w:pStyle w:val="PlanBullet"/>
        <w:numPr>
          <w:ilvl w:val="0"/>
          <w:numId w:val="80"/>
        </w:numPr>
      </w:pPr>
      <w:r>
        <w:t>Kiểm tra workspace role → project membership/role → trạng thái tài nguyên → entitlement/quota → thực thi transaction. Quyền không hợp lệ phải bị chặn cả khi gọi thẳng API.</w:t>
      </w:r>
    </w:p>
    <w:p>
      <w:pPr>
        <w:pStyle w:val="PlanBullet"/>
        <w:numPr>
          <w:ilvl w:val="0"/>
          <w:numId w:val="80"/>
        </w:numPr>
      </w:pPr>
      <w:r>
        <w:t>Context tenant chỉ tồn tại trong phạm vi request/transaction. Không lưu “workspace hiện tại” toàn cục cho user khiến hai tab truy cập nhầm workspace. Luôn clear context sau xử lý.</w:t>
      </w:r>
    </w:p>
    <w:p>
      <w:pPr>
        <w:pStyle w:val="Heading2"/>
      </w:pPr>
      <w:r>
        <w:t>Các đường dễ bỏ sót</w:t>
      </w:r>
    </w:p>
    <w:p>
      <w:pPr>
        <w:pStyle w:val="PlanBullet"/>
        <w:numPr>
          <w:ilvl w:val="0"/>
          <w:numId w:val="80"/>
        </w:numPr>
      </w:pPr>
      <w:r>
        <w:t>Cache key gồm workspaceId, resourceId và bộ lọc; dữ liệu theo người cần thêm userId hoặc phạm vi quyền. Thu hồi membership phải vô hiệu quyền/cached response liên quan.</w:t>
      </w:r>
    </w:p>
    <w:p>
      <w:pPr>
        <w:pStyle w:val="PlanBullet"/>
        <w:numPr>
          <w:ilvl w:val="0"/>
          <w:numId w:val="80"/>
        </w:numPr>
      </w:pPr>
      <w:r>
        <w:t>WebSocket kiểm tra CONNECT và SUBSCRIBE theo topic workspace/project; khi thu hồi quyền phải ngắt hoặc chặn gửi ngay. Không tin topic do client tự chọn.</w:t>
      </w:r>
    </w:p>
    <w:p>
      <w:pPr>
        <w:pStyle w:val="PlanBullet"/>
        <w:numPr>
          <w:ilvl w:val="0"/>
          <w:numId w:val="80"/>
        </w:numPr>
      </w:pPr>
      <w:r>
        <w:t>Worker/outbox mang workspaceId và actorId; kiểm tra lại quyền khi công việc chạy. File key tách workspace; tải file qua kiểm tra quyền hoặc URL ký ngắn hạn.</w:t>
      </w:r>
    </w:p>
    <w:p>
      <w:pPr>
        <w:pStyle w:val="PlanBullet"/>
        <w:numPr>
          <w:ilvl w:val="0"/>
          <w:numId w:val="80"/>
        </w:numPr>
      </w:pPr>
      <w:r>
        <w:t>Search, report, dashboard, AI retrieval đều giới hạn dữ liệu từ đầu truy vấn. Không lấy dữ liệu tất cả workspace rồi lọc ở frontend.</w:t>
      </w:r>
    </w:p>
    <w:p>
      <w:pPr>
        <w:pStyle w:val="Heading2"/>
      </w:pPr>
      <w:r>
        <w:t>Quy ước triển khai</w:t>
      </w:r>
    </w:p>
    <w:p>
      <w:r>
        <w:t>Giữ package com.project.taskmanagement và cấu trúc hiện có. Controller gọi service; DTO record; service interface/impl; ID theo base entity; migration bổ sung. Có thể thêm WorkspaceAccessService, EntitlementService, UsageReservationService sau khi kiểm tra chưa có helper tương đương.</w:t>
      </w:r>
    </w:p>
    <w:p>
      <w:pPr>
        <w:pStyle w:val="Heading1"/>
        <w:pageBreakBefore/>
      </w:pPr>
      <w:r>
        <w:t>04. Ma trận quyền ba tầng</w:t>
      </w:r>
    </w:p>
    <w:p>
      <w:pPr>
        <w:pStyle w:val="Meta"/>
      </w:pPr>
      <w:r>
        <w:t>Quyền hiệu lực = quyền workspace ∩ quyền project ∩ entitlement ∩ trạng thái tài nguyên.</w:t>
      </w:r>
    </w:p>
    <w:tbl>
      <w:tblPr>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CBD5E1"/>
          <w:left w:val="single" w:sz="4" w:color="CBD5E1"/>
          <w:bottom w:val="single" w:sz="4" w:color="CBD5E1"/>
          <w:right w:val="single" w:sz="4" w:color="CBD5E1"/>
          <w:insideH w:val="single" w:sz="4" w:color="CBD5E1"/>
          <w:insideV w:val="single" w:sz="4" w:color="CBD5E1"/>
        </w:tblBorders>
      </w:tblPr>
      <w:tblGrid>
        <w:gridCol w:w="4200"/>
        <w:gridCol w:w="1290"/>
        <w:gridCol w:w="1290"/>
        <w:gridCol w:w="1290"/>
        <w:gridCol w:w="1290"/>
      </w:tblGrid>
      <w:tr>
        <w:trPr>
          <w:cantSplit/>
          <w:tblHeader/>
        </w:trPr>
        <w:tc>
          <w:tcPr>
            <w:tcW w:type="dxa" w:w="4200"/>
            <w:shd w:fill="E8EEF5"/>
          </w:tcPr>
          <w:p>
            <w:pPr>
              <w:pStyle w:val="TableText"/>
            </w:pPr>
            <w:r>
              <w:rPr>
                <w:b/>
              </w:rPr>
              <w:t>Thao tác workspace</w:t>
            </w:r>
          </w:p>
        </w:tc>
        <w:tc>
          <w:tcPr>
            <w:tcW w:type="dxa" w:w="1290"/>
            <w:shd w:fill="E8EEF5"/>
          </w:tcPr>
          <w:p>
            <w:pPr>
              <w:pStyle w:val="TableText"/>
            </w:pPr>
            <w:r>
              <w:rPr>
                <w:b/>
              </w:rPr>
              <w:t>OWNER</w:t>
            </w:r>
          </w:p>
        </w:tc>
        <w:tc>
          <w:tcPr>
            <w:tcW w:type="dxa" w:w="1290"/>
            <w:shd w:fill="E8EEF5"/>
          </w:tcPr>
          <w:p>
            <w:pPr>
              <w:pStyle w:val="TableText"/>
            </w:pPr>
            <w:r>
              <w:rPr>
                <w:b/>
              </w:rPr>
              <w:t>ADMIN</w:t>
            </w:r>
          </w:p>
        </w:tc>
        <w:tc>
          <w:tcPr>
            <w:tcW w:type="dxa" w:w="1290"/>
            <w:shd w:fill="E8EEF5"/>
          </w:tcPr>
          <w:p>
            <w:pPr>
              <w:pStyle w:val="TableText"/>
            </w:pPr>
            <w:r>
              <w:rPr>
                <w:b/>
              </w:rPr>
              <w:t>MEMBER</w:t>
            </w:r>
          </w:p>
        </w:tc>
        <w:tc>
          <w:tcPr>
            <w:tcW w:type="dxa" w:w="1290"/>
            <w:shd w:fill="E8EEF5"/>
          </w:tcPr>
          <w:p>
            <w:pPr>
              <w:pStyle w:val="TableText"/>
            </w:pPr>
            <w:r>
              <w:rPr>
                <w:b/>
              </w:rPr>
              <w:t>VIEWER</w:t>
            </w:r>
          </w:p>
        </w:tc>
      </w:tr>
      <w:tr>
        <w:trPr>
          <w:cantSplit/>
        </w:trPr>
        <w:tc>
          <w:tcPr>
            <w:tcW w:type="dxa" w:w="4200"/>
          </w:tcPr>
          <w:p>
            <w:pPr>
              <w:pStyle w:val="TableText"/>
            </w:pPr>
            <w:r>
              <w:t>Xem metadata workspace</w:t>
            </w:r>
          </w:p>
        </w:tc>
        <w:tc>
          <w:tcPr>
            <w:tcW w:type="dxa" w:w="1290"/>
          </w:tcPr>
          <w:p>
            <w:pPr>
              <w:pStyle w:val="TableText"/>
            </w:pPr>
            <w:r>
              <w:t>Có</w:t>
            </w:r>
          </w:p>
        </w:tc>
        <w:tc>
          <w:tcPr>
            <w:tcW w:type="dxa" w:w="1290"/>
          </w:tcPr>
          <w:p>
            <w:pPr>
              <w:pStyle w:val="TableText"/>
            </w:pPr>
            <w:r>
              <w:t>Có</w:t>
            </w:r>
          </w:p>
        </w:tc>
        <w:tc>
          <w:tcPr>
            <w:tcW w:type="dxa" w:w="1290"/>
          </w:tcPr>
          <w:p>
            <w:pPr>
              <w:pStyle w:val="TableText"/>
            </w:pPr>
            <w:r>
              <w:t>Có</w:t>
            </w:r>
          </w:p>
        </w:tc>
        <w:tc>
          <w:tcPr>
            <w:tcW w:type="dxa" w:w="1290"/>
          </w:tcPr>
          <w:p>
            <w:pPr>
              <w:pStyle w:val="TableText"/>
            </w:pPr>
            <w:r>
              <w:t>Có</w:t>
            </w:r>
          </w:p>
        </w:tc>
      </w:tr>
      <w:tr>
        <w:trPr>
          <w:cantSplit/>
        </w:trPr>
        <w:tc>
          <w:tcPr>
            <w:tcW w:type="dxa" w:w="4200"/>
          </w:tcPr>
          <w:p>
            <w:pPr>
              <w:pStyle w:val="TableText"/>
            </w:pPr>
            <w:r>
              <w:t>Mời/xóa member; gán MEMBER/VIEWER</w:t>
            </w:r>
          </w:p>
        </w:tc>
        <w:tc>
          <w:tcPr>
            <w:tcW w:type="dxa" w:w="1290"/>
          </w:tcPr>
          <w:p>
            <w:pPr>
              <w:pStyle w:val="TableText"/>
            </w:pPr>
            <w:r>
              <w:t>Có</w:t>
            </w:r>
          </w:p>
        </w:tc>
        <w:tc>
          <w:tcPr>
            <w:tcW w:type="dxa" w:w="1290"/>
          </w:tcPr>
          <w:p>
            <w:pPr>
              <w:pStyle w:val="TableText"/>
            </w:pPr>
            <w:r>
              <w:t>Có</w:t>
            </w:r>
          </w:p>
        </w:tc>
        <w:tc>
          <w:tcPr>
            <w:tcW w:type="dxa" w:w="1290"/>
          </w:tcPr>
          <w:p>
            <w:pPr>
              <w:pStyle w:val="TableText"/>
            </w:pPr>
            <w:r>
              <w:t>Không</w:t>
            </w:r>
          </w:p>
        </w:tc>
        <w:tc>
          <w:tcPr>
            <w:tcW w:type="dxa" w:w="1290"/>
          </w:tcPr>
          <w:p>
            <w:pPr>
              <w:pStyle w:val="TableText"/>
            </w:pPr>
            <w:r>
              <w:t>Không</w:t>
            </w:r>
          </w:p>
        </w:tc>
      </w:tr>
      <w:tr>
        <w:trPr>
          <w:cantSplit/>
        </w:trPr>
        <w:tc>
          <w:tcPr>
            <w:tcW w:type="dxa" w:w="4200"/>
          </w:tcPr>
          <w:p>
            <w:pPr>
              <w:pStyle w:val="TableText"/>
            </w:pPr>
            <w:r>
              <w:t>Gán/thu hồi ADMIN</w:t>
            </w:r>
          </w:p>
        </w:tc>
        <w:tc>
          <w:tcPr>
            <w:tcW w:type="dxa" w:w="1290"/>
          </w:tcPr>
          <w:p>
            <w:pPr>
              <w:pStyle w:val="TableText"/>
            </w:pPr>
            <w:r>
              <w:t>Có</w:t>
            </w:r>
          </w:p>
        </w:tc>
        <w:tc>
          <w:tcPr>
            <w:tcW w:type="dxa" w:w="1290"/>
          </w:tcPr>
          <w:p>
            <w:pPr>
              <w:pStyle w:val="TableText"/>
            </w:pPr>
            <w:r>
              <w:t>Không</w:t>
            </w:r>
          </w:p>
        </w:tc>
        <w:tc>
          <w:tcPr>
            <w:tcW w:type="dxa" w:w="1290"/>
          </w:tcPr>
          <w:p>
            <w:pPr>
              <w:pStyle w:val="TableText"/>
            </w:pPr>
            <w:r>
              <w:t>Không</w:t>
            </w:r>
          </w:p>
        </w:tc>
        <w:tc>
          <w:tcPr>
            <w:tcW w:type="dxa" w:w="1290"/>
          </w:tcPr>
          <w:p>
            <w:pPr>
              <w:pStyle w:val="TableText"/>
            </w:pPr>
            <w:r>
              <w:t>Không</w:t>
            </w:r>
          </w:p>
        </w:tc>
      </w:tr>
      <w:tr>
        <w:trPr>
          <w:cantSplit/>
        </w:trPr>
        <w:tc>
          <w:tcPr>
            <w:tcW w:type="dxa" w:w="4200"/>
          </w:tcPr>
          <w:p>
            <w:pPr>
              <w:pStyle w:val="TableText"/>
            </w:pPr>
            <w:r>
              <w:t>Tạo Project</w:t>
            </w:r>
          </w:p>
        </w:tc>
        <w:tc>
          <w:tcPr>
            <w:tcW w:type="dxa" w:w="1290"/>
          </w:tcPr>
          <w:p>
            <w:pPr>
              <w:pStyle w:val="TableText"/>
            </w:pPr>
            <w:r>
              <w:t>Có</w:t>
            </w:r>
          </w:p>
        </w:tc>
        <w:tc>
          <w:tcPr>
            <w:tcW w:type="dxa" w:w="1290"/>
          </w:tcPr>
          <w:p>
            <w:pPr>
              <w:pStyle w:val="TableText"/>
            </w:pPr>
            <w:r>
              <w:t>Có</w:t>
            </w:r>
          </w:p>
        </w:tc>
        <w:tc>
          <w:tcPr>
            <w:tcW w:type="dxa" w:w="1290"/>
          </w:tcPr>
          <w:p>
            <w:pPr>
              <w:pStyle w:val="TableText"/>
            </w:pPr>
            <w:r>
              <w:t>Không*</w:t>
            </w:r>
          </w:p>
        </w:tc>
        <w:tc>
          <w:tcPr>
            <w:tcW w:type="dxa" w:w="1290"/>
          </w:tcPr>
          <w:p>
            <w:pPr>
              <w:pStyle w:val="TableText"/>
            </w:pPr>
            <w:r>
              <w:t>Không</w:t>
            </w:r>
          </w:p>
        </w:tc>
      </w:tr>
      <w:tr>
        <w:trPr>
          <w:cantSplit/>
        </w:trPr>
        <w:tc>
          <w:tcPr>
            <w:tcW w:type="dxa" w:w="4200"/>
          </w:tcPr>
          <w:p>
            <w:pPr>
              <w:pStyle w:val="TableText"/>
            </w:pPr>
            <w:r>
              <w:t>Xem nội dung Project</w:t>
            </w:r>
          </w:p>
        </w:tc>
        <w:tc>
          <w:tcPr>
            <w:tcW w:type="dxa" w:w="1290"/>
          </w:tcPr>
          <w:p>
            <w:pPr>
              <w:pStyle w:val="TableText"/>
            </w:pPr>
            <w:r>
              <w:t>Theo role</w:t>
            </w:r>
          </w:p>
        </w:tc>
        <w:tc>
          <w:tcPr>
            <w:tcW w:type="dxa" w:w="1290"/>
          </w:tcPr>
          <w:p>
            <w:pPr>
              <w:pStyle w:val="TableText"/>
            </w:pPr>
            <w:r>
              <w:t>Theo role</w:t>
            </w:r>
          </w:p>
        </w:tc>
        <w:tc>
          <w:tcPr>
            <w:tcW w:type="dxa" w:w="1290"/>
          </w:tcPr>
          <w:p>
            <w:pPr>
              <w:pStyle w:val="TableText"/>
            </w:pPr>
            <w:r>
              <w:t>Theo role</w:t>
            </w:r>
          </w:p>
        </w:tc>
        <w:tc>
          <w:tcPr>
            <w:tcW w:type="dxa" w:w="1290"/>
          </w:tcPr>
          <w:p>
            <w:pPr>
              <w:pStyle w:val="TableText"/>
            </w:pPr>
            <w:r>
              <w:t>Theo role</w:t>
            </w:r>
          </w:p>
        </w:tc>
      </w:tr>
      <w:tr>
        <w:trPr>
          <w:cantSplit/>
        </w:trPr>
        <w:tc>
          <w:tcPr>
            <w:tcW w:type="dxa" w:w="4200"/>
          </w:tcPr>
          <w:p>
            <w:pPr>
              <w:pStyle w:val="TableText"/>
            </w:pPr>
            <w:r>
              <w:t>Xem/mua/hủy gói; lịch sử billing</w:t>
            </w:r>
          </w:p>
        </w:tc>
        <w:tc>
          <w:tcPr>
            <w:tcW w:type="dxa" w:w="1290"/>
          </w:tcPr>
          <w:p>
            <w:pPr>
              <w:pStyle w:val="TableText"/>
            </w:pPr>
            <w:r>
              <w:t>Có</w:t>
            </w:r>
          </w:p>
        </w:tc>
        <w:tc>
          <w:tcPr>
            <w:tcW w:type="dxa" w:w="1290"/>
          </w:tcPr>
          <w:p>
            <w:pPr>
              <w:pStyle w:val="TableText"/>
            </w:pPr>
            <w:r>
              <w:t>Không</w:t>
            </w:r>
          </w:p>
        </w:tc>
        <w:tc>
          <w:tcPr>
            <w:tcW w:type="dxa" w:w="1290"/>
          </w:tcPr>
          <w:p>
            <w:pPr>
              <w:pStyle w:val="TableText"/>
            </w:pPr>
            <w:r>
              <w:t>Không</w:t>
            </w:r>
          </w:p>
        </w:tc>
        <w:tc>
          <w:tcPr>
            <w:tcW w:type="dxa" w:w="1290"/>
          </w:tcPr>
          <w:p>
            <w:pPr>
              <w:pStyle w:val="TableText"/>
            </w:pPr>
            <w:r>
              <w:t>Không</w:t>
            </w:r>
          </w:p>
        </w:tc>
      </w:tr>
      <w:tr>
        <w:trPr>
          <w:cantSplit/>
        </w:trPr>
        <w:tc>
          <w:tcPr>
            <w:tcW w:type="dxa" w:w="4200"/>
          </w:tcPr>
          <w:p>
            <w:pPr>
              <w:pStyle w:val="TableText"/>
            </w:pPr>
            <w:r>
              <w:t>Chuyển Owner/xóa workspace</w:t>
            </w:r>
          </w:p>
        </w:tc>
        <w:tc>
          <w:tcPr>
            <w:tcW w:type="dxa" w:w="1290"/>
          </w:tcPr>
          <w:p>
            <w:pPr>
              <w:pStyle w:val="TableText"/>
            </w:pPr>
            <w:r>
              <w:t>Có</w:t>
            </w:r>
          </w:p>
        </w:tc>
        <w:tc>
          <w:tcPr>
            <w:tcW w:type="dxa" w:w="1290"/>
          </w:tcPr>
          <w:p>
            <w:pPr>
              <w:pStyle w:val="TableText"/>
            </w:pPr>
            <w:r>
              <w:t>Không</w:t>
            </w:r>
          </w:p>
        </w:tc>
        <w:tc>
          <w:tcPr>
            <w:tcW w:type="dxa" w:w="1290"/>
          </w:tcPr>
          <w:p>
            <w:pPr>
              <w:pStyle w:val="TableText"/>
            </w:pPr>
            <w:r>
              <w:t>Không</w:t>
            </w:r>
          </w:p>
        </w:tc>
        <w:tc>
          <w:tcPr>
            <w:tcW w:type="dxa" w:w="1290"/>
          </w:tcPr>
          <w:p>
            <w:pPr>
              <w:pStyle w:val="TableText"/>
            </w:pPr>
            <w:r>
              <w:t>Không</w:t>
            </w:r>
          </w:p>
        </w:tc>
      </w:tr>
    </w:tbl>
    <w:p>
      <w:pPr>
        <w:pStyle w:val="Meta"/>
      </w:pPr>
      <w:r>
        <w:t>* Có thể mở can_create_project cho MEMBER trong settings ở bản sau; mặc định MVP tắt. Workspace OWNER/ADMIN không mặc nhiên đọc mọi Project riêng tư. Người tạo Project được gán Project OWNER.</w:t>
      </w:r>
    </w:p>
    <w:p>
      <w:pPr>
        <w:pStyle w:val="Heading2"/>
      </w:pPr>
      <w:r>
        <w:t>Quy tắc project</w:t>
      </w:r>
    </w:p>
    <w:p>
      <w:pPr>
        <w:pStyle w:val="PlanBullet"/>
        <w:numPr>
          <w:ilvl w:val="0"/>
          <w:numId w:val="80"/>
        </w:numPr>
      </w:pPr>
      <w:r>
        <w:t>Giữ Project OWNER/PROJECT_MANAGER/SCRUM_MASTER/PRODUCT_OWNER/DEVELOPER/TESTER/VIEWER, nhưng bỏ phụ thuộc bắt buộc vào system role MANAGER toàn cục.</w:t>
      </w:r>
    </w:p>
    <w:p>
      <w:pPr>
        <w:pStyle w:val="PlanBullet"/>
        <w:numPr>
          <w:ilvl w:val="0"/>
          <w:numId w:val="80"/>
        </w:numPr>
      </w:pPr>
      <w:r>
        <w:t>Workspace VIEWER hoặc Project VIEWER chỉ đọc; không comment, upload, log time, kéo Kanban, xác nhận AI tạo Task. Quyền xem không suy ra quyền ghi.</w:t>
      </w:r>
    </w:p>
    <w:p>
      <w:pPr>
        <w:pStyle w:val="PlanBullet"/>
        <w:numPr>
          <w:ilvl w:val="0"/>
          <w:numId w:val="80"/>
        </w:numPr>
      </w:pPr>
      <w:r>
        <w:t>Project MEMBER nghiệp vụ thực hiện theo ma trận V1 đã kiểm chứng. Workspace Admin muốn làm nghiệp vụ phải có project membership; quyền hỗ trợ khẩn cấp là luồng riêng có audit.</w:t>
      </w:r>
    </w:p>
    <w:p>
      <w:pPr>
        <w:pStyle w:val="Heading2"/>
      </w:pPr>
      <w:r>
        <w:t>Quyền nền tảng</w:t>
      </w:r>
    </w:p>
    <w:p>
      <w:pPr>
        <w:pStyle w:val="PlanBullet"/>
        <w:numPr>
          <w:ilvl w:val="0"/>
          <w:numId w:val="80"/>
        </w:numPr>
      </w:pPr>
      <w:r>
        <w:t>SUPER_ADMIN: cấu hình nền tảng, suspend/restore và quản lý platform roles. SUPPORT: metadata vận hành, trạng thái job/tài khoản; không đọc Task, file hay prompt mặc định.</w:t>
      </w:r>
    </w:p>
    <w:p>
      <w:pPr>
        <w:pStyle w:val="PlanBullet"/>
        <w:numPr>
          <w:ilvl w:val="0"/>
          <w:numId w:val="80"/>
        </w:numPr>
      </w:pPr>
      <w:r>
        <w:t>BILLING_ADMIN: metadata gói/giao dịch, đối soát và yêu cầu hoàn tiền theo policy; không sửa Task và không tự gán quyền nền tảng.</w:t>
      </w:r>
    </w:p>
    <w:p>
      <w:pPr>
        <w:pStyle w:val="PlanBullet"/>
        <w:numPr>
          <w:ilvl w:val="0"/>
          <w:numId w:val="80"/>
        </w:numPr>
      </w:pPr>
      <w:r>
        <w:t>Truy cập nội dung để hỗ trợ nếu thực sự cần phải có support grant có thời hạn, phạm vi và audit; mặc định không xây chức năng impersonation trong MVP.</w:t>
      </w:r>
    </w:p>
    <w:p>
      <w:pPr>
        <w:pStyle w:val="Heading1"/>
        <w:pageBreakBefore/>
      </w:pPr>
      <w:r>
        <w:t>05. Thiết kế dữ liệu tenant và identity</w:t>
      </w:r>
    </w:p>
    <w:p>
      <w:pPr>
        <w:pStyle w:val="Meta"/>
      </w:pPr>
      <w:r>
        <w:t>Tên cột/bảng là định hướng; tái sử dụng entity thực tế trước khi thêm migration.</w:t>
      </w:r>
    </w:p>
    <w:tbl>
      <w:tblPr>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CBD5E1"/>
          <w:left w:val="single" w:sz="4" w:color="CBD5E1"/>
          <w:bottom w:val="single" w:sz="4" w:color="CBD5E1"/>
          <w:right w:val="single" w:sz="4" w:color="CBD5E1"/>
          <w:insideH w:val="single" w:sz="4" w:color="CBD5E1"/>
          <w:insideV w:val="single" w:sz="4" w:color="CBD5E1"/>
        </w:tblBorders>
      </w:tblPr>
      <w:tblGrid>
        <w:gridCol w:w="2780"/>
        <w:gridCol w:w="6580"/>
      </w:tblGrid>
      <w:tr>
        <w:trPr>
          <w:cantSplit/>
          <w:tblHeader/>
        </w:trPr>
        <w:tc>
          <w:tcPr>
            <w:tcW w:type="dxa" w:w="2780"/>
            <w:shd w:fill="E8EEF5"/>
          </w:tcPr>
          <w:p>
            <w:pPr>
              <w:pStyle w:val="TableText"/>
            </w:pPr>
            <w:r>
              <w:rPr>
                <w:b/>
              </w:rPr>
              <w:t>Bảng</w:t>
            </w:r>
          </w:p>
        </w:tc>
        <w:tc>
          <w:tcPr>
            <w:tcW w:type="dxa" w:w="6580"/>
            <w:shd w:fill="E8EEF5"/>
          </w:tcPr>
          <w:p>
            <w:pPr>
              <w:pStyle w:val="TableText"/>
            </w:pPr>
            <w:r>
              <w:rPr>
                <w:b/>
              </w:rPr>
              <w:t>Trường và ràng buộc chính</w:t>
            </w:r>
          </w:p>
        </w:tc>
      </w:tr>
      <w:tr>
        <w:trPr>
          <w:cantSplit/>
        </w:trPr>
        <w:tc>
          <w:tcPr>
            <w:tcW w:type="dxa" w:w="2780"/>
          </w:tcPr>
          <w:p>
            <w:pPr>
              <w:pStyle w:val="TableText"/>
            </w:pPr>
            <w:r>
              <w:t>users</w:t>
            </w:r>
          </w:p>
        </w:tc>
        <w:tc>
          <w:tcPr>
            <w:tcW w:type="dxa" w:w="6580"/>
          </w:tcPr>
          <w:p>
            <w:pPr>
              <w:pStyle w:val="TableText"/>
            </w:pPr>
            <w:r>
              <w:t>id; email chuẩn hóa duy nhất; email_verified_at; status; auth_version. Role nền tảng tách khỏi vai trò doanh nghiệp.</w:t>
            </w:r>
          </w:p>
        </w:tc>
      </w:tr>
      <w:tr>
        <w:trPr>
          <w:cantSplit/>
        </w:trPr>
        <w:tc>
          <w:tcPr>
            <w:tcW w:type="dxa" w:w="2780"/>
          </w:tcPr>
          <w:p>
            <w:pPr>
              <w:pStyle w:val="TableText"/>
            </w:pPr>
            <w:r>
              <w:t>workspaces</w:t>
            </w:r>
          </w:p>
        </w:tc>
        <w:tc>
          <w:tcPr>
            <w:tcW w:type="dxa" w:w="6580"/>
          </w:tcPr>
          <w:p>
            <w:pPr>
              <w:pStyle w:val="TableText"/>
            </w:pPr>
            <w:r>
              <w:t>id, name, slug, status, timezone, owner_user_id, version; slug duy nhất; timezone IANA; created_at/deleted_at.</w:t>
            </w:r>
          </w:p>
        </w:tc>
      </w:tr>
      <w:tr>
        <w:trPr>
          <w:cantSplit/>
        </w:trPr>
        <w:tc>
          <w:tcPr>
            <w:tcW w:type="dxa" w:w="2780"/>
          </w:tcPr>
          <w:p>
            <w:pPr>
              <w:pStyle w:val="TableText"/>
            </w:pPr>
            <w:r>
              <w:t>workspace_members</w:t>
            </w:r>
          </w:p>
        </w:tc>
        <w:tc>
          <w:tcPr>
            <w:tcW w:type="dxa" w:w="6580"/>
          </w:tcPr>
          <w:p>
            <w:pPr>
              <w:pStyle w:val="TableText"/>
            </w:pPr>
            <w:r>
              <w:t>id, workspace_id, user_id, role ADMIN/MEMBER/VIEWER, status; unique(workspace_id,user_id). Owner là quan hệ owner_user_id, API trả effectiveRole OWNER.</w:t>
            </w:r>
          </w:p>
        </w:tc>
      </w:tr>
      <w:tr>
        <w:trPr>
          <w:cantSplit/>
        </w:trPr>
        <w:tc>
          <w:tcPr>
            <w:tcW w:type="dxa" w:w="2780"/>
          </w:tcPr>
          <w:p>
            <w:pPr>
              <w:pStyle w:val="TableText"/>
            </w:pPr>
            <w:r>
              <w:t>workspace_invitations</w:t>
            </w:r>
          </w:p>
        </w:tc>
        <w:tc>
          <w:tcPr>
            <w:tcW w:type="dxa" w:w="6580"/>
          </w:tcPr>
          <w:p>
            <w:pPr>
              <w:pStyle w:val="TableText"/>
            </w:pPr>
            <w:r>
              <w:t>workspace_id, normalized_email, role, token_hash, expires_at, status, invited_by; một lời mời PENDING hiệu lực/email/workspace.</w:t>
            </w:r>
          </w:p>
        </w:tc>
      </w:tr>
      <w:tr>
        <w:trPr>
          <w:cantSplit/>
        </w:trPr>
        <w:tc>
          <w:tcPr>
            <w:tcW w:type="dxa" w:w="2780"/>
          </w:tcPr>
          <w:p>
            <w:pPr>
              <w:pStyle w:val="TableText"/>
            </w:pPr>
            <w:r>
              <w:t>email_verification_tokens / password_reset_tokens</w:t>
            </w:r>
          </w:p>
        </w:tc>
        <w:tc>
          <w:tcPr>
            <w:tcW w:type="dxa" w:w="6580"/>
          </w:tcPr>
          <w:p>
            <w:pPr>
              <w:pStyle w:val="TableText"/>
            </w:pPr>
            <w:r>
              <w:t>user_id, token_hash duy nhất, expires_at, used_at, revoked_at; không lưu token thô.</w:t>
            </w:r>
          </w:p>
        </w:tc>
      </w:tr>
      <w:tr>
        <w:trPr>
          <w:cantSplit/>
        </w:trPr>
        <w:tc>
          <w:tcPr>
            <w:tcW w:type="dxa" w:w="2780"/>
          </w:tcPr>
          <w:p>
            <w:pPr>
              <w:pStyle w:val="TableText"/>
            </w:pPr>
            <w:r>
              <w:t>projects và bảng nghiệp vụ</w:t>
            </w:r>
          </w:p>
        </w:tc>
        <w:tc>
          <w:tcPr>
            <w:tcW w:type="dxa" w:w="6580"/>
          </w:tcPr>
          <w:p>
            <w:pPr>
              <w:pStyle w:val="TableText"/>
            </w:pPr>
            <w:r>
              <w:t>workspace_id NOT NULL sau backfill; index bắt đầu theo workspace cho các query tenant; giữ project_id và quan hệ cha thực tế.</w:t>
            </w:r>
          </w:p>
        </w:tc>
      </w:tr>
      <w:tr>
        <w:trPr>
          <w:cantSplit/>
        </w:trPr>
        <w:tc>
          <w:tcPr>
            <w:tcW w:type="dxa" w:w="2780"/>
          </w:tcPr>
          <w:p>
            <w:pPr>
              <w:pStyle w:val="TableText"/>
            </w:pPr>
            <w:r>
              <w:t>outbox_events / audit_logs</w:t>
            </w:r>
          </w:p>
        </w:tc>
        <w:tc>
          <w:tcPr>
            <w:tcW w:type="dxa" w:w="6580"/>
          </w:tcPr>
          <w:p>
            <w:pPr>
              <w:pStyle w:val="TableText"/>
            </w:pPr>
            <w:r>
              <w:t>workspace_id nullable chỉ cho sự kiện platform; event_id, type, actor, payload được lọc, correlation_id, trạng thái và thời gian.</w:t>
            </w:r>
          </w:p>
        </w:tc>
      </w:tr>
    </w:tbl>
    <w:p>
      <w:pPr>
        <w:pStyle w:val="Heading2"/>
      </w:pPr>
      <w:r>
        <w:t>Ràng buộc bắt buộc</w:t>
      </w:r>
    </w:p>
    <w:p>
      <w:pPr>
        <w:pStyle w:val="PlanBullet"/>
        <w:numPr>
          <w:ilvl w:val="0"/>
          <w:numId w:val="80"/>
        </w:numPr>
      </w:pPr>
      <w:r>
        <w:t>Mỗi workspace hoạt động phải có đúng một owner đang là member ACTIVE. Chuyển owner trong transaction có lock workspace; không cho xóa/disable owner cuối khi chưa chuyển.</w:t>
      </w:r>
    </w:p>
    <w:p>
      <w:pPr>
        <w:pStyle w:val="PlanBullet"/>
        <w:numPr>
          <w:ilvl w:val="0"/>
          <w:numId w:val="80"/>
        </w:numPr>
      </w:pPr>
      <w:r>
        <w:t>Các bảng con tenant có workspace_id phải đồng nhất với cha. Dùng unique(workspace_id,id) ở cha và composite FK phù hợp; chỉ thêm cột tenant mà không ràng buộc là chưa đủ.</w:t>
      </w:r>
    </w:p>
    <w:p>
      <w:pPr>
        <w:pStyle w:val="PlanBullet"/>
        <w:numPr>
          <w:ilvl w:val="0"/>
          <w:numId w:val="80"/>
        </w:numPr>
      </w:pPr>
      <w:r>
        <w:t>Giữ tên bảng thật như task_comments/task_time_logs nếu repository đang dùng; không tạo thêm comments/time_logs trùng chức năng vì tên viết tắt trong plan.</w:t>
      </w:r>
    </w:p>
    <w:p>
      <w:pPr>
        <w:pStyle w:val="PlanBullet"/>
        <w:numPr>
          <w:ilvl w:val="0"/>
          <w:numId w:val="80"/>
        </w:numPr>
      </w:pPr>
      <w:r>
        <w:t>RLS PostgreSQL là lớp bổ sung nếu triển khai và kiểm thử được: application role không được bypass; chủ bảng có cơ chế bypass mặc định cần xem xét FORCE ROW LEVEL SECURITY. Không dùng RLS thay thế kiểm tra project role. [R3]</w:t>
      </w:r>
    </w:p>
    <w:p>
      <w:pPr>
        <w:pStyle w:val="Heading1"/>
        <w:pageBreakBefore/>
      </w:pPr>
      <w:r>
        <w:t>06. Thiết kế dữ liệu gói và thanh toán</w:t>
      </w:r>
    </w:p>
    <w:p>
      <w:pPr>
        <w:pStyle w:val="Meta"/>
      </w:pPr>
      <w:r>
        <w:t>Tách nguồn ghi nhận giao dịch với quyền sử dụng sản phẩm.</w:t>
      </w:r>
    </w:p>
    <w:tbl>
      <w:tblPr>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CBD5E1"/>
          <w:left w:val="single" w:sz="4" w:color="CBD5E1"/>
          <w:bottom w:val="single" w:sz="4" w:color="CBD5E1"/>
          <w:right w:val="single" w:sz="4" w:color="CBD5E1"/>
          <w:insideH w:val="single" w:sz="4" w:color="CBD5E1"/>
          <w:insideV w:val="single" w:sz="4" w:color="CBD5E1"/>
        </w:tblBorders>
      </w:tblPr>
      <w:tblGrid>
        <w:gridCol w:w="2800"/>
        <w:gridCol w:w="6560"/>
      </w:tblGrid>
      <w:tr>
        <w:trPr>
          <w:cantSplit/>
          <w:tblHeader/>
        </w:trPr>
        <w:tc>
          <w:tcPr>
            <w:tcW w:type="dxa" w:w="2800"/>
            <w:shd w:fill="E8EEF5"/>
          </w:tcPr>
          <w:p>
            <w:pPr>
              <w:pStyle w:val="TableText"/>
            </w:pPr>
            <w:r>
              <w:rPr>
                <w:b/>
              </w:rPr>
              <w:t>Bảng</w:t>
            </w:r>
          </w:p>
        </w:tc>
        <w:tc>
          <w:tcPr>
            <w:tcW w:type="dxa" w:w="6560"/>
            <w:shd w:fill="E8EEF5"/>
          </w:tcPr>
          <w:p>
            <w:pPr>
              <w:pStyle w:val="TableText"/>
            </w:pPr>
            <w:r>
              <w:rPr>
                <w:b/>
              </w:rPr>
              <w:t>Dữ liệu và quy tắc</w:t>
            </w:r>
          </w:p>
        </w:tc>
      </w:tr>
      <w:tr>
        <w:trPr>
          <w:cantSplit/>
        </w:trPr>
        <w:tc>
          <w:tcPr>
            <w:tcW w:type="dxa" w:w="2800"/>
          </w:tcPr>
          <w:p>
            <w:pPr>
              <w:pStyle w:val="TableText"/>
            </w:pPr>
            <w:r>
              <w:t>plans / plan_versions</w:t>
            </w:r>
          </w:p>
        </w:tc>
        <w:tc>
          <w:tcPr>
            <w:tcW w:type="dxa" w:w="6560"/>
          </w:tcPr>
          <w:p>
            <w:pPr>
              <w:pStyle w:val="TableText"/>
            </w:pPr>
            <w:r>
              <w:t>code; version; status; giới hạn và quyền của phiên bản. Gói đang dùng không bị sửa ngược lịch sử khi đổi giá.</w:t>
            </w:r>
          </w:p>
        </w:tc>
      </w:tr>
      <w:tr>
        <w:trPr>
          <w:cantSplit/>
        </w:trPr>
        <w:tc>
          <w:tcPr>
            <w:tcW w:type="dxa" w:w="2800"/>
          </w:tcPr>
          <w:p>
            <w:pPr>
              <w:pStyle w:val="TableText"/>
            </w:pPr>
            <w:r>
              <w:t>plan_prices</w:t>
            </w:r>
          </w:p>
        </w:tc>
        <w:tc>
          <w:tcPr>
            <w:tcW w:type="dxa" w:w="6560"/>
          </w:tcPr>
          <w:p>
            <w:pPr>
              <w:pStyle w:val="TableText"/>
            </w:pPr>
            <w:r>
              <w:t>plan_version_id, currency, interval, amount_minor, provider_price_id; không dùng floating point cho tiền.</w:t>
            </w:r>
          </w:p>
        </w:tc>
      </w:tr>
      <w:tr>
        <w:trPr>
          <w:cantSplit/>
        </w:trPr>
        <w:tc>
          <w:tcPr>
            <w:tcW w:type="dxa" w:w="2800"/>
          </w:tcPr>
          <w:p>
            <w:pPr>
              <w:pStyle w:val="TableText"/>
            </w:pPr>
            <w:r>
              <w:t>feature_definitions / plan_features</w:t>
            </w:r>
          </w:p>
        </w:tc>
        <w:tc>
          <w:tcPr>
            <w:tcW w:type="dxa" w:w="6560"/>
          </w:tcPr>
          <w:p>
            <w:pPr>
              <w:pStyle w:val="TableText"/>
            </w:pPr>
            <w:r>
              <w:t>feature_code duy nhất; quyền boolean hoặc limit; giới hạn -1 là không giới hạn chỉ nếu cấu hình rõ.</w:t>
            </w:r>
          </w:p>
        </w:tc>
      </w:tr>
      <w:tr>
        <w:trPr>
          <w:cantSplit/>
        </w:trPr>
        <w:tc>
          <w:tcPr>
            <w:tcW w:type="dxa" w:w="2800"/>
          </w:tcPr>
          <w:p>
            <w:pPr>
              <w:pStyle w:val="TableText"/>
            </w:pPr>
            <w:r>
              <w:t>subscriptions</w:t>
            </w:r>
          </w:p>
        </w:tc>
        <w:tc>
          <w:tcPr>
            <w:tcW w:type="dxa" w:w="6560"/>
          </w:tcPr>
          <w:p>
            <w:pPr>
              <w:pStyle w:val="TableText"/>
            </w:pPr>
            <w:r>
              <w:t>workspace_id unique; plan_version_id; status; billing_cycle; period_start/end; trial_used_at/end; grace_until; cancel_at_period_end; pending_plan; version.</w:t>
            </w:r>
          </w:p>
        </w:tc>
      </w:tr>
      <w:tr>
        <w:trPr>
          <w:cantSplit/>
        </w:trPr>
        <w:tc>
          <w:tcPr>
            <w:tcW w:type="dxa" w:w="2800"/>
          </w:tcPr>
          <w:p>
            <w:pPr>
              <w:pStyle w:val="TableText"/>
            </w:pPr>
            <w:r>
              <w:t>subscription_history</w:t>
            </w:r>
          </w:p>
        </w:tc>
        <w:tc>
          <w:tcPr>
            <w:tcW w:type="dxa" w:w="6560"/>
          </w:tcPr>
          <w:p>
            <w:pPr>
              <w:pStyle w:val="TableText"/>
            </w:pPr>
            <w:r>
              <w:t>subscription_id, from/to status, plan, effective_at, source_event_id, reason; lịch sử append-only.</w:t>
            </w:r>
          </w:p>
        </w:tc>
      </w:tr>
      <w:tr>
        <w:trPr>
          <w:cantSplit/>
        </w:trPr>
        <w:tc>
          <w:tcPr>
            <w:tcW w:type="dxa" w:w="2800"/>
          </w:tcPr>
          <w:p>
            <w:pPr>
              <w:pStyle w:val="TableText"/>
            </w:pPr>
            <w:r>
              <w:t>usage_counters / usage_reservations</w:t>
            </w:r>
          </w:p>
        </w:tc>
        <w:tc>
          <w:tcPr>
            <w:tcW w:type="dxa" w:w="6560"/>
          </w:tcPr>
          <w:p>
            <w:pPr>
              <w:pStyle w:val="TableText"/>
            </w:pPr>
            <w:r>
              <w:t>workspace, metric, window_start/end, used, reserved, version; unique theo workspace/metric/window; reservation_id và expiry.</w:t>
            </w:r>
          </w:p>
        </w:tc>
      </w:tr>
      <w:tr>
        <w:trPr>
          <w:cantSplit/>
        </w:trPr>
        <w:tc>
          <w:tcPr>
            <w:tcW w:type="dxa" w:w="2800"/>
          </w:tcPr>
          <w:p>
            <w:pPr>
              <w:pStyle w:val="TableText"/>
            </w:pPr>
            <w:r>
              <w:t>billing_orders / payments</w:t>
            </w:r>
          </w:p>
        </w:tc>
        <w:tc>
          <w:tcPr>
            <w:tcW w:type="dxa" w:w="6560"/>
          </w:tcPr>
          <w:p>
            <w:pPr>
              <w:pStyle w:val="TableText"/>
            </w:pPr>
            <w:r>
              <w:t>workspace, order_id, plan/price snapshot, amount/currency, intended period, provider refs, status; unique provider transaction; idempotency key và request hash.</w:t>
            </w:r>
          </w:p>
        </w:tc>
      </w:tr>
      <w:tr>
        <w:trPr>
          <w:cantSplit/>
        </w:trPr>
        <w:tc>
          <w:tcPr>
            <w:tcW w:type="dxa" w:w="2800"/>
          </w:tcPr>
          <w:p>
            <w:pPr>
              <w:pStyle w:val="TableText"/>
            </w:pPr>
            <w:r>
              <w:t>payment_webhook_events</w:t>
            </w:r>
          </w:p>
        </w:tc>
        <w:tc>
          <w:tcPr>
            <w:tcW w:type="dxa" w:w="6560"/>
          </w:tcPr>
          <w:p>
            <w:pPr>
              <w:pStyle w:val="TableText"/>
            </w:pPr>
            <w:r>
              <w:t>provider, environment, account_id, event_id unique theo bộ; verified_at, processing_status, attempts, next_retry_at, payload tối thiểu.</w:t>
            </w:r>
          </w:p>
        </w:tc>
      </w:tr>
      <w:tr>
        <w:trPr>
          <w:cantSplit/>
        </w:trPr>
        <w:tc>
          <w:tcPr>
            <w:tcW w:type="dxa" w:w="2800"/>
          </w:tcPr>
          <w:p>
            <w:pPr>
              <w:pStyle w:val="TableText"/>
            </w:pPr>
            <w:r>
              <w:t>billing_documents / refunds</w:t>
            </w:r>
          </w:p>
        </w:tc>
        <w:tc>
          <w:tcPr>
            <w:tcW w:type="dxa" w:w="6560"/>
          </w:tcPr>
          <w:p>
            <w:pPr>
              <w:pStyle w:val="TableText"/>
            </w:pPr>
            <w:r>
              <w:t>Biên nhận/giao dịch; số tham chiếu, amount/currency, trạng thái; refund theo giao dịch gốc, không vượt số có thể hoàn.</w:t>
            </w:r>
          </w:p>
        </w:tc>
      </w:tr>
    </w:tbl>
    <w:p>
      <w:pPr>
        <w:pStyle w:val="Heading2"/>
      </w:pPr>
      <w:r>
        <w:t>Nguồn dữ liệu tin cậy</w:t>
      </w:r>
    </w:p>
    <w:p>
      <w:r>
        <w:t>Subscription và entitlement hiệu lực được đọc từ DB/cache có version. Usage nghiệp vụ được tăng/giảm nguyên tử; snapshot chỉ dùng hiển thị và đối soát. Billing order lưu giá/kỳ tại thời điểm mua; frontend không được quyết định amount hoặc kỳ được cấp.</w:t>
      </w:r>
    </w:p>
    <w:p>
      <w:pPr>
        <w:pStyle w:val="Meta"/>
      </w:pPr>
      <w:r>
        <w:t>Event đã tiếp nhận và trạng thái thanh toán phải còn truy được khi worker lỗi. Không soft delete/hard delete lịch sử tài chính như một Task; retention và quyền xem được quy định riêng.</w:t>
      </w:r>
    </w:p>
    <w:p>
      <w:pPr>
        <w:pStyle w:val="Heading1"/>
        <w:pageBreakBefore/>
      </w:pPr>
      <w:r>
        <w:t>07. S0 — Kiểm chứng baseline và chuẩn bị</w:t>
      </w:r>
    </w:p>
    <w:p>
      <w:pPr>
        <w:pStyle w:val="Meta"/>
      </w:pPr>
      <w:r>
        <w:t>Mục tiêu: biết chính xác đang có gì trước khi thêm tenant. Đầu ra: baseline có thể tái hiện.</w:t>
      </w:r>
    </w:p>
    <w:p>
      <w:pPr>
        <w:pStyle w:val="Heading2"/>
      </w:pPr>
      <w:r>
        <w:t>Các bước thực hiện</w:t>
      </w:r>
    </w:p>
    <w:p>
      <w:pPr>
        <w:pStyle w:val="PlanBullet"/>
        <w:numPr>
          <w:ilvl w:val="0"/>
          <w:numId w:val="80"/>
        </w:numPr>
      </w:pPr>
      <w:r>
        <w:t>S0.1 — Chạy build FE/BE, kiểm tra migration hiện có, phiên bản framework, cấu hình runtime và OpenAPI. Ghi commit/tag baseline và trạng thái CI thực tế.</w:t>
      </w:r>
    </w:p>
    <w:p>
      <w:pPr>
        <w:pStyle w:val="PlanBullet"/>
        <w:numPr>
          <w:ilvl w:val="0"/>
          <w:numId w:val="80"/>
        </w:numPr>
      </w:pPr>
      <w:r>
        <w:t>S0.2 — Lập inventory: module → API → bảng → cache key → WebSocket topic → job → frontend screen → kiểm thử hiện có. Đánh dấu DONE_VERIFIED, DONE_UNVERIFIED, PARTIAL, NOT_STARTED.</w:t>
      </w:r>
    </w:p>
    <w:p>
      <w:pPr>
        <w:pStyle w:val="PlanBullet"/>
        <w:numPr>
          <w:ilvl w:val="0"/>
          <w:numId w:val="80"/>
        </w:numPr>
      </w:pPr>
      <w:r>
        <w:t>S0.3 — Chạy luồng chuẩn: login, tạo Project, mời member nội bộ, Backlog, Sprint, tạo/import Task, kéo Kanban, comment, time log, report và hủy Sprint.</w:t>
      </w:r>
    </w:p>
    <w:p>
      <w:pPr>
        <w:pStyle w:val="PlanBullet"/>
        <w:numPr>
          <w:ilvl w:val="0"/>
          <w:numId w:val="80"/>
        </w:numPr>
      </w:pPr>
      <w:r>
        <w:t>S0.4 — Rà permission helper, system ADMIN/MANAGER, truy vấn native, soft delete và điểm truy cập file. Ghi các chỗ phải sửa để bỏ quyền toàn cục của người dùng doanh nghiệp.</w:t>
      </w:r>
    </w:p>
    <w:p>
      <w:pPr>
        <w:pStyle w:val="PlanBullet"/>
        <w:numPr>
          <w:ilvl w:val="0"/>
          <w:numId w:val="80"/>
        </w:numPr>
      </w:pPr>
      <w:r>
        <w:t>S0.5 — Chốt lỗi ảnh hưởng dữ liệu: import atomic, lịch sử Sprint, đồng thời Kanban/time log; bổ sung kiểm thử có khả năng phát hiện lỗi thật.</w:t>
      </w:r>
    </w:p>
    <w:p>
      <w:pPr>
        <w:pStyle w:val="PlanBullet"/>
        <w:numPr>
          <w:ilvl w:val="0"/>
          <w:numId w:val="80"/>
        </w:numPr>
      </w:pPr>
      <w:r>
        <w:t>S0.6 — Sao lưu DB + file, khôi phục vào staging cô lập. Dùng dữ liệu đã ẩn thông tin nhạy cảm cho demo/CI; chuẩn bị ít nhất hai workspace giả lập A/B.</w:t>
      </w:r>
    </w:p>
    <w:p>
      <w:pPr>
        <w:pStyle w:val="Heading2"/>
      </w:pPr>
      <w:r>
        <w:t>Backend, frontend và dữ liệu</w:t>
      </w:r>
    </w:p>
    <w:p>
      <w:r>
        <w:t>Backend cung cấp inventory repository/service và seed test. Frontend cung cấp danh sách route, nguồn lấy role, request interceptor, component dùng chung và các màn hình chưa hoàn thiện. Người phụ trách dữ liệu ghi số lượng bản ghi và quan hệ bị mồ côi trước migration.</w:t>
      </w:r>
    </w:p>
    <w:p>
      <w:pPr>
        <w:pStyle w:val="Heading2"/>
      </w:pPr>
      <w:r>
        <w:t>Điều kiện nghiệm thu</w:t>
      </w:r>
    </w:p>
    <w:p>
      <w:pPr>
        <w:pStyle w:val="PlanBullet"/>
        <w:numPr>
          <w:ilvl w:val="0"/>
          <w:numId w:val="80"/>
        </w:numPr>
      </w:pPr>
      <w:r>
        <w:t>Build tái hiện được; không còn lỗi làm mất dữ liệu trong luồng chính; test nền quyền V1 chạy được.</w:t>
      </w:r>
    </w:p>
    <w:p>
      <w:pPr>
        <w:pStyle w:val="PlanBullet"/>
        <w:numPr>
          <w:ilvl w:val="0"/>
          <w:numId w:val="80"/>
        </w:numPr>
      </w:pPr>
      <w:r>
        <w:t>Restore thực hiện thành công, có bằng chứng số lượng bản ghi/file; có baseline commit và báo cáo module thực có.</w:t>
      </w:r>
    </w:p>
    <w:p>
      <w:pPr>
        <w:pStyle w:val="PlanBullet"/>
        <w:numPr>
          <w:ilvl w:val="0"/>
          <w:numId w:val="80"/>
        </w:numPr>
      </w:pPr>
      <w:r>
        <w:t>Không gọi module là “đã hoàn thành” chỉ vì có tên trong tài liệu. Nếu thiếu module cơ bản, đưa vào backlog sửa trước pilot.</w:t>
      </w:r>
    </w:p>
    <w:p>
      <w:pPr>
        <w:pStyle w:val="Callout"/>
      </w:pPr>
      <w:r>
        <w:t>Đầu ra giao việc: baseline-inventory, danh sách chênh lệch, schema hiện hành, bộ smoke test và release tag. Chưa mở đăng ký công khai tại bước này.</w:t>
      </w:r>
    </w:p>
    <w:p>
      <w:pPr>
        <w:pStyle w:val="Heading1"/>
        <w:pageBreakBefore/>
      </w:pPr>
      <w:r>
        <w:t>08. S1 — Tạo workspace và chuyển tenant</w:t>
      </w:r>
    </w:p>
    <w:p>
      <w:pPr>
        <w:pStyle w:val="Meta"/>
      </w:pPr>
      <w:r>
        <w:t>Phụ thuộc S0. Làm tenant-scope cho mọi module đang bật ngay tại S1, không đợi S6.</w:t>
      </w:r>
    </w:p>
    <w:p>
      <w:pPr>
        <w:pStyle w:val="Heading2"/>
      </w:pPr>
      <w:r>
        <w:t>Trình tự backend</w:t>
      </w:r>
    </w:p>
    <w:p>
      <w:pPr>
        <w:pStyle w:val="PlanBullet"/>
        <w:numPr>
          <w:ilvl w:val="0"/>
          <w:numId w:val="80"/>
        </w:numPr>
      </w:pPr>
      <w:r>
        <w:t>S1.1 — Thêm bảng workspace/membership, WorkspaceAccessService và DTO; tạo workspace + owner membership trong một transaction. S3 bổ sung Free subscription và backfill idempotent cho workspace đã có.</w:t>
      </w:r>
    </w:p>
    <w:p>
      <w:pPr>
        <w:pStyle w:val="PlanBullet"/>
        <w:numPr>
          <w:ilvl w:val="0"/>
          <w:numId w:val="80"/>
        </w:numPr>
      </w:pPr>
      <w:r>
        <w:t>S1.2 — Giới hạn tạo workspace theo tài khoản để chống lạm dụng; tên 2–100 ký tự, slug chuẩn hóa, timezone hợp lệ; xung đột slug trả mã lỗi rõ.</w:t>
      </w:r>
    </w:p>
    <w:p>
      <w:pPr>
        <w:pStyle w:val="PlanBullet"/>
        <w:numPr>
          <w:ilvl w:val="0"/>
          <w:numId w:val="80"/>
        </w:numPr>
      </w:pPr>
      <w:r>
        <w:t>S1.3 — Thêm workspace_id nullable theo migration mở rộng; backfill dữ liệu cũ; đối soát rồi mới bật NOT NULL/composite FK. Xem runbook mục 24–25.</w:t>
      </w:r>
    </w:p>
    <w:p>
      <w:pPr>
        <w:pStyle w:val="PlanBullet"/>
        <w:numPr>
          <w:ilvl w:val="0"/>
          <w:numId w:val="80"/>
        </w:numPr>
      </w:pPr>
      <w:r>
        <w:t>S1.4 — Sửa ProjectAccessService và truy vấn tất cả module. Vô hiệu hành vi ADMIN nội bộ xem toàn bộ Project; platform admin được quản lý metadata theo ma trận mới.</w:t>
      </w:r>
    </w:p>
    <w:p>
      <w:pPr>
        <w:pStyle w:val="PlanBullet"/>
        <w:numPr>
          <w:ilvl w:val="0"/>
          <w:numId w:val="80"/>
        </w:numPr>
      </w:pPr>
      <w:r>
        <w:t>S1.5 — Namespace lại Redis, file key, search, realtime, scheduler và AI retrieval. Giữ API cũ nếu có client đang dùng nhưng áp dụng cùng bộ kiểm tra tenant.</w:t>
      </w:r>
    </w:p>
    <w:p>
      <w:pPr>
        <w:pStyle w:val="PlanBullet"/>
        <w:numPr>
          <w:ilvl w:val="0"/>
          <w:numId w:val="80"/>
        </w:numPr>
      </w:pPr>
      <w:r>
        <w:t>S1.6 — Đưa middleware, service, worker vào kiểm thử chéo tenant; chỉ bật nhiều workspace thật sau khi các test bắt buộc đạt.</w:t>
      </w:r>
    </w:p>
    <w:p>
      <w:pPr>
        <w:pStyle w:val="Heading2"/>
      </w:pPr>
      <w:r>
        <w:t>Frontend</w:t>
      </w:r>
    </w:p>
    <w:p>
      <w:r>
        <w:t>Tạo Workspace Selector, trang danh sách/tạo workspace, settings và trạng thái workspace. Route có workspaceId; query key chứa workspaceId. Khi đổi workspace, hủy request cũ, xóa dữ liệu nhạy cảm khỏi màn hình, ngắt subscription realtime và tải lại permission/entitlement.</w:t>
      </w:r>
    </w:p>
    <w:p>
      <w:pPr>
        <w:pStyle w:val="Heading2"/>
      </w:pPr>
      <w:r>
        <w:t>Vòng đời workspace</w:t>
      </w:r>
    </w:p>
    <w:p>
      <w:pPr>
        <w:pStyle w:val="PlanBullet"/>
        <w:numPr>
          <w:ilvl w:val="0"/>
          <w:numId w:val="80"/>
        </w:numPr>
      </w:pPr>
      <w:r>
        <w:t>ACTIVE: dùng theo quyền/gói. ARCHIVED: owner chủ động đưa về chỉ đọc; không tự ngừng billing, UI phải thông báo và cho hủy gia hạn riêng.</w:t>
      </w:r>
    </w:p>
    <w:p>
      <w:pPr>
        <w:pStyle w:val="PlanBullet"/>
        <w:numPr>
          <w:ilvl w:val="0"/>
          <w:numId w:val="80"/>
        </w:numPr>
      </w:pPr>
      <w:r>
        <w:t>SUSPENDED: platform khóa nghiệp vụ; cho owner vào khu vực khắc phục/billing có giới hạn. Chặn job/AI và realtime; không revoke toàn bộ workspace khác của user.</w:t>
      </w:r>
    </w:p>
    <w:p>
      <w:pPr>
        <w:pStyle w:val="PlanBullet"/>
        <w:numPr>
          <w:ilvl w:val="0"/>
          <w:numId w:val="80"/>
        </w:numPr>
      </w:pPr>
      <w:r>
        <w:t>PENDING_DELETION: chỉ owner yêu cầu với xác thực lại; có thời gian chờ, hủy được trước purge. DELETED: không truy cập được; purge theo policy và retention.</w:t>
      </w:r>
    </w:p>
    <w:p>
      <w:pPr>
        <w:pStyle w:val="Callout"/>
      </w:pPr>
      <w:r>
        <w:t>Nghiệm thu: user thuộc A/B dùng hai tab không trộn dữ liệu; owner mới tạo workspace hợp lệ; tài nguyên B không đọc/sửa được qua URL A, export, file, cache hoặc realtime.</w:t>
      </w:r>
    </w:p>
    <w:p>
      <w:pPr>
        <w:pStyle w:val="Heading1"/>
        <w:pageBreakBefore/>
      </w:pPr>
      <w:r>
        <w:t>09. S1 — Thành viên, lời mời và Owner</w:t>
      </w:r>
    </w:p>
    <w:p>
      <w:pPr>
        <w:pStyle w:val="Meta"/>
      </w:pPr>
      <w:r>
        <w:t>Chốt nghiệp vụ trước khi nối email và quota ở S2/S3.</w:t>
      </w:r>
    </w:p>
    <w:p>
      <w:pPr>
        <w:pStyle w:val="Heading2"/>
      </w:pPr>
      <w:r>
        <w:t>Mời và nhận lời mời</w:t>
      </w:r>
    </w:p>
    <w:p>
      <w:pPr>
        <w:pStyle w:val="PlanBullet"/>
        <w:numPr>
          <w:ilvl w:val="0"/>
          <w:numId w:val="80"/>
        </w:numPr>
      </w:pPr>
      <w:r>
        <w:t>Chỉ Owner/Admin mời; Admin chỉ mời MEMBER/VIEWER. Chuẩn hóa email, kiểm tra đã là member, quota và pending invitation trước khi tạo.</w:t>
      </w:r>
    </w:p>
    <w:p>
      <w:pPr>
        <w:pStyle w:val="PlanBullet"/>
        <w:numPr>
          <w:ilvl w:val="0"/>
          <w:numId w:val="80"/>
        </w:numPr>
      </w:pPr>
      <w:r>
        <w:t>Token ngẫu nhiên đủ mạnh, DB lưu hash; đề xuất hết hạn sau 7 ngày. Gửi lại tạo token mới và revoke token cũ; gửi email qua outbox, không rollback membership chỉ vì mail provider lỗi.</w:t>
      </w:r>
    </w:p>
    <w:p>
      <w:pPr>
        <w:pStyle w:val="PlanBullet"/>
        <w:numPr>
          <w:ilvl w:val="0"/>
          <w:numId w:val="80"/>
        </w:numPr>
      </w:pPr>
      <w:r>
        <w:t>Đề xuất pending invitation chưa chiếm seat. Lúc accept phải khóa/cập nhật quota nguyên tử; UI nói rõ lời mời không bảo đảm còn chỗ.</w:t>
      </w:r>
    </w:p>
    <w:p>
      <w:pPr>
        <w:pStyle w:val="PlanBullet"/>
        <w:numPr>
          <w:ilvl w:val="0"/>
          <w:numId w:val="80"/>
        </w:numPr>
      </w:pPr>
      <w:r>
        <w:t>Accept yêu cầu đăng nhập, email verified khớp email lời mời. Kiểm tra workspace ACTIVE, invitation PENDING còn hạn, role và quota; tạo/reactivate membership, ghi activity, đánh dấu ACCEPTED cùng transaction.</w:t>
      </w:r>
    </w:p>
    <w:p>
      <w:pPr>
        <w:pStyle w:val="PlanBullet"/>
        <w:numPr>
          <w:ilvl w:val="0"/>
          <w:numId w:val="80"/>
        </w:numPr>
      </w:pPr>
      <w:r>
        <w:t>Accept lặp cùng user trả kết quả hiện có; token đã dùng bởi người khác, bị revoke hoặc sai email không tạo thành viên. Hết quota trả QUOTA_EXCEEDED; lời mời vẫn chờ trong thời hạn.</w:t>
      </w:r>
    </w:p>
    <w:p>
      <w:pPr>
        <w:pStyle w:val="PlanBullet"/>
        <w:numPr>
          <w:ilvl w:val="0"/>
          <w:numId w:val="80"/>
        </w:numPr>
      </w:pPr>
      <w:r>
        <w:t>Reject/withdraw đổi trạng thái REJECTED/REVOKED; không xóa lịch sử lời mời đang cần audit. Người chưa có tài khoản đi qua register/verify rồi quay lại link.</w:t>
      </w:r>
    </w:p>
    <w:p>
      <w:pPr>
        <w:pStyle w:val="Heading2"/>
      </w:pPr>
      <w:r>
        <w:t>Xóa thành viên và chuyển quyền</w:t>
      </w:r>
    </w:p>
    <w:p>
      <w:pPr>
        <w:pStyle w:val="PlanBullet"/>
        <w:numPr>
          <w:ilvl w:val="0"/>
          <w:numId w:val="80"/>
        </w:numPr>
      </w:pPr>
      <w:r>
        <w:t>Remove member thu hồi project memberships trong workspace, hủy quyền realtime/cache và chặn job do user đó khởi chạy. Giữ tác giả, time log, comment và lịch sử công việc.</w:t>
      </w:r>
    </w:p>
    <w:p>
      <w:pPr>
        <w:pStyle w:val="PlanBullet"/>
        <w:numPr>
          <w:ilvl w:val="0"/>
          <w:numId w:val="80"/>
        </w:numPr>
      </w:pPr>
      <w:r>
        <w:t>Task đang giao cho người bị xóa phải unassign hoặc giao lại theo lựa chọn có kiểm tra quyền; thực thi nhất quán, ghi audit. Người nắm Project OWNER phải chuyển owner trước.</w:t>
      </w:r>
    </w:p>
    <w:p>
      <w:pPr>
        <w:pStyle w:val="PlanBullet"/>
        <w:numPr>
          <w:ilvl w:val="0"/>
          <w:numId w:val="80"/>
        </w:numPr>
      </w:pPr>
      <w:r>
        <w:t>Transfer workspace owner: target phải ACTIVE trong cùng workspace; owner xác thực lại; lock workspace, cập nhật owner_user_id và role cũ thành ADMIN trong một transaction.</w:t>
      </w:r>
    </w:p>
    <w:p>
      <w:pPr>
        <w:pStyle w:val="PlanBullet"/>
        <w:numPr>
          <w:ilvl w:val="0"/>
          <w:numId w:val="80"/>
        </w:numPr>
      </w:pPr>
      <w:r>
        <w:t>Owner không tự leave/remove khi chưa chuyển quyền. Disable user toàn nền tảng phải xử lý các workspace họ sở hữu; suspend workspace không được làm mất owner.</w:t>
      </w:r>
    </w:p>
    <w:p>
      <w:pPr>
        <w:pStyle w:val="Heading2"/>
      </w:pPr>
      <w:r>
        <w:t>Nghiệm thu</w:t>
      </w:r>
    </w:p>
    <w:p>
      <w:r>
        <w:t>Hai lời mời cùng accept khi chỉ còn một seat: chỉ một membership mới ACTIVE. Token hết hạn/replay không cấp quyền. Xóa member A không làm mất quyền ở B; lịch sử Task vẫn còn và quyền truy cập bị thu hồi ngay.</w:t>
      </w:r>
    </w:p>
    <w:p>
      <w:pPr>
        <w:pStyle w:val="Heading1"/>
        <w:pageBreakBefore/>
      </w:pPr>
      <w:r>
        <w:t>10. S1 — Hợp đồng API workspace</w:t>
      </w:r>
    </w:p>
    <w:p>
      <w:pPr>
        <w:pStyle w:val="Meta"/>
      </w:pPr>
      <w:r>
        <w:t>Prefix đề xuất /api/v2; {w}=workspaceId. UUID trên đường dẫn luôn được backend kiểm tra.</w:t>
      </w:r>
    </w:p>
    <w:tbl>
      <w:tblPr>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CBD5E1"/>
          <w:left w:val="single" w:sz="4" w:color="CBD5E1"/>
          <w:bottom w:val="single" w:sz="4" w:color="CBD5E1"/>
          <w:right w:val="single" w:sz="4" w:color="CBD5E1"/>
          <w:insideH w:val="single" w:sz="4" w:color="CBD5E1"/>
          <w:insideV w:val="single" w:sz="4" w:color="CBD5E1"/>
        </w:tblBorders>
      </w:tblPr>
      <w:tblGrid>
        <w:gridCol w:w="4270"/>
        <w:gridCol w:w="5090"/>
      </w:tblGrid>
      <w:tr>
        <w:trPr>
          <w:cantSplit/>
          <w:tblHeader/>
        </w:trPr>
        <w:tc>
          <w:tcPr>
            <w:tcW w:type="dxa" w:w="4270"/>
            <w:shd w:fill="E8EEF5"/>
          </w:tcPr>
          <w:p>
            <w:pPr>
              <w:pStyle w:val="TableText"/>
            </w:pPr>
            <w:r>
              <w:rPr>
                <w:b/>
              </w:rPr>
              <w:t>Method / path</w:t>
            </w:r>
          </w:p>
        </w:tc>
        <w:tc>
          <w:tcPr>
            <w:tcW w:type="dxa" w:w="5090"/>
            <w:shd w:fill="E8EEF5"/>
          </w:tcPr>
          <w:p>
            <w:pPr>
              <w:pStyle w:val="TableText"/>
            </w:pPr>
            <w:r>
              <w:rPr>
                <w:b/>
              </w:rPr>
              <w:t>Quyền và hành vi</w:t>
            </w:r>
          </w:p>
        </w:tc>
      </w:tr>
      <w:tr>
        <w:trPr>
          <w:cantSplit/>
        </w:trPr>
        <w:tc>
          <w:tcPr>
            <w:tcW w:type="dxa" w:w="4270"/>
          </w:tcPr>
          <w:p>
            <w:pPr>
              <w:pStyle w:val="TableText"/>
            </w:pPr>
            <w:r>
              <w:t>GET /workspaces</w:t>
            </w:r>
          </w:p>
        </w:tc>
        <w:tc>
          <w:tcPr>
            <w:tcW w:type="dxa" w:w="5090"/>
          </w:tcPr>
          <w:p>
            <w:pPr>
              <w:pStyle w:val="TableText"/>
            </w:pPr>
            <w:r>
              <w:t>User đã đăng nhập; chỉ trả workspace đang có membership được phép.</w:t>
            </w:r>
          </w:p>
        </w:tc>
      </w:tr>
      <w:tr>
        <w:trPr>
          <w:cantSplit/>
        </w:trPr>
        <w:tc>
          <w:tcPr>
            <w:tcW w:type="dxa" w:w="4270"/>
          </w:tcPr>
          <w:p>
            <w:pPr>
              <w:pStyle w:val="TableText"/>
            </w:pPr>
            <w:r>
              <w:t>POST /workspaces</w:t>
            </w:r>
          </w:p>
        </w:tc>
        <w:tc>
          <w:tcPr>
            <w:tcW w:type="dxa" w:w="5090"/>
          </w:tcPr>
          <w:p>
            <w:pPr>
              <w:pStyle w:val="TableText"/>
            </w:pPr>
            <w:r>
              <w:t>User verified; name, timezone; tạo owner; từ S3 kèm Free subscription.</w:t>
            </w:r>
          </w:p>
        </w:tc>
      </w:tr>
      <w:tr>
        <w:trPr>
          <w:cantSplit/>
        </w:trPr>
        <w:tc>
          <w:tcPr>
            <w:tcW w:type="dxa" w:w="4270"/>
          </w:tcPr>
          <w:p>
            <w:pPr>
              <w:pStyle w:val="TableText"/>
            </w:pPr>
            <w:r>
              <w:t>GET /workspaces/{w}</w:t>
            </w:r>
          </w:p>
        </w:tc>
        <w:tc>
          <w:tcPr>
            <w:tcW w:type="dxa" w:w="5090"/>
          </w:tcPr>
          <w:p>
            <w:pPr>
              <w:pStyle w:val="TableText"/>
            </w:pPr>
            <w:r>
              <w:t>Member; trả metadata + effective permissions, không trả billing nhạy cảm.</w:t>
            </w:r>
          </w:p>
        </w:tc>
      </w:tr>
      <w:tr>
        <w:trPr>
          <w:cantSplit/>
        </w:trPr>
        <w:tc>
          <w:tcPr>
            <w:tcW w:type="dxa" w:w="4270"/>
          </w:tcPr>
          <w:p>
            <w:pPr>
              <w:pStyle w:val="TableText"/>
            </w:pPr>
            <w:r>
              <w:t>PATCH /workspaces/{w}</w:t>
            </w:r>
          </w:p>
        </w:tc>
        <w:tc>
          <w:tcPr>
            <w:tcW w:type="dxa" w:w="5090"/>
          </w:tcPr>
          <w:p>
            <w:pPr>
              <w:pStyle w:val="TableText"/>
            </w:pPr>
            <w:r>
              <w:t>Owner/Admin; name/settings; kiểm tra version tránh ghi đè.</w:t>
            </w:r>
          </w:p>
        </w:tc>
      </w:tr>
      <w:tr>
        <w:trPr>
          <w:cantSplit/>
        </w:trPr>
        <w:tc>
          <w:tcPr>
            <w:tcW w:type="dxa" w:w="4270"/>
          </w:tcPr>
          <w:p>
            <w:pPr>
              <w:pStyle w:val="TableText"/>
            </w:pPr>
            <w:r>
              <w:t>GET /workspaces/{w}/members</w:t>
            </w:r>
          </w:p>
        </w:tc>
        <w:tc>
          <w:tcPr>
            <w:tcW w:type="dxa" w:w="5090"/>
          </w:tcPr>
          <w:p>
            <w:pPr>
              <w:pStyle w:val="TableText"/>
            </w:pPr>
            <w:r>
              <w:t>Member; phân trang; chỉ trường hồ sơ cần thiết trong workspace.</w:t>
            </w:r>
          </w:p>
        </w:tc>
      </w:tr>
      <w:tr>
        <w:trPr>
          <w:cantSplit/>
        </w:trPr>
        <w:tc>
          <w:tcPr>
            <w:tcW w:type="dxa" w:w="4270"/>
          </w:tcPr>
          <w:p>
            <w:pPr>
              <w:pStyle w:val="TableText"/>
            </w:pPr>
            <w:r>
              <w:t>POST /workspaces/{w}/invitations</w:t>
            </w:r>
          </w:p>
        </w:tc>
        <w:tc>
          <w:tcPr>
            <w:tcW w:type="dxa" w:w="5090"/>
          </w:tcPr>
          <w:p>
            <w:pPr>
              <w:pStyle w:val="TableText"/>
            </w:pPr>
            <w:r>
              <w:t>Owner/Admin; email, role; không chấp nhận role OWNER.</w:t>
            </w:r>
          </w:p>
        </w:tc>
      </w:tr>
      <w:tr>
        <w:trPr>
          <w:cantSplit/>
        </w:trPr>
        <w:tc>
          <w:tcPr>
            <w:tcW w:type="dxa" w:w="4270"/>
          </w:tcPr>
          <w:p>
            <w:pPr>
              <w:pStyle w:val="TableText"/>
            </w:pPr>
            <w:r>
              <w:t>POST /invitations/accept</w:t>
            </w:r>
          </w:p>
        </w:tc>
        <w:tc>
          <w:tcPr>
            <w:tcW w:type="dxa" w:w="5090"/>
          </w:tcPr>
          <w:p>
            <w:pPr>
              <w:pStyle w:val="TableText"/>
            </w:pPr>
            <w:r>
              <w:t>User verified; token trong body, không log token; idempotent.</w:t>
            </w:r>
          </w:p>
        </w:tc>
      </w:tr>
      <w:tr>
        <w:trPr>
          <w:cantSplit/>
        </w:trPr>
        <w:tc>
          <w:tcPr>
            <w:tcW w:type="dxa" w:w="4270"/>
          </w:tcPr>
          <w:p>
            <w:pPr>
              <w:pStyle w:val="TableText"/>
            </w:pPr>
            <w:r>
              <w:t>POST /invitations/reject</w:t>
            </w:r>
          </w:p>
        </w:tc>
        <w:tc>
          <w:tcPr>
            <w:tcW w:type="dxa" w:w="5090"/>
          </w:tcPr>
          <w:p>
            <w:pPr>
              <w:pStyle w:val="TableText"/>
            </w:pPr>
            <w:r>
              <w:t>Đúng người nhận; token; kết quả không tiết lộ dữ liệu workspace riêng tư.</w:t>
            </w:r>
          </w:p>
        </w:tc>
      </w:tr>
      <w:tr>
        <w:trPr>
          <w:cantSplit/>
        </w:trPr>
        <w:tc>
          <w:tcPr>
            <w:tcW w:type="dxa" w:w="4270"/>
          </w:tcPr>
          <w:p>
            <w:pPr>
              <w:pStyle w:val="TableText"/>
            </w:pPr>
            <w:r>
              <w:t>POST .../invitations/{id}/resend</w:t>
            </w:r>
          </w:p>
        </w:tc>
        <w:tc>
          <w:tcPr>
            <w:tcW w:type="dxa" w:w="5090"/>
          </w:tcPr>
          <w:p>
            <w:pPr>
              <w:pStyle w:val="TableText"/>
            </w:pPr>
            <w:r>
              <w:t>Owner/Admin; xoay token, rate limit.</w:t>
            </w:r>
          </w:p>
        </w:tc>
      </w:tr>
      <w:tr>
        <w:trPr>
          <w:cantSplit/>
        </w:trPr>
        <w:tc>
          <w:tcPr>
            <w:tcW w:type="dxa" w:w="4270"/>
          </w:tcPr>
          <w:p>
            <w:pPr>
              <w:pStyle w:val="TableText"/>
            </w:pPr>
            <w:r>
              <w:t>DELETE .../invitations/{id}</w:t>
            </w:r>
          </w:p>
        </w:tc>
        <w:tc>
          <w:tcPr>
            <w:tcW w:type="dxa" w:w="5090"/>
          </w:tcPr>
          <w:p>
            <w:pPr>
              <w:pStyle w:val="TableText"/>
            </w:pPr>
            <w:r>
              <w:t>Owner/Admin; revoke pending invitation.</w:t>
            </w:r>
          </w:p>
        </w:tc>
      </w:tr>
      <w:tr>
        <w:trPr>
          <w:cantSplit/>
        </w:trPr>
        <w:tc>
          <w:tcPr>
            <w:tcW w:type="dxa" w:w="4270"/>
          </w:tcPr>
          <w:p>
            <w:pPr>
              <w:pStyle w:val="TableText"/>
            </w:pPr>
            <w:r>
              <w:t>PATCH .../members/{userId}</w:t>
            </w:r>
          </w:p>
        </w:tc>
        <w:tc>
          <w:tcPr>
            <w:tcW w:type="dxa" w:w="5090"/>
          </w:tcPr>
          <w:p>
            <w:pPr>
              <w:pStyle w:val="TableText"/>
            </w:pPr>
            <w:r>
              <w:t>Owner/Admin theo ma trận; cập nhật role, kiểm tra project quyền ghi.</w:t>
            </w:r>
          </w:p>
        </w:tc>
      </w:tr>
      <w:tr>
        <w:trPr>
          <w:cantSplit/>
        </w:trPr>
        <w:tc>
          <w:tcPr>
            <w:tcW w:type="dxa" w:w="4270"/>
          </w:tcPr>
          <w:p>
            <w:pPr>
              <w:pStyle w:val="TableText"/>
            </w:pPr>
            <w:r>
              <w:t>DELETE .../members/{userId}</w:t>
            </w:r>
          </w:p>
        </w:tc>
        <w:tc>
          <w:tcPr>
            <w:tcW w:type="dxa" w:w="5090"/>
          </w:tcPr>
          <w:p>
            <w:pPr>
              <w:pStyle w:val="TableText"/>
            </w:pPr>
            <w:r>
              <w:t>Owner/Admin; chính sách chuyển owner/unassign; không xóa lịch sử.</w:t>
            </w:r>
          </w:p>
        </w:tc>
      </w:tr>
      <w:tr>
        <w:trPr>
          <w:cantSplit/>
        </w:trPr>
        <w:tc>
          <w:tcPr>
            <w:tcW w:type="dxa" w:w="4270"/>
          </w:tcPr>
          <w:p>
            <w:pPr>
              <w:pStyle w:val="TableText"/>
            </w:pPr>
            <w:r>
              <w:t>POST .../transfer-ownership</w:t>
            </w:r>
          </w:p>
        </w:tc>
        <w:tc>
          <w:tcPr>
            <w:tcW w:type="dxa" w:w="5090"/>
          </w:tcPr>
          <w:p>
            <w:pPr>
              <w:pStyle w:val="TableText"/>
            </w:pPr>
            <w:r>
              <w:t>Owner + xác thực lại; targetUserId, expectedVersion.</w:t>
            </w:r>
          </w:p>
        </w:tc>
      </w:tr>
      <w:tr>
        <w:trPr>
          <w:cantSplit/>
        </w:trPr>
        <w:tc>
          <w:tcPr>
            <w:tcW w:type="dxa" w:w="4270"/>
          </w:tcPr>
          <w:p>
            <w:pPr>
              <w:pStyle w:val="TableText"/>
            </w:pPr>
            <w:r>
              <w:t>POST .../archive hoặc /restore</w:t>
            </w:r>
          </w:p>
        </w:tc>
        <w:tc>
          <w:tcPr>
            <w:tcW w:type="dxa" w:w="5090"/>
          </w:tcPr>
          <w:p>
            <w:pPr>
              <w:pStyle w:val="TableText"/>
            </w:pPr>
            <w:r>
              <w:t>Owner; không ngầm hủy subscription.</w:t>
            </w:r>
          </w:p>
        </w:tc>
      </w:tr>
      <w:tr>
        <w:trPr>
          <w:cantSplit/>
        </w:trPr>
        <w:tc>
          <w:tcPr>
            <w:tcW w:type="dxa" w:w="4270"/>
          </w:tcPr>
          <w:p>
            <w:pPr>
              <w:pStyle w:val="TableText"/>
            </w:pPr>
            <w:r>
              <w:t>POST .../deletion-request</w:t>
            </w:r>
          </w:p>
        </w:tc>
        <w:tc>
          <w:tcPr>
            <w:tcW w:type="dxa" w:w="5090"/>
          </w:tcPr>
          <w:p>
            <w:pPr>
              <w:pStyle w:val="TableText"/>
            </w:pPr>
            <w:r>
              <w:t>Owner + xác thực lại; lịch purge; hủy qua DELETE cùng resource.</w:t>
            </w:r>
          </w:p>
        </w:tc>
      </w:tr>
    </w:tbl>
    <w:p>
      <w:pPr>
        <w:pStyle w:val="Heading2"/>
      </w:pPr>
      <w:r>
        <w:t>Hợp đồng lỗi</w:t>
      </w:r>
    </w:p>
    <w:p>
      <w:r>
        <w:t>400 dữ liệu sai; 401 chưa xác thực; 403 thiếu quyền; 404 không tồn tại/không được biết; 409 xung đột trạng thái, version hoặc quota; 429 rate limit. Giữ envelope hiện có; bổ sung errorCode/correlationId. Không tiết lộ dữ liệu workspace khác.</w:t>
      </w:r>
    </w:p>
    <w:p>
      <w:pPr>
        <w:pStyle w:val="Heading1"/>
        <w:pageBreakBefore/>
      </w:pPr>
      <w:r>
        <w:t>11. S2 — Public Authentication</w:t>
      </w:r>
    </w:p>
    <w:p>
      <w:pPr>
        <w:pStyle w:val="Meta"/>
      </w:pPr>
      <w:r>
        <w:t>Phụ thuộc tenant foundation; email verification/reset/invite phải chạy được trong phase này.</w:t>
      </w:r>
    </w:p>
    <w:p>
      <w:pPr>
        <w:pStyle w:val="Heading2"/>
      </w:pPr>
      <w:r>
        <w:t>Luồng đăng ký và xác minh</w:t>
      </w:r>
    </w:p>
    <w:p>
      <w:pPr>
        <w:pStyle w:val="PlanBullet"/>
        <w:numPr>
          <w:ilvl w:val="0"/>
          <w:numId w:val="80"/>
        </w:numPr>
      </w:pPr>
      <w:r>
        <w:t>S2.1 — Register nhận email/password và thông tin hồ sơ tối thiểu; chuẩn hóa email, validate/password hash theo cơ chế hiện có; không nhận platformRole hoặc workspaceRole từ public body.</w:t>
      </w:r>
    </w:p>
    <w:p>
      <w:pPr>
        <w:pStyle w:val="PlanBullet"/>
        <w:numPr>
          <w:ilvl w:val="0"/>
          <w:numId w:val="80"/>
        </w:numPr>
      </w:pPr>
      <w:r>
        <w:t>S2.2 — Tạo user PENDING_VERIFICATION và token hash cùng outbox email. Phản hồi chung để hạn chế dò email; email lỗi chuyển trạng thái retry để vận hành xử lý.</w:t>
      </w:r>
    </w:p>
    <w:p>
      <w:pPr>
        <w:pStyle w:val="PlanBullet"/>
        <w:numPr>
          <w:ilvl w:val="0"/>
          <w:numId w:val="80"/>
        </w:numPr>
      </w:pPr>
      <w:r>
        <w:t>S2.3 — Link verification mở trang xác nhận; POST consume token một lần, kiểm tra expiry/revoked, cập nhật verified_at. Đề xuất expiry 24 giờ; resend rate limit và revoke token cũ.</w:t>
      </w:r>
    </w:p>
    <w:p>
      <w:pPr>
        <w:pStyle w:val="PlanBullet"/>
        <w:numPr>
          <w:ilvl w:val="0"/>
          <w:numId w:val="80"/>
        </w:numPr>
      </w:pPr>
      <w:r>
        <w:t>S2.4 — Sau verified đăng nhập; không có workspace thì chọn tạo mới hoặc nhận lời mời. Nếu nhiều workspace, chọn trong danh sách được backend trả.</w:t>
      </w:r>
    </w:p>
    <w:p>
      <w:pPr>
        <w:pStyle w:val="PlanBullet"/>
        <w:numPr>
          <w:ilvl w:val="0"/>
          <w:numId w:val="80"/>
        </w:numPr>
      </w:pPr>
      <w:r>
        <w:t>S2.5 — User chưa verified chỉ được vào các thao tác hoàn tất xác minh được cho phép; không tạo workspace, accept invitation hoặc dùng nghiệp vụ.</w:t>
      </w:r>
    </w:p>
    <w:p>
      <w:pPr>
        <w:pStyle w:val="Heading2"/>
      </w:pPr>
      <w:r>
        <w:t>Mật khẩu và phiên</w:t>
      </w:r>
    </w:p>
    <w:p>
      <w:pPr>
        <w:pStyle w:val="PlanBullet"/>
        <w:numPr>
          <w:ilvl w:val="0"/>
          <w:numId w:val="80"/>
        </w:numPr>
      </w:pPr>
      <w:r>
        <w:t>Forgot password trả thông báo chung. Reset token hash, single-use, expiry đề xuất 30 phút; đổi password và revoke mọi refresh session trong cùng luồng nhất quán.</w:t>
      </w:r>
    </w:p>
    <w:p>
      <w:pPr>
        <w:pStyle w:val="PlanBullet"/>
        <w:numPr>
          <w:ilvl w:val="0"/>
          <w:numId w:val="80"/>
        </w:numPr>
      </w:pPr>
      <w:r>
        <w:t>Giữ refresh rotation/reuse detection nếu baseline đã có; kiểm tra auth_version/user status ở luồng bảo vệ để token cũ không tiếp tục dùng sau disable/reset.</w:t>
      </w:r>
    </w:p>
    <w:p>
      <w:pPr>
        <w:pStyle w:val="PlanBullet"/>
        <w:numPr>
          <w:ilvl w:val="0"/>
          <w:numId w:val="80"/>
        </w:numPr>
      </w:pPr>
      <w:r>
        <w:t>Logout thu hồi phiên hiện tại; logout-all thu hồi tất cả. Đổi password trong app cần mật khẩu cũ hoặc xác thực lại; profile update không nhận role.</w:t>
      </w:r>
    </w:p>
    <w:p>
      <w:pPr>
        <w:pStyle w:val="PlanBullet"/>
        <w:numPr>
          <w:ilvl w:val="0"/>
          <w:numId w:val="80"/>
        </w:numPr>
      </w:pPr>
      <w:r>
        <w:t>Cookie/token policy phải khớp FE hiện tại: refresh cookie HttpOnly/Secure nếu dùng cookie; CSRF cho endpoint dùng cookie; CORS allowlist; không để token/reset link trong log.</w:t>
      </w:r>
    </w:p>
    <w:p>
      <w:pPr>
        <w:pStyle w:val="Heading2"/>
      </w:pPr>
      <w:r>
        <w:t>Frontend và nghiệm thu</w:t>
      </w:r>
    </w:p>
    <w:p>
      <w:r>
        <w:t>Các màn hình: Register, Login, Verify Email, Resend, Forgot/Reset Password, Profile/Sessions và Accept Invitation. Có loading/error/success, thông báo email có thể đến chậm và hướng dẫn retry. Test link cũ, link hết hạn, token replay, email khác người nhận, user disabled và refresh session bị revoke.</w:t>
      </w:r>
    </w:p>
    <w:p>
      <w:pPr>
        <w:pStyle w:val="Heading1"/>
        <w:pageBreakBefore/>
      </w:pPr>
      <w:r>
        <w:t>12. S2 — API và email lifecycle</w:t>
      </w:r>
    </w:p>
    <w:p>
      <w:pPr>
        <w:pStyle w:val="Meta"/>
      </w:pPr>
      <w:r>
        <w:t>Tái sử dụng endpoint auth V1 nếu tương thích; không duy trì hai cơ chế phiên khác nhau.</w:t>
      </w:r>
    </w:p>
    <w:tbl>
      <w:tblPr>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CBD5E1"/>
          <w:left w:val="single" w:sz="4" w:color="CBD5E1"/>
          <w:bottom w:val="single" w:sz="4" w:color="CBD5E1"/>
          <w:right w:val="single" w:sz="4" w:color="CBD5E1"/>
          <w:insideH w:val="single" w:sz="4" w:color="CBD5E1"/>
          <w:insideV w:val="single" w:sz="4" w:color="CBD5E1"/>
        </w:tblBorders>
      </w:tblPr>
      <w:tblGrid>
        <w:gridCol w:w="4250"/>
        <w:gridCol w:w="5110"/>
      </w:tblGrid>
      <w:tr>
        <w:trPr>
          <w:cantSplit/>
          <w:tblHeader/>
        </w:trPr>
        <w:tc>
          <w:tcPr>
            <w:tcW w:type="dxa" w:w="4250"/>
            <w:shd w:fill="E8EEF5"/>
          </w:tcPr>
          <w:p>
            <w:pPr>
              <w:pStyle w:val="TableText"/>
            </w:pPr>
            <w:r>
              <w:rPr>
                <w:b/>
              </w:rPr>
              <w:t>Endpoint</w:t>
            </w:r>
          </w:p>
        </w:tc>
        <w:tc>
          <w:tcPr>
            <w:tcW w:type="dxa" w:w="5110"/>
            <w:shd w:fill="E8EEF5"/>
          </w:tcPr>
          <w:p>
            <w:pPr>
              <w:pStyle w:val="TableText"/>
            </w:pPr>
            <w:r>
              <w:rPr>
                <w:b/>
              </w:rPr>
              <w:t>Hợp đồng chính</w:t>
            </w:r>
          </w:p>
        </w:tc>
      </w:tr>
      <w:tr>
        <w:trPr>
          <w:cantSplit/>
        </w:trPr>
        <w:tc>
          <w:tcPr>
            <w:tcW w:type="dxa" w:w="4250"/>
          </w:tcPr>
          <w:p>
            <w:pPr>
              <w:pStyle w:val="TableText"/>
            </w:pPr>
            <w:r>
              <w:t>POST /auth/register</w:t>
            </w:r>
          </w:p>
        </w:tc>
        <w:tc>
          <w:tcPr>
            <w:tcW w:type="dxa" w:w="5110"/>
          </w:tcPr>
          <w:p>
            <w:pPr>
              <w:pStyle w:val="TableText"/>
            </w:pPr>
            <w:r>
              <w:t>email, password, displayName; 202 với thông báo chung khi tiếp nhận.</w:t>
            </w:r>
          </w:p>
        </w:tc>
      </w:tr>
      <w:tr>
        <w:trPr>
          <w:cantSplit/>
        </w:trPr>
        <w:tc>
          <w:tcPr>
            <w:tcW w:type="dxa" w:w="4250"/>
          </w:tcPr>
          <w:p>
            <w:pPr>
              <w:pStyle w:val="TableText"/>
            </w:pPr>
            <w:r>
              <w:t>POST /auth/verify-email</w:t>
            </w:r>
          </w:p>
        </w:tc>
        <w:tc>
          <w:tcPr>
            <w:tcW w:type="dxa" w:w="5110"/>
          </w:tcPr>
          <w:p>
            <w:pPr>
              <w:pStyle w:val="TableText"/>
            </w:pPr>
            <w:r>
              <w:t>token; single-use; thành công 200, invalid/expired theo mã nghiệp vụ.</w:t>
            </w:r>
          </w:p>
        </w:tc>
      </w:tr>
      <w:tr>
        <w:trPr>
          <w:cantSplit/>
        </w:trPr>
        <w:tc>
          <w:tcPr>
            <w:tcW w:type="dxa" w:w="4250"/>
          </w:tcPr>
          <w:p>
            <w:pPr>
              <w:pStyle w:val="TableText"/>
            </w:pPr>
            <w:r>
              <w:t>POST /auth/resend-verification</w:t>
            </w:r>
          </w:p>
        </w:tc>
        <w:tc>
          <w:tcPr>
            <w:tcW w:type="dxa" w:w="5110"/>
          </w:tcPr>
          <w:p>
            <w:pPr>
              <w:pStyle w:val="TableText"/>
            </w:pPr>
            <w:r>
              <w:t>email; 202 chung, cooldown và quota gửi email.</w:t>
            </w:r>
          </w:p>
        </w:tc>
      </w:tr>
      <w:tr>
        <w:trPr>
          <w:cantSplit/>
        </w:trPr>
        <w:tc>
          <w:tcPr>
            <w:tcW w:type="dxa" w:w="4250"/>
          </w:tcPr>
          <w:p>
            <w:pPr>
              <w:pStyle w:val="TableText"/>
            </w:pPr>
            <w:r>
              <w:t>POST /auth/login</w:t>
            </w:r>
          </w:p>
        </w:tc>
        <w:tc>
          <w:tcPr>
            <w:tcW w:type="dxa" w:w="5110"/>
          </w:tcPr>
          <w:p>
            <w:pPr>
              <w:pStyle w:val="TableText"/>
            </w:pPr>
            <w:r>
              <w:t>Giữ contract V1; thêm trạng thái EMAIL_NOT_VERIFIED theo policy.</w:t>
            </w:r>
          </w:p>
        </w:tc>
      </w:tr>
      <w:tr>
        <w:trPr>
          <w:cantSplit/>
        </w:trPr>
        <w:tc>
          <w:tcPr>
            <w:tcW w:type="dxa" w:w="4250"/>
          </w:tcPr>
          <w:p>
            <w:pPr>
              <w:pStyle w:val="TableText"/>
            </w:pPr>
            <w:r>
              <w:t>POST /auth/refresh</w:t>
            </w:r>
          </w:p>
        </w:tc>
        <w:tc>
          <w:tcPr>
            <w:tcW w:type="dxa" w:w="5110"/>
          </w:tcPr>
          <w:p>
            <w:pPr>
              <w:pStyle w:val="TableText"/>
            </w:pPr>
            <w:r>
              <w:t>Rotation và phát hiện reuse; không nhận role mới từ client.</w:t>
            </w:r>
          </w:p>
        </w:tc>
      </w:tr>
      <w:tr>
        <w:trPr>
          <w:cantSplit/>
        </w:trPr>
        <w:tc>
          <w:tcPr>
            <w:tcW w:type="dxa" w:w="4250"/>
          </w:tcPr>
          <w:p>
            <w:pPr>
              <w:pStyle w:val="TableText"/>
            </w:pPr>
            <w:r>
              <w:t>POST /auth/logout; /logout-all</w:t>
            </w:r>
          </w:p>
        </w:tc>
        <w:tc>
          <w:tcPr>
            <w:tcW w:type="dxa" w:w="5110"/>
          </w:tcPr>
          <w:p>
            <w:pPr>
              <w:pStyle w:val="TableText"/>
            </w:pPr>
            <w:r>
              <w:t>Thu hồi phiên; logout-all yêu cầu session hợp lệ.</w:t>
            </w:r>
          </w:p>
        </w:tc>
      </w:tr>
      <w:tr>
        <w:trPr>
          <w:cantSplit/>
        </w:trPr>
        <w:tc>
          <w:tcPr>
            <w:tcW w:type="dxa" w:w="4250"/>
          </w:tcPr>
          <w:p>
            <w:pPr>
              <w:pStyle w:val="TableText"/>
            </w:pPr>
            <w:r>
              <w:t>POST /auth/forgot-password</w:t>
            </w:r>
          </w:p>
        </w:tc>
        <w:tc>
          <w:tcPr>
            <w:tcW w:type="dxa" w:w="5110"/>
          </w:tcPr>
          <w:p>
            <w:pPr>
              <w:pStyle w:val="TableText"/>
            </w:pPr>
            <w:r>
              <w:t>email; 202 chung, tránh user enumeration.</w:t>
            </w:r>
          </w:p>
        </w:tc>
      </w:tr>
      <w:tr>
        <w:trPr>
          <w:cantSplit/>
        </w:trPr>
        <w:tc>
          <w:tcPr>
            <w:tcW w:type="dxa" w:w="4250"/>
          </w:tcPr>
          <w:p>
            <w:pPr>
              <w:pStyle w:val="TableText"/>
            </w:pPr>
            <w:r>
              <w:t>POST /auth/reset-password</w:t>
            </w:r>
          </w:p>
        </w:tc>
        <w:tc>
          <w:tcPr>
            <w:tcW w:type="dxa" w:w="5110"/>
          </w:tcPr>
          <w:p>
            <w:pPr>
              <w:pStyle w:val="TableText"/>
            </w:pPr>
            <w:r>
              <w:t>token, newPassword; single-use; revoke session.</w:t>
            </w:r>
          </w:p>
        </w:tc>
      </w:tr>
      <w:tr>
        <w:trPr>
          <w:cantSplit/>
        </w:trPr>
        <w:tc>
          <w:tcPr>
            <w:tcW w:type="dxa" w:w="4250"/>
          </w:tcPr>
          <w:p>
            <w:pPr>
              <w:pStyle w:val="TableText"/>
            </w:pPr>
            <w:r>
              <w:t>GET/PATCH /me; GET /me/sessions</w:t>
            </w:r>
          </w:p>
        </w:tc>
        <w:tc>
          <w:tcPr>
            <w:tcW w:type="dxa" w:w="5110"/>
          </w:tcPr>
          <w:p>
            <w:pPr>
              <w:pStyle w:val="TableText"/>
            </w:pPr>
            <w:r>
              <w:t>Profile cho chính mình; không cho cập nhật role/auth_version.</w:t>
            </w:r>
          </w:p>
        </w:tc>
      </w:tr>
      <w:tr>
        <w:trPr>
          <w:cantSplit/>
        </w:trPr>
        <w:tc>
          <w:tcPr>
            <w:tcW w:type="dxa" w:w="4250"/>
          </w:tcPr>
          <w:p>
            <w:pPr>
              <w:pStyle w:val="TableText"/>
            </w:pPr>
            <w:r>
              <w:t>DELETE /me/sessions/{id}</w:t>
            </w:r>
          </w:p>
        </w:tc>
        <w:tc>
          <w:tcPr>
            <w:tcW w:type="dxa" w:w="5110"/>
          </w:tcPr>
          <w:p>
            <w:pPr>
              <w:pStyle w:val="TableText"/>
            </w:pPr>
            <w:r>
              <w:t>Chỉ session của user hiện tại; cập nhật thông tin đăng nhập FE.</w:t>
            </w:r>
          </w:p>
        </w:tc>
      </w:tr>
    </w:tbl>
    <w:p>
      <w:pPr>
        <w:pStyle w:val="Heading2"/>
      </w:pPr>
      <w:r>
        <w:t>Dịch vụ email dùng chung</w:t>
      </w:r>
    </w:p>
    <w:p>
      <w:pPr>
        <w:pStyle w:val="PlanBullet"/>
        <w:numPr>
          <w:ilvl w:val="0"/>
          <w:numId w:val="80"/>
        </w:numPr>
      </w:pPr>
      <w:r>
        <w:t>EmailService có interface; chọn adapter provider khi cấu hình. Template theo locale, link theo public base URL allowlist; không nhận redirect URL tùy ý từ client.</w:t>
      </w:r>
    </w:p>
    <w:p>
      <w:pPr>
        <w:pStyle w:val="PlanBullet"/>
        <w:numPr>
          <w:ilvl w:val="0"/>
          <w:numId w:val="80"/>
        </w:numPr>
      </w:pPr>
      <w:r>
        <w:t>Lưu outbox trong transaction nghiệp vụ; worker gửi sau commit. Có attempts, next_retry_at, provider_message_id, delivered/bounced nếu provider hỗ trợ; retry theo backoff và hàng lỗi để kiểm tra.</w:t>
      </w:r>
    </w:p>
    <w:p>
      <w:pPr>
        <w:pStyle w:val="PlanBullet"/>
        <w:numPr>
          <w:ilvl w:val="0"/>
          <w:numId w:val="80"/>
        </w:numPr>
      </w:pPr>
      <w:r>
        <w:t>Dùng dedup key theo loại thông báo và sự kiện nghiệp vụ. Resend do người dùng chủ động được tạo sự kiện mới hợp lệ; không ghi token/link thô vào audit.</w:t>
      </w:r>
    </w:p>
    <w:p>
      <w:pPr>
        <w:pStyle w:val="PlanBullet"/>
        <w:numPr>
          <w:ilvl w:val="0"/>
          <w:numId w:val="80"/>
        </w:numPr>
      </w:pPr>
      <w:r>
        <w:t>Nếu job cần token để dựng link, payload chứa token phải được mã hóa, giới hạn quyền và xóa sau gửi/hết hạn; bảng token vẫn chỉ lưu hash.</w:t>
      </w:r>
    </w:p>
    <w:p>
      <w:pPr>
        <w:pStyle w:val="Callout"/>
      </w:pPr>
      <w:r>
        <w:t>Nghiệm thu email: domain gửi được cấu hình đúng theo provider; link dẫn đúng môi trường; mail retry không tạo thêm user/member; lỗi gửi có thể xem và chạy lại an toàn.</w:t>
      </w:r>
    </w:p>
    <w:p>
      <w:pPr>
        <w:pStyle w:val="Heading1"/>
        <w:pageBreakBefore/>
      </w:pPr>
      <w:r>
        <w:t>13. S3 — Plan, feature và trial</w:t>
      </w:r>
    </w:p>
    <w:p>
      <w:pPr>
        <w:pStyle w:val="Meta"/>
      </w:pPr>
      <w:r>
        <w:t>Phụ thuộc S1/S2. Gói theo workspace; giá và quyền có phiên bản.</w:t>
      </w:r>
    </w:p>
    <w:p>
      <w:pPr>
        <w:pStyle w:val="Heading2"/>
      </w:pPr>
      <w:r>
        <w:t>Cấu hình sandbox đề xuất</w:t>
      </w:r>
    </w:p>
    <w:tbl>
      <w:tblPr>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CBD5E1"/>
          <w:left w:val="single" w:sz="4" w:color="CBD5E1"/>
          <w:bottom w:val="single" w:sz="4" w:color="CBD5E1"/>
          <w:right w:val="single" w:sz="4" w:color="CBD5E1"/>
          <w:insideH w:val="single" w:sz="4" w:color="CBD5E1"/>
          <w:insideV w:val="single" w:sz="4" w:color="CBD5E1"/>
        </w:tblBorders>
      </w:tblPr>
      <w:tblGrid>
        <w:gridCol w:w="4090"/>
        <w:gridCol w:w="1590"/>
        <w:gridCol w:w="1770"/>
        <w:gridCol w:w="1910"/>
      </w:tblGrid>
      <w:tr>
        <w:trPr>
          <w:cantSplit/>
          <w:tblHeader/>
        </w:trPr>
        <w:tc>
          <w:tcPr>
            <w:tcW w:type="dxa" w:w="4090"/>
            <w:shd w:fill="E8EEF5"/>
          </w:tcPr>
          <w:p>
            <w:pPr>
              <w:pStyle w:val="TableText"/>
            </w:pPr>
            <w:r>
              <w:rPr>
                <w:b/>
              </w:rPr>
              <w:t>Chỉ tiêu</w:t>
            </w:r>
          </w:p>
        </w:tc>
        <w:tc>
          <w:tcPr>
            <w:tcW w:type="dxa" w:w="1590"/>
            <w:shd w:fill="E8EEF5"/>
          </w:tcPr>
          <w:p>
            <w:pPr>
              <w:pStyle w:val="TableText"/>
            </w:pPr>
            <w:r>
              <w:rPr>
                <w:b/>
              </w:rPr>
              <w:t>Free</w:t>
            </w:r>
          </w:p>
        </w:tc>
        <w:tc>
          <w:tcPr>
            <w:tcW w:type="dxa" w:w="1770"/>
            <w:shd w:fill="E8EEF5"/>
          </w:tcPr>
          <w:p>
            <w:pPr>
              <w:pStyle w:val="TableText"/>
            </w:pPr>
            <w:r>
              <w:rPr>
                <w:b/>
              </w:rPr>
              <w:t>Pro</w:t>
            </w:r>
          </w:p>
        </w:tc>
        <w:tc>
          <w:tcPr>
            <w:tcW w:type="dxa" w:w="1910"/>
            <w:shd w:fill="E8EEF5"/>
          </w:tcPr>
          <w:p>
            <w:pPr>
              <w:pStyle w:val="TableText"/>
            </w:pPr>
            <w:r>
              <w:rPr>
                <w:b/>
              </w:rPr>
              <w:t>Business</w:t>
            </w:r>
          </w:p>
        </w:tc>
      </w:tr>
      <w:tr>
        <w:trPr>
          <w:cantSplit/>
        </w:trPr>
        <w:tc>
          <w:tcPr>
            <w:tcW w:type="dxa" w:w="4090"/>
          </w:tcPr>
          <w:p>
            <w:pPr>
              <w:pStyle w:val="TableText"/>
            </w:pPr>
            <w:r>
              <w:t>Thành viên ACTIVE, gồm Owner/Viewer</w:t>
            </w:r>
          </w:p>
        </w:tc>
        <w:tc>
          <w:tcPr>
            <w:tcW w:type="dxa" w:w="1590"/>
          </w:tcPr>
          <w:p>
            <w:pPr>
              <w:pStyle w:val="TableText"/>
            </w:pPr>
            <w:r>
              <w:t>3</w:t>
            </w:r>
          </w:p>
        </w:tc>
        <w:tc>
          <w:tcPr>
            <w:tcW w:type="dxa" w:w="1770"/>
          </w:tcPr>
          <w:p>
            <w:pPr>
              <w:pStyle w:val="TableText"/>
            </w:pPr>
            <w:r>
              <w:t>20</w:t>
            </w:r>
          </w:p>
        </w:tc>
        <w:tc>
          <w:tcPr>
            <w:tcW w:type="dxa" w:w="1910"/>
          </w:tcPr>
          <w:p>
            <w:pPr>
              <w:pStyle w:val="TableText"/>
            </w:pPr>
            <w:r>
              <w:t>Cấu hình riêng</w:t>
            </w:r>
          </w:p>
        </w:tc>
      </w:tr>
      <w:tr>
        <w:trPr>
          <w:cantSplit/>
        </w:trPr>
        <w:tc>
          <w:tcPr>
            <w:tcW w:type="dxa" w:w="4090"/>
          </w:tcPr>
          <w:p>
            <w:pPr>
              <w:pStyle w:val="TableText"/>
            </w:pPr>
            <w:r>
              <w:t>Project chưa xóa, gồm archived</w:t>
            </w:r>
          </w:p>
        </w:tc>
        <w:tc>
          <w:tcPr>
            <w:tcW w:type="dxa" w:w="1590"/>
          </w:tcPr>
          <w:p>
            <w:pPr>
              <w:pStyle w:val="TableText"/>
            </w:pPr>
            <w:r>
              <w:t>3</w:t>
            </w:r>
          </w:p>
        </w:tc>
        <w:tc>
          <w:tcPr>
            <w:tcW w:type="dxa" w:w="1770"/>
          </w:tcPr>
          <w:p>
            <w:pPr>
              <w:pStyle w:val="TableText"/>
            </w:pPr>
            <w:r>
              <w:t>Không giới hạn</w:t>
            </w:r>
          </w:p>
        </w:tc>
        <w:tc>
          <w:tcPr>
            <w:tcW w:type="dxa" w:w="1910"/>
          </w:tcPr>
          <w:p>
            <w:pPr>
              <w:pStyle w:val="TableText"/>
            </w:pPr>
            <w:r>
              <w:t>Cấu hình riêng</w:t>
            </w:r>
          </w:p>
        </w:tc>
      </w:tr>
      <w:tr>
        <w:trPr>
          <w:cantSplit/>
        </w:trPr>
        <w:tc>
          <w:tcPr>
            <w:tcW w:type="dxa" w:w="4090"/>
          </w:tcPr>
          <w:p>
            <w:pPr>
              <w:pStyle w:val="TableText"/>
            </w:pPr>
            <w:r>
              <w:t>Task chưa xóa, mọi trạng thái</w:t>
            </w:r>
          </w:p>
        </w:tc>
        <w:tc>
          <w:tcPr>
            <w:tcW w:type="dxa" w:w="1590"/>
          </w:tcPr>
          <w:p>
            <w:pPr>
              <w:pStyle w:val="TableText"/>
            </w:pPr>
            <w:r>
              <w:t>1.000</w:t>
            </w:r>
          </w:p>
        </w:tc>
        <w:tc>
          <w:tcPr>
            <w:tcW w:type="dxa" w:w="1770"/>
          </w:tcPr>
          <w:p>
            <w:pPr>
              <w:pStyle w:val="TableText"/>
            </w:pPr>
            <w:r>
              <w:t>100.000</w:t>
            </w:r>
          </w:p>
        </w:tc>
        <w:tc>
          <w:tcPr>
            <w:tcW w:type="dxa" w:w="1910"/>
          </w:tcPr>
          <w:p>
            <w:pPr>
              <w:pStyle w:val="TableText"/>
            </w:pPr>
            <w:r>
              <w:t>Cấu hình riêng</w:t>
            </w:r>
          </w:p>
        </w:tc>
      </w:tr>
      <w:tr>
        <w:trPr>
          <w:cantSplit/>
        </w:trPr>
        <w:tc>
          <w:tcPr>
            <w:tcW w:type="dxa" w:w="4090"/>
          </w:tcPr>
          <w:p>
            <w:pPr>
              <w:pStyle w:val="TableText"/>
            </w:pPr>
            <w:r>
              <w:t>Dung lượng file thực còn lưu</w:t>
            </w:r>
          </w:p>
        </w:tc>
        <w:tc>
          <w:tcPr>
            <w:tcW w:type="dxa" w:w="1590"/>
          </w:tcPr>
          <w:p>
            <w:pPr>
              <w:pStyle w:val="TableText"/>
            </w:pPr>
            <w:r>
              <w:t>500 MiB</w:t>
            </w:r>
          </w:p>
        </w:tc>
        <w:tc>
          <w:tcPr>
            <w:tcW w:type="dxa" w:w="1770"/>
          </w:tcPr>
          <w:p>
            <w:pPr>
              <w:pStyle w:val="TableText"/>
            </w:pPr>
            <w:r>
              <w:t>20 GiB</w:t>
            </w:r>
          </w:p>
        </w:tc>
        <w:tc>
          <w:tcPr>
            <w:tcW w:type="dxa" w:w="1910"/>
          </w:tcPr>
          <w:p>
            <w:pPr>
              <w:pStyle w:val="TableText"/>
            </w:pPr>
            <w:r>
              <w:t>Cấu hình riêng</w:t>
            </w:r>
          </w:p>
        </w:tc>
      </w:tr>
      <w:tr>
        <w:trPr>
          <w:cantSplit/>
        </w:trPr>
        <w:tc>
          <w:tcPr>
            <w:tcW w:type="dxa" w:w="4090"/>
          </w:tcPr>
          <w:p>
            <w:pPr>
              <w:pStyle w:val="TableText"/>
            </w:pPr>
            <w:r>
              <w:t>Kích thước mỗi upload</w:t>
            </w:r>
          </w:p>
        </w:tc>
        <w:tc>
          <w:tcPr>
            <w:tcW w:type="dxa" w:w="1590"/>
          </w:tcPr>
          <w:p>
            <w:pPr>
              <w:pStyle w:val="TableText"/>
            </w:pPr>
            <w:r>
              <w:t>10 MiB</w:t>
            </w:r>
          </w:p>
        </w:tc>
        <w:tc>
          <w:tcPr>
            <w:tcW w:type="dxa" w:w="1770"/>
          </w:tcPr>
          <w:p>
            <w:pPr>
              <w:pStyle w:val="TableText"/>
            </w:pPr>
            <w:r>
              <w:t>100 MiB</w:t>
            </w:r>
          </w:p>
        </w:tc>
        <w:tc>
          <w:tcPr>
            <w:tcW w:type="dxa" w:w="1910"/>
          </w:tcPr>
          <w:p>
            <w:pPr>
              <w:pStyle w:val="TableText"/>
            </w:pPr>
            <w:r>
              <w:t>Cấu hình riêng</w:t>
            </w:r>
          </w:p>
        </w:tc>
      </w:tr>
      <w:tr>
        <w:trPr>
          <w:cantSplit/>
        </w:trPr>
        <w:tc>
          <w:tcPr>
            <w:tcW w:type="dxa" w:w="4090"/>
          </w:tcPr>
          <w:p>
            <w:pPr>
              <w:pStyle w:val="TableText"/>
            </w:pPr>
            <w:r>
              <w:t>Time tracking + báo cáo cơ bản</w:t>
            </w:r>
          </w:p>
        </w:tc>
        <w:tc>
          <w:tcPr>
            <w:tcW w:type="dxa" w:w="1590"/>
          </w:tcPr>
          <w:p>
            <w:pPr>
              <w:pStyle w:val="TableText"/>
            </w:pPr>
            <w:r>
              <w:t>Có</w:t>
            </w:r>
          </w:p>
        </w:tc>
        <w:tc>
          <w:tcPr>
            <w:tcW w:type="dxa" w:w="1770"/>
          </w:tcPr>
          <w:p>
            <w:pPr>
              <w:pStyle w:val="TableText"/>
            </w:pPr>
            <w:r>
              <w:t>Có</w:t>
            </w:r>
          </w:p>
        </w:tc>
        <w:tc>
          <w:tcPr>
            <w:tcW w:type="dxa" w:w="1910"/>
          </w:tcPr>
          <w:p>
            <w:pPr>
              <w:pStyle w:val="TableText"/>
            </w:pPr>
            <w:r>
              <w:t>Có</w:t>
            </w:r>
          </w:p>
        </w:tc>
      </w:tr>
      <w:tr>
        <w:trPr>
          <w:cantSplit/>
        </w:trPr>
        <w:tc>
          <w:tcPr>
            <w:tcW w:type="dxa" w:w="4090"/>
          </w:tcPr>
          <w:p>
            <w:pPr>
              <w:pStyle w:val="TableText"/>
            </w:pPr>
            <w:r>
              <w:t>Export Excel/PDF</w:t>
            </w:r>
          </w:p>
        </w:tc>
        <w:tc>
          <w:tcPr>
            <w:tcW w:type="dxa" w:w="1590"/>
          </w:tcPr>
          <w:p>
            <w:pPr>
              <w:pStyle w:val="TableText"/>
            </w:pPr>
            <w:r>
              <w:t>Không</w:t>
            </w:r>
          </w:p>
        </w:tc>
        <w:tc>
          <w:tcPr>
            <w:tcW w:type="dxa" w:w="1770"/>
          </w:tcPr>
          <w:p>
            <w:pPr>
              <w:pStyle w:val="TableText"/>
            </w:pPr>
            <w:r>
              <w:t>100 job/tháng</w:t>
            </w:r>
          </w:p>
        </w:tc>
        <w:tc>
          <w:tcPr>
            <w:tcW w:type="dxa" w:w="1910"/>
          </w:tcPr>
          <w:p>
            <w:pPr>
              <w:pStyle w:val="TableText"/>
            </w:pPr>
            <w:r>
              <w:t>Cấu hình riêng</w:t>
            </w:r>
          </w:p>
        </w:tc>
      </w:tr>
      <w:tr>
        <w:trPr>
          <w:cantSplit/>
        </w:trPr>
        <w:tc>
          <w:tcPr>
            <w:tcW w:type="dxa" w:w="4090"/>
          </w:tcPr>
          <w:p>
            <w:pPr>
              <w:pStyle w:val="TableText"/>
            </w:pPr>
            <w:r>
              <w:t>Analytics nâng cao</w:t>
            </w:r>
          </w:p>
        </w:tc>
        <w:tc>
          <w:tcPr>
            <w:tcW w:type="dxa" w:w="1590"/>
          </w:tcPr>
          <w:p>
            <w:pPr>
              <w:pStyle w:val="TableText"/>
            </w:pPr>
            <w:r>
              <w:t>Không</w:t>
            </w:r>
          </w:p>
        </w:tc>
        <w:tc>
          <w:tcPr>
            <w:tcW w:type="dxa" w:w="1770"/>
          </w:tcPr>
          <w:p>
            <w:pPr>
              <w:pStyle w:val="TableText"/>
            </w:pPr>
            <w:r>
              <w:t>Có</w:t>
            </w:r>
          </w:p>
        </w:tc>
        <w:tc>
          <w:tcPr>
            <w:tcW w:type="dxa" w:w="1910"/>
          </w:tcPr>
          <w:p>
            <w:pPr>
              <w:pStyle w:val="TableText"/>
            </w:pPr>
            <w:r>
              <w:t>Có</w:t>
            </w:r>
          </w:p>
        </w:tc>
      </w:tr>
      <w:tr>
        <w:trPr>
          <w:cantSplit/>
        </w:trPr>
        <w:tc>
          <w:tcPr>
            <w:tcW w:type="dxa" w:w="4090"/>
          </w:tcPr>
          <w:p>
            <w:pPr>
              <w:pStyle w:val="TableText"/>
            </w:pPr>
            <w:r>
              <w:t>AI assistant</w:t>
            </w:r>
          </w:p>
        </w:tc>
        <w:tc>
          <w:tcPr>
            <w:tcW w:type="dxa" w:w="1590"/>
          </w:tcPr>
          <w:p>
            <w:pPr>
              <w:pStyle w:val="TableText"/>
            </w:pPr>
            <w:r>
              <w:t>Tắt</w:t>
            </w:r>
          </w:p>
        </w:tc>
        <w:tc>
          <w:tcPr>
            <w:tcW w:type="dxa" w:w="1770"/>
          </w:tcPr>
          <w:p>
            <w:pPr>
              <w:pStyle w:val="TableText"/>
            </w:pPr>
            <w:r>
              <w:t>100 yêu cầu/tháng*</w:t>
            </w:r>
          </w:p>
        </w:tc>
        <w:tc>
          <w:tcPr>
            <w:tcW w:type="dxa" w:w="1910"/>
          </w:tcPr>
          <w:p>
            <w:pPr>
              <w:pStyle w:val="TableText"/>
            </w:pPr>
            <w:r>
              <w:t>Cấu hình riêng</w:t>
            </w:r>
          </w:p>
        </w:tc>
      </w:tr>
    </w:tbl>
    <w:p>
      <w:pPr>
        <w:pStyle w:val="Meta"/>
      </w:pPr>
      <w:r>
        <w:t>* Đồng thời áp ngân sách token/chi phí, độ dài input, thời gian audio và giới hạn đồng thời; 100 yêu cầu không đại diện cho chi phí cố định. Các quota trên dùng phát triển/sandbox, phải chốt theo chi phí thực trước mở bán.</w:t>
      </w:r>
    </w:p>
    <w:p>
      <w:pPr>
        <w:pStyle w:val="Heading2"/>
      </w:pPr>
      <w:r>
        <w:t>Các bước thực hiện</w:t>
      </w:r>
    </w:p>
    <w:p>
      <w:pPr>
        <w:pStyle w:val="PlanBullet"/>
        <w:numPr>
          <w:ilvl w:val="0"/>
          <w:numId w:val="80"/>
        </w:numPr>
      </w:pPr>
      <w:r>
        <w:t>S3.1 — Seed feature_definitions, plan_versions, plan_prices và quota; giá chưa chốt thì không cho checkout live. Feature code giữ REPORT, EXPORT_EXCEL/PDF, ADVANCED_ANALYTICS, FILE_ATTACHMENT, TIME_TRACKING, AI_ASSISTANT.</w:t>
      </w:r>
    </w:p>
    <w:p>
      <w:pPr>
        <w:pStyle w:val="PlanBullet"/>
        <w:numPr>
          <w:ilvl w:val="0"/>
          <w:numId w:val="80"/>
        </w:numPr>
      </w:pPr>
      <w:r>
        <w:t>S3.2 — Viết EntitlementService đọc trạng thái subscription và plan version; backend kiểm tra ở service nghiệp vụ. FE dùng response capabilities để hiển thị, không tự suy ra quyền từ tên gói.</w:t>
      </w:r>
    </w:p>
    <w:p>
      <w:pPr>
        <w:pStyle w:val="PlanBullet"/>
        <w:numPr>
          <w:ilvl w:val="0"/>
          <w:numId w:val="80"/>
        </w:numPr>
      </w:pPr>
      <w:r>
        <w:t>S3.3 — Tạo Free subscription ACTIVE khi tạo workspace. Owner chọn bắt đầu Pro trial; ghi trial_used_at một lần, trial_end = thời điểm bắt đầu + 14 ngày.</w:t>
      </w:r>
    </w:p>
    <w:p>
      <w:pPr>
        <w:pStyle w:val="PlanBullet"/>
        <w:numPr>
          <w:ilvl w:val="0"/>
          <w:numId w:val="80"/>
        </w:numPr>
      </w:pPr>
      <w:r>
        <w:t>S3.4 — Trial áp hạn mức Pro; theo dõi chống lạm dụng tạo nhiều workspace. Không hứa trial lặp bằng cách xóa/tạo lại workspace hoặc đổi owner.</w:t>
      </w:r>
    </w:p>
    <w:p>
      <w:pPr>
        <w:pStyle w:val="PlanBullet"/>
        <w:numPr>
          <w:ilvl w:val="0"/>
          <w:numId w:val="80"/>
        </w:numPr>
      </w:pPr>
      <w:r>
        <w:t>S3.5 — GET /workspaces/{w}/entitlements và /usage trả limit/used/reserved/resetAt; thông tin billing chi tiết chỉ Owner.</w:t>
      </w:r>
    </w:p>
    <w:p>
      <w:pPr>
        <w:pStyle w:val="Heading1"/>
        <w:pageBreakBefore/>
      </w:pPr>
      <w:r>
        <w:t>14. S3 — Quota, usage và chống vượt hạn</w:t>
      </w:r>
    </w:p>
    <w:p>
      <w:pPr>
        <w:pStyle w:val="Meta"/>
      </w:pPr>
      <w:r>
        <w:t>Snapshot để hiển thị; kiểm tra ghi dữ liệu phải dùng nguồn nhất quán.</w:t>
      </w:r>
    </w:p>
    <w:p>
      <w:pPr>
        <w:pStyle w:val="Heading2"/>
      </w:pPr>
      <w:r>
        <w:t>Định nghĩa đơn vị sử dụng</w:t>
      </w:r>
    </w:p>
    <w:p>
      <w:pPr>
        <w:pStyle w:val="PlanBullet"/>
        <w:numPr>
          <w:ilvl w:val="0"/>
          <w:numId w:val="80"/>
        </w:numPr>
      </w:pPr>
      <w:r>
        <w:t>MEMBERS: membership ACTIVE, gồm owner và viewer; invitation PENDING không chiếm chỗ. PROJECTS/TASKS: chưa soft delete; DONE/CANCELLED/ARCHIVED vẫn tính như bảng gói.</w:t>
      </w:r>
    </w:p>
    <w:p>
      <w:pPr>
        <w:pStyle w:val="PlanBullet"/>
        <w:numPr>
          <w:ilvl w:val="0"/>
          <w:numId w:val="80"/>
        </w:numPr>
      </w:pPr>
      <w:r>
        <w:t>STORAGE_BYTES: byte vật lý còn được giữ cho workspace, gồm file soft delete chưa purge; không giảm quota trước khi xóa file vật lý thành công. Có mục “thùng rác chiếm dung lượng”.</w:t>
      </w:r>
    </w:p>
    <w:p>
      <w:pPr>
        <w:pStyle w:val="PlanBullet"/>
        <w:numPr>
          <w:ilvl w:val="0"/>
          <w:numId w:val="80"/>
        </w:numPr>
      </w:pPr>
      <w:r>
        <w:t>EXPORT_JOBS: một job hoàn tất tạo artifact tính một lượt; retry cùng job không tính thêm. AI: ghi request và token/chi phí thực tế từ provider; lỗi trước gọi không tính, lỗi sau tiêu thụ tính phần đã dùng.</w:t>
      </w:r>
    </w:p>
    <w:p>
      <w:pPr>
        <w:pStyle w:val="PlanBullet"/>
        <w:numPr>
          <w:ilvl w:val="0"/>
          <w:numId w:val="80"/>
        </w:numPr>
      </w:pPr>
      <w:r>
        <w:t>Quota tháng của export/AI reset theo tháng lịch UTC, tách khỏi kỳ thu phí. API trả rõ window/resetAt; timezone workspace chỉ ảnh hưởng hiển thị/lịch nghiệp vụ.</w:t>
      </w:r>
    </w:p>
    <w:p>
      <w:pPr>
        <w:pStyle w:val="Heading2"/>
      </w:pPr>
      <w:r>
        <w:t>Thuật toán reserve → commit/release</w:t>
      </w:r>
    </w:p>
    <w:p>
      <w:pPr>
        <w:pStyle w:val="PlanBullet"/>
        <w:numPr>
          <w:ilvl w:val="0"/>
          <w:numId w:val="80"/>
        </w:numPr>
      </w:pPr>
      <w:r>
        <w:t>S3.6 — Với thao tác tạo đồng bộ, lock/cập nhật counter theo điều kiện used + reserved + delta ≤ limit, rồi ghi resource cùng transaction. Rollback resource phải rollback counter.</w:t>
      </w:r>
    </w:p>
    <w:p>
      <w:pPr>
        <w:pStyle w:val="PlanBullet"/>
        <w:numPr>
          <w:ilvl w:val="0"/>
          <w:numId w:val="80"/>
        </w:numPr>
      </w:pPr>
      <w:r>
        <w:t>S3.7 — Với upload/import/export/AI bất đồng bộ, tạo reservation có TTL và khóa nghiệp vụ duy nhất trước khi chạy. Commit khi có kết quả; release phần chưa dùng khi hủy/lỗi.</w:t>
      </w:r>
    </w:p>
    <w:p>
      <w:pPr>
        <w:pStyle w:val="PlanBullet"/>
        <w:numPr>
          <w:ilvl w:val="0"/>
          <w:numId w:val="80"/>
        </w:numPr>
      </w:pPr>
      <w:r>
        <w:t>S3.8 — Reserve toàn bộ số Task hợp lệ của import trước khi ghi; một dòng hoặc quota lỗi không được tạo dở dang. File upload kiểm tra cả dung lượng dự kiến và dung lượng thực.</w:t>
      </w:r>
    </w:p>
    <w:p>
      <w:pPr>
        <w:pStyle w:val="PlanBullet"/>
        <w:numPr>
          <w:ilvl w:val="0"/>
          <w:numId w:val="80"/>
        </w:numPr>
      </w:pPr>
      <w:r>
        <w:t>S3.9 — Unique request/job key chống cộng hai lần. Reservation timeout phải kiểm tra trạng thái job/provider trước khi giải phóng để không bỏ sót tài nguyên đã tạo.</w:t>
      </w:r>
    </w:p>
    <w:p>
      <w:pPr>
        <w:pStyle w:val="PlanBullet"/>
        <w:numPr>
          <w:ilvl w:val="0"/>
          <w:numId w:val="80"/>
        </w:numPr>
      </w:pPr>
      <w:r>
        <w:t>S3.10 — Job đối soát hằng ngày tính lại từ dữ liệu gốc, ghi chênh lệch và sửa có audit. Redis dùng cache/tăng tốc; counter DB hoặc cơ chế nguyên tử được chọn là nguồn quyết định.</w:t>
      </w:r>
    </w:p>
    <w:p>
      <w:pPr>
        <w:pStyle w:val="Heading2"/>
      </w:pPr>
      <w:r>
        <w:t>Khi hạ gói vượt quota</w:t>
      </w:r>
    </w:p>
    <w:p>
      <w:r>
        <w:t>Giữ dữ liệu cũ. Owner chọn tối đa số seat gói cho phép, luôn gồm Owner; nếu chưa chọn, seat vượt giới hạn chuyển trạng thái OVER_LIMIT chỉ đọc, không xóa membership. Chặn tạo Project/Task/upload mới khi vượt quota tương ứng; cho đọc, dọn dữ liệu và sửa/hoàn tất Task hiện có theo quyền. Paid-only job mới bị chặn; artifact đã tạo còn tải được trong retention và phạm vi quyền.</w:t>
      </w:r>
    </w:p>
    <w:p>
      <w:pPr>
        <w:pStyle w:val="Callout"/>
      </w:pPr>
      <w:r>
        <w:t>Nghiệm thu: hai request tranh một chỗ chỉ một thành công; import rollback không tăng usage; file lỗi không giữ reservation vô hạn; đổi plan có hiệu lực mà cache không giữ quyền cũ.</w:t>
      </w:r>
    </w:p>
    <w:p>
      <w:pPr>
        <w:pStyle w:val="Heading1"/>
        <w:pageBreakBefore/>
      </w:pPr>
      <w:r>
        <w:t>15. S4 — Vòng đời subscription</w:t>
      </w:r>
    </w:p>
    <w:p>
      <w:pPr>
        <w:pStyle w:val="Meta"/>
      </w:pPr>
      <w:r>
        <w:t>Tách trạng thái thanh toán, trạng thái thuê bao và cờ hủy gia hạn.</w:t>
      </w:r>
    </w:p>
    <w:tbl>
      <w:tblPr>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CBD5E1"/>
          <w:left w:val="single" w:sz="4" w:color="CBD5E1"/>
          <w:bottom w:val="single" w:sz="4" w:color="CBD5E1"/>
          <w:right w:val="single" w:sz="4" w:color="CBD5E1"/>
          <w:insideH w:val="single" w:sz="4" w:color="CBD5E1"/>
          <w:insideV w:val="single" w:sz="4" w:color="CBD5E1"/>
        </w:tblBorders>
      </w:tblPr>
      <w:tblGrid>
        <w:gridCol w:w="3880"/>
        <w:gridCol w:w="5480"/>
      </w:tblGrid>
      <w:tr>
        <w:trPr>
          <w:cantSplit/>
          <w:tblHeader/>
        </w:trPr>
        <w:tc>
          <w:tcPr>
            <w:tcW w:type="dxa" w:w="3880"/>
            <w:shd w:fill="E8EEF5"/>
          </w:tcPr>
          <w:p>
            <w:pPr>
              <w:pStyle w:val="TableText"/>
            </w:pPr>
            <w:r>
              <w:rPr>
                <w:b/>
              </w:rPr>
              <w:t>Trạng thái/sự kiện</w:t>
            </w:r>
          </w:p>
        </w:tc>
        <w:tc>
          <w:tcPr>
            <w:tcW w:type="dxa" w:w="5480"/>
            <w:shd w:fill="E8EEF5"/>
          </w:tcPr>
          <w:p>
            <w:pPr>
              <w:pStyle w:val="TableText"/>
            </w:pPr>
            <w:r>
              <w:rPr>
                <w:b/>
              </w:rPr>
              <w:t>Kết quả và quyền hiệu lực</w:t>
            </w:r>
          </w:p>
        </w:tc>
      </w:tr>
      <w:tr>
        <w:trPr>
          <w:cantSplit/>
        </w:trPr>
        <w:tc>
          <w:tcPr>
            <w:tcW w:type="dxa" w:w="3880"/>
          </w:tcPr>
          <w:p>
            <w:pPr>
              <w:pStyle w:val="TableText"/>
            </w:pPr>
            <w:r>
              <w:t>Free ACTIVE → bắt đầu trial</w:t>
            </w:r>
          </w:p>
        </w:tc>
        <w:tc>
          <w:tcPr>
            <w:tcW w:type="dxa" w:w="5480"/>
          </w:tcPr>
          <w:p>
            <w:pPr>
              <w:pStyle w:val="TableText"/>
            </w:pPr>
            <w:r>
              <w:t>Plan hiệu lực Pro; TRIALING; ghi ngày kết thúc và trial_used_at.</w:t>
            </w:r>
          </w:p>
        </w:tc>
      </w:tr>
      <w:tr>
        <w:trPr>
          <w:cantSplit/>
        </w:trPr>
        <w:tc>
          <w:tcPr>
            <w:tcW w:type="dxa" w:w="3880"/>
          </w:tcPr>
          <w:p>
            <w:pPr>
              <w:pStyle w:val="TableText"/>
            </w:pPr>
            <w:r>
              <w:t>TRIALING → mua thành công</w:t>
            </w:r>
          </w:p>
        </w:tc>
        <w:tc>
          <w:tcPr>
            <w:tcW w:type="dxa" w:w="5480"/>
          </w:tcPr>
          <w:p>
            <w:pPr>
              <w:pStyle w:val="TableText"/>
            </w:pPr>
            <w:r>
              <w:t>ACTIVE gói đã mua; kỳ bắt đầu khi xác nhận payment; thời gian trial còn lại không cộng dồn. UI nói rõ trước mua.</w:t>
            </w:r>
          </w:p>
        </w:tc>
      </w:tr>
      <w:tr>
        <w:trPr>
          <w:cantSplit/>
        </w:trPr>
        <w:tc>
          <w:tcPr>
            <w:tcW w:type="dxa" w:w="3880"/>
          </w:tcPr>
          <w:p>
            <w:pPr>
              <w:pStyle w:val="TableText"/>
            </w:pPr>
            <w:r>
              <w:t>TRIALING → hết trial</w:t>
            </w:r>
          </w:p>
        </w:tc>
        <w:tc>
          <w:tcPr>
            <w:tcW w:type="dxa" w:w="5480"/>
          </w:tcPr>
          <w:p>
            <w:pPr>
              <w:pStyle w:val="TableText"/>
            </w:pPr>
            <w:r>
              <w:t>Đóng trial trong history; current subscription về Free ACTIVE, áp over-limit; không tự thu tiền.</w:t>
            </w:r>
          </w:p>
        </w:tc>
      </w:tr>
      <w:tr>
        <w:trPr>
          <w:cantSplit/>
        </w:trPr>
        <w:tc>
          <w:tcPr>
            <w:tcW w:type="dxa" w:w="3880"/>
          </w:tcPr>
          <w:p>
            <w:pPr>
              <w:pStyle w:val="TableText"/>
            </w:pPr>
            <w:r>
              <w:t>ACTIVE trả phí → hủy gia hạn</w:t>
            </w:r>
          </w:p>
        </w:tc>
        <w:tc>
          <w:tcPr>
            <w:tcW w:type="dxa" w:w="5480"/>
          </w:tcPr>
          <w:p>
            <w:pPr>
              <w:pStyle w:val="TableText"/>
            </w:pPr>
            <w:r>
              <w:t>Giữ ACTIVE đến period_end; cancel_at_period_end=true; không thu kỳ tiếp theo.</w:t>
            </w:r>
          </w:p>
        </w:tc>
      </w:tr>
      <w:tr>
        <w:trPr>
          <w:cantSplit/>
        </w:trPr>
        <w:tc>
          <w:tcPr>
            <w:tcW w:type="dxa" w:w="3880"/>
          </w:tcPr>
          <w:p>
            <w:pPr>
              <w:pStyle w:val="TableText"/>
            </w:pPr>
            <w:r>
              <w:t>ACTIVE → thanh toán gia hạn thất bại</w:t>
            </w:r>
          </w:p>
        </w:tc>
        <w:tc>
          <w:tcPr>
            <w:tcW w:type="dxa" w:w="5480"/>
          </w:tcPr>
          <w:p>
            <w:pPr>
              <w:pStyle w:val="TableText"/>
            </w:pPr>
            <w:r>
              <w:t>PAST_DUE, giữ quyền gói trong grace đề xuất 3 ngày; gửi cảnh báo.</w:t>
            </w:r>
          </w:p>
        </w:tc>
      </w:tr>
      <w:tr>
        <w:trPr>
          <w:cantSplit/>
        </w:trPr>
        <w:tc>
          <w:tcPr>
            <w:tcW w:type="dxa" w:w="3880"/>
          </w:tcPr>
          <w:p>
            <w:pPr>
              <w:pStyle w:val="TableText"/>
            </w:pPr>
            <w:r>
              <w:t>PAST_DUE → thu được tiền</w:t>
            </w:r>
          </w:p>
        </w:tc>
        <w:tc>
          <w:tcPr>
            <w:tcW w:type="dxa" w:w="5480"/>
          </w:tcPr>
          <w:p>
            <w:pPr>
              <w:pStyle w:val="TableText"/>
            </w:pPr>
            <w:r>
              <w:t>ACTIVE; cấp đúng kỳ billing order; không cộng ngày theo số lần nhận webhook.</w:t>
            </w:r>
          </w:p>
        </w:tc>
      </w:tr>
      <w:tr>
        <w:trPr>
          <w:cantSplit/>
        </w:trPr>
        <w:tc>
          <w:tcPr>
            <w:tcW w:type="dxa" w:w="3880"/>
          </w:tcPr>
          <w:p>
            <w:pPr>
              <w:pStyle w:val="TableText"/>
            </w:pPr>
            <w:r>
              <w:t>PAST_DUE → hết grace</w:t>
            </w:r>
          </w:p>
        </w:tc>
        <w:tc>
          <w:tcPr>
            <w:tcW w:type="dxa" w:w="5480"/>
          </w:tcPr>
          <w:p>
            <w:pPr>
              <w:pStyle w:val="TableText"/>
            </w:pPr>
            <w:r>
              <w:t>Ghi EXPIRED vào lịch sử kỳ trả phí; về Free ACTIVE, xử lý over-limit.</w:t>
            </w:r>
          </w:p>
        </w:tc>
      </w:tr>
      <w:tr>
        <w:trPr>
          <w:cantSplit/>
        </w:trPr>
        <w:tc>
          <w:tcPr>
            <w:tcW w:type="dxa" w:w="3880"/>
          </w:tcPr>
          <w:p>
            <w:pPr>
              <w:pStyle w:val="TableText"/>
            </w:pPr>
            <w:r>
              <w:t>Đến period_end với cờ hủy</w:t>
            </w:r>
          </w:p>
        </w:tc>
        <w:tc>
          <w:tcPr>
            <w:tcW w:type="dxa" w:w="5480"/>
          </w:tcPr>
          <w:p>
            <w:pPr>
              <w:pStyle w:val="TableText"/>
            </w:pPr>
            <w:r>
              <w:t>Ghi CANCELLED của kỳ trả phí; về Free ACTIVE; giữ dữ liệu.</w:t>
            </w:r>
          </w:p>
        </w:tc>
      </w:tr>
      <w:tr>
        <w:trPr>
          <w:cantSplit/>
        </w:trPr>
        <w:tc>
          <w:tcPr>
            <w:tcW w:type="dxa" w:w="3880"/>
          </w:tcPr>
          <w:p>
            <w:pPr>
              <w:pStyle w:val="TableText"/>
            </w:pPr>
            <w:r>
              <w:t>Workspace SUSPENDED</w:t>
            </w:r>
          </w:p>
        </w:tc>
        <w:tc>
          <w:tcPr>
            <w:tcW w:type="dxa" w:w="5480"/>
          </w:tcPr>
          <w:p>
            <w:pPr>
              <w:pStyle w:val="TableText"/>
            </w:pPr>
            <w:r>
              <w:t>Trạng thái workspace ưu tiên chặn nghiệp vụ; không giả lập payment FAILED.</w:t>
            </w:r>
          </w:p>
        </w:tc>
      </w:tr>
    </w:tbl>
    <w:p>
      <w:pPr>
        <w:pStyle w:val="Heading2"/>
      </w:pPr>
      <w:r>
        <w:t>Nâng/hạ gói và gia hạn</w:t>
      </w:r>
    </w:p>
    <w:p>
      <w:pPr>
        <w:pStyle w:val="PlanBullet"/>
        <w:numPr>
          <w:ilvl w:val="0"/>
          <w:numId w:val="80"/>
        </w:numPr>
      </w:pPr>
      <w:r>
        <w:t>Free → Pro: mua ngay. MVP chỉ mở một gói trả phí self-service, không cần proration giữa nhiều gói. Business hoặc thay chu kỳ là thay đổi cuối kỳ, thông báo ngày hiệu lực.</w:t>
      </w:r>
    </w:p>
    <w:p>
      <w:pPr>
        <w:pStyle w:val="PlanBullet"/>
        <w:numPr>
          <w:ilvl w:val="0"/>
          <w:numId w:val="80"/>
        </w:numPr>
      </w:pPr>
      <w:r>
        <w:t>Hạ gói: lưu pending_plan/effective_at, hiển thị ảnh hưởng quota; không xóa Task/file/member. Hủy yêu cầu hạ gói trước hiệu lực là thao tác riêng.</w:t>
      </w:r>
    </w:p>
    <w:p>
      <w:pPr>
        <w:pStyle w:val="PlanBullet"/>
        <w:numPr>
          <w:ilvl w:val="0"/>
          <w:numId w:val="80"/>
        </w:numPr>
      </w:pPr>
      <w:r>
        <w:t>Gia hạn thủ công: tạo order với kỳ dự kiến; nếu mua trước khi hết hạn thì nối từ period_end; sau khi đã hết thì tính từ thời điểm xác nhận theo policy đã chốt.</w:t>
      </w:r>
    </w:p>
    <w:p>
      <w:pPr>
        <w:pStyle w:val="PlanBullet"/>
        <w:numPr>
          <w:ilvl w:val="0"/>
          <w:numId w:val="80"/>
        </w:numPr>
      </w:pPr>
      <w:r>
        <w:t>Nếu bật auto-renew, adapter phải hỗ trợ subscription recurring thực sự; consent, lịch thu và thao tác cancel/undo phải đồng bộ provider. Không mô phỏng auto-renew bằng lịch gọi thanh toán một lần.</w:t>
      </w:r>
    </w:p>
    <w:p>
      <w:pPr>
        <w:pStyle w:val="Meta"/>
      </w:pPr>
      <w:r>
        <w:t>Job kiểm tra trial/grace/period phải idempotent, dùng thời gian UTC và lock subscription. API đọc entitlement tự kiểm tra thời hạn để không phụ thuộc scheduler chạy đúng phút.</w:t>
      </w:r>
    </w:p>
    <w:p>
      <w:pPr>
        <w:pStyle w:val="Heading1"/>
        <w:pageBreakBefore/>
      </w:pPr>
      <w:r>
        <w:t>16. S4 — Checkout và webhook đáng tin cậy</w:t>
      </w:r>
    </w:p>
    <w:p>
      <w:pPr>
        <w:pStyle w:val="Meta"/>
      </w:pPr>
      <w:r>
        <w:t>Không mở quyền từ redirect success; backend xác minh payment và kỳ được cấp. [R2]</w:t>
      </w:r>
    </w:p>
    <w:p>
      <w:pPr>
        <w:pStyle w:val="Heading2"/>
      </w:pPr>
      <w:r>
        <w:t>Tạo checkout</w:t>
      </w:r>
    </w:p>
    <w:p>
      <w:pPr>
        <w:pStyle w:val="PlanBullet"/>
        <w:numPr>
          <w:ilvl w:val="0"/>
          <w:numId w:val="80"/>
        </w:numPr>
      </w:pPr>
      <w:r>
        <w:t>S4.1 — Owner yêu cầu checkout với planPriceId và Idempotency-Key; backend kiểm tra workspace, giá đang bán, currency và subscription hiện tại. Không nhận giá tiền từ client.</w:t>
      </w:r>
    </w:p>
    <w:p>
      <w:pPr>
        <w:pStyle w:val="PlanBullet"/>
        <w:numPr>
          <w:ilvl w:val="0"/>
          <w:numId w:val="80"/>
        </w:numPr>
      </w:pPr>
      <w:r>
        <w:t>S4.2 — Tạo billing_order PENDING, lưu snapshot giá/kỳ/workspace; cùng key khác payload trả 409. Gọi provider ngoài transaction DB dài, truyền provider idempotency key.</w:t>
      </w:r>
    </w:p>
    <w:p>
      <w:pPr>
        <w:pStyle w:val="PlanBullet"/>
        <w:numPr>
          <w:ilvl w:val="0"/>
          <w:numId w:val="80"/>
        </w:numPr>
      </w:pPr>
      <w:r>
        <w:t>S4.3 — Lưu provider session/ref hoặc trạng thái cần reconcile khi timeout không rõ kết quả. Frontend redirect tới URL allowlist; quay lại chỉ hiển thị “đang xác nhận” và đọc trạng thái order.</w:t>
      </w:r>
    </w:p>
    <w:p>
      <w:pPr>
        <w:pStyle w:val="Heading2"/>
      </w:pPr>
      <w:r>
        <w:t>Tiếp nhận và xử lý event</w:t>
      </w:r>
    </w:p>
    <w:p>
      <w:pPr>
        <w:pStyle w:val="PlanBullet"/>
        <w:numPr>
          <w:ilvl w:val="0"/>
          <w:numId w:val="80"/>
        </w:numPr>
      </w:pPr>
      <w:r>
        <w:t>S4.4 — Kiểm tra chữ ký theo raw body, timestamp/replay window và secret đúng môi trường/account. Payload sai không được ghi nhận là payment hợp lệ.</w:t>
      </w:r>
    </w:p>
    <w:p>
      <w:pPr>
        <w:pStyle w:val="PlanBullet"/>
        <w:numPr>
          <w:ilvl w:val="0"/>
          <w:numId w:val="80"/>
        </w:numPr>
      </w:pPr>
      <w:r>
        <w:t>S4.5 — Lưu event bền vững bằng unique(provider, environment, account, eventId); chỉ trả 2xx sau khi tiếp nhận thành công hoặc xác định event hợp lệ đã tiếp nhận. DB lỗi trả retryable response theo provider.</w:t>
      </w:r>
    </w:p>
    <w:p>
      <w:pPr>
        <w:pStyle w:val="PlanBullet"/>
        <w:numPr>
          <w:ilvl w:val="0"/>
          <w:numId w:val="80"/>
        </w:numPr>
      </w:pPr>
      <w:r>
        <w:t>S4.6 — Worker lock event/order; kiểm tra provider transaction, amount, currency, order và workspace mapping. Event không có mapping đáng tin cậy đưa vào hàng đối soát, không cấp quyền.</w:t>
      </w:r>
    </w:p>
    <w:p>
      <w:pPr>
        <w:pStyle w:val="PlanBullet"/>
        <w:numPr>
          <w:ilvl w:val="0"/>
          <w:numId w:val="80"/>
        </w:numPr>
      </w:pPr>
      <w:r>
        <w:t>S4.7 — Transaction cập nhật payment + subscription + history + event PROCESSED + outbox notification. Khóa nghiệp vụ theo transaction/order/kỳ giúp hai eventId khác nhau cho cùng payment không cấp quyền hai lần.</w:t>
      </w:r>
    </w:p>
    <w:p>
      <w:pPr>
        <w:pStyle w:val="PlanBullet"/>
        <w:numPr>
          <w:ilvl w:val="0"/>
          <w:numId w:val="80"/>
        </w:numPr>
      </w:pPr>
      <w:r>
        <w:t>S4.8 — Event đến sai thứ tự phải đối chiếu trạng thái/phiên bản đối tượng provider; không để FAILED cũ ghi đè SUCCEEDED. Có refund/chargeback riêng, không coi là lỗi cũ.</w:t>
      </w:r>
    </w:p>
    <w:p>
      <w:pPr>
        <w:pStyle w:val="PlanBullet"/>
        <w:numPr>
          <w:ilvl w:val="0"/>
          <w:numId w:val="80"/>
        </w:numPr>
      </w:pPr>
      <w:r>
        <w:t>S4.9 — Worker lỗi retry theo backoff, giới hạn lần rồi hàng lỗi. Job đối soát gọi server API đã xác thực để phục hồi event thất lạc, đi qua cùng hàm applyPaymentResult idempotent.</w:t>
      </w:r>
    </w:p>
    <w:p>
      <w:pPr>
        <w:pStyle w:val="Heading2"/>
      </w:pPr>
      <w:r>
        <w:t>Ngoại lệ cần kiểm thử</w:t>
      </w:r>
    </w:p>
    <w:p>
      <w:r>
        <w:t>Webhook đến trước response checkout; gửi trùng; đến muộn sau hết grace; amount sai; payment thành công nhưng DB tạm lỗi; owner đóng tab; provider timeout; hai checkout cùng một kỳ; worker chết sau commit. Một kỳ chỉ được cấp một lần; thanh toán thừa chuyển xử lý đối soát, không âm thầm gia hạn thêm.</w:t>
      </w:r>
    </w:p>
    <w:p>
      <w:pPr>
        <w:pStyle w:val="Heading1"/>
        <w:pageBreakBefore/>
      </w:pPr>
      <w:r>
        <w:t>17. S4 — Billing UI, API và hoàn tiền</w:t>
      </w:r>
    </w:p>
    <w:p>
      <w:pPr>
        <w:pStyle w:val="Meta"/>
      </w:pPr>
      <w:r>
        <w:t>Owner là người quản lý billing mặc định. Member chỉ thấy khả năng sử dụng liên quan.</w:t>
      </w:r>
    </w:p>
    <w:tbl>
      <w:tblPr>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CBD5E1"/>
          <w:left w:val="single" w:sz="4" w:color="CBD5E1"/>
          <w:bottom w:val="single" w:sz="4" w:color="CBD5E1"/>
          <w:right w:val="single" w:sz="4" w:color="CBD5E1"/>
          <w:insideH w:val="single" w:sz="4" w:color="CBD5E1"/>
          <w:insideV w:val="single" w:sz="4" w:color="CBD5E1"/>
        </w:tblBorders>
      </w:tblPr>
      <w:tblGrid>
        <w:gridCol w:w="4280"/>
        <w:gridCol w:w="5080"/>
      </w:tblGrid>
      <w:tr>
        <w:trPr>
          <w:cantSplit/>
          <w:tblHeader/>
        </w:trPr>
        <w:tc>
          <w:tcPr>
            <w:tcW w:type="dxa" w:w="4280"/>
            <w:shd w:fill="E8EEF5"/>
          </w:tcPr>
          <w:p>
            <w:pPr>
              <w:pStyle w:val="TableText"/>
            </w:pPr>
            <w:r>
              <w:rPr>
                <w:b/>
              </w:rPr>
              <w:t>API dưới /workspaces/{w}</w:t>
            </w:r>
          </w:p>
        </w:tc>
        <w:tc>
          <w:tcPr>
            <w:tcW w:type="dxa" w:w="5080"/>
            <w:shd w:fill="E8EEF5"/>
          </w:tcPr>
          <w:p>
            <w:pPr>
              <w:pStyle w:val="TableText"/>
            </w:pPr>
            <w:r>
              <w:rPr>
                <w:b/>
              </w:rPr>
              <w:t>Hành vi</w:t>
            </w:r>
          </w:p>
        </w:tc>
      </w:tr>
      <w:tr>
        <w:trPr>
          <w:cantSplit/>
        </w:trPr>
        <w:tc>
          <w:tcPr>
            <w:tcW w:type="dxa" w:w="4280"/>
          </w:tcPr>
          <w:p>
            <w:pPr>
              <w:pStyle w:val="TableText"/>
            </w:pPr>
            <w:r>
              <w:t>GET /billing/summary</w:t>
            </w:r>
          </w:p>
        </w:tc>
        <w:tc>
          <w:tcPr>
            <w:tcW w:type="dxa" w:w="5080"/>
          </w:tcPr>
          <w:p>
            <w:pPr>
              <w:pStyle w:val="TableText"/>
            </w:pPr>
            <w:r>
              <w:t>Gói, status, effectivePlan, period/trial/grace, nextChange và quyền billing.</w:t>
            </w:r>
          </w:p>
        </w:tc>
      </w:tr>
      <w:tr>
        <w:trPr>
          <w:cantSplit/>
        </w:trPr>
        <w:tc>
          <w:tcPr>
            <w:tcW w:type="dxa" w:w="4280"/>
          </w:tcPr>
          <w:p>
            <w:pPr>
              <w:pStyle w:val="TableText"/>
            </w:pPr>
            <w:r>
              <w:t>GET /billing/plans</w:t>
            </w:r>
          </w:p>
        </w:tc>
        <w:tc>
          <w:tcPr>
            <w:tcW w:type="dxa" w:w="5080"/>
          </w:tcPr>
          <w:p>
            <w:pPr>
              <w:pStyle w:val="TableText"/>
            </w:pPr>
            <w:r>
              <w:t>Giá/chu kỳ đang bán và so sánh feature; không trả khóa provider.</w:t>
            </w:r>
          </w:p>
        </w:tc>
      </w:tr>
      <w:tr>
        <w:trPr>
          <w:cantSplit/>
        </w:trPr>
        <w:tc>
          <w:tcPr>
            <w:tcW w:type="dxa" w:w="4280"/>
          </w:tcPr>
          <w:p>
            <w:pPr>
              <w:pStyle w:val="TableText"/>
            </w:pPr>
            <w:r>
              <w:t>POST /billing/checkouts</w:t>
            </w:r>
          </w:p>
        </w:tc>
        <w:tc>
          <w:tcPr>
            <w:tcW w:type="dxa" w:w="5080"/>
          </w:tcPr>
          <w:p>
            <w:pPr>
              <w:pStyle w:val="TableText"/>
            </w:pPr>
            <w:r>
              <w:t>planPriceId, Idempotency-Key; trả orderId và checkoutUrl.</w:t>
            </w:r>
          </w:p>
        </w:tc>
      </w:tr>
      <w:tr>
        <w:trPr>
          <w:cantSplit/>
        </w:trPr>
        <w:tc>
          <w:tcPr>
            <w:tcW w:type="dxa" w:w="4280"/>
          </w:tcPr>
          <w:p>
            <w:pPr>
              <w:pStyle w:val="TableText"/>
            </w:pPr>
            <w:r>
              <w:t>GET /billing/orders/{id}</w:t>
            </w:r>
          </w:p>
        </w:tc>
        <w:tc>
          <w:tcPr>
            <w:tcW w:type="dxa" w:w="5080"/>
          </w:tcPr>
          <w:p>
            <w:pPr>
              <w:pStyle w:val="TableText"/>
            </w:pPr>
            <w:r>
              <w:t>Owner cùng workspace; trạng thái xác nhận backend.</w:t>
            </w:r>
          </w:p>
        </w:tc>
      </w:tr>
      <w:tr>
        <w:trPr>
          <w:cantSplit/>
        </w:trPr>
        <w:tc>
          <w:tcPr>
            <w:tcW w:type="dxa" w:w="4280"/>
          </w:tcPr>
          <w:p>
            <w:pPr>
              <w:pStyle w:val="TableText"/>
            </w:pPr>
            <w:r>
              <w:t>POST /billing/cancel-renewal</w:t>
            </w:r>
          </w:p>
        </w:tc>
        <w:tc>
          <w:tcPr>
            <w:tcW w:type="dxa" w:w="5080"/>
          </w:tcPr>
          <w:p>
            <w:pPr>
              <w:pStyle w:val="TableText"/>
            </w:pPr>
            <w:r>
              <w:t>Đặt cờ cuối kỳ; lý do tùy chọn; giữ quyền đã trả.</w:t>
            </w:r>
          </w:p>
        </w:tc>
      </w:tr>
      <w:tr>
        <w:trPr>
          <w:cantSplit/>
        </w:trPr>
        <w:tc>
          <w:tcPr>
            <w:tcW w:type="dxa" w:w="4280"/>
          </w:tcPr>
          <w:p>
            <w:pPr>
              <w:pStyle w:val="TableText"/>
            </w:pPr>
            <w:r>
              <w:t>DELETE /billing/cancel-renewal</w:t>
            </w:r>
          </w:p>
        </w:tc>
        <w:tc>
          <w:tcPr>
            <w:tcW w:type="dxa" w:w="5080"/>
          </w:tcPr>
          <w:p>
            <w:pPr>
              <w:pStyle w:val="TableText"/>
            </w:pPr>
            <w:r>
              <w:t>Undo nếu còn trước kỳ chốt và provider cho phép.</w:t>
            </w:r>
          </w:p>
        </w:tc>
      </w:tr>
      <w:tr>
        <w:trPr>
          <w:cantSplit/>
        </w:trPr>
        <w:tc>
          <w:tcPr>
            <w:tcW w:type="dxa" w:w="4280"/>
          </w:tcPr>
          <w:p>
            <w:pPr>
              <w:pStyle w:val="TableText"/>
            </w:pPr>
            <w:r>
              <w:t>POST /billing/plan-change</w:t>
            </w:r>
          </w:p>
        </w:tc>
        <w:tc>
          <w:tcPr>
            <w:tcW w:type="dxa" w:w="5080"/>
          </w:tcPr>
          <w:p>
            <w:pPr>
              <w:pStyle w:val="TableText"/>
            </w:pPr>
            <w:r>
              <w:t>pendingPlan/effectiveAt; trong MVP hạ Free hoặc thay kỳ cuối kỳ.</w:t>
            </w:r>
          </w:p>
        </w:tc>
      </w:tr>
      <w:tr>
        <w:trPr>
          <w:cantSplit/>
        </w:trPr>
        <w:tc>
          <w:tcPr>
            <w:tcW w:type="dxa" w:w="4280"/>
          </w:tcPr>
          <w:p>
            <w:pPr>
              <w:pStyle w:val="TableText"/>
            </w:pPr>
            <w:r>
              <w:t>GET /billing/payments; /documents</w:t>
            </w:r>
          </w:p>
        </w:tc>
        <w:tc>
          <w:tcPr>
            <w:tcW w:type="dxa" w:w="5080"/>
          </w:tcPr>
          <w:p>
            <w:pPr>
              <w:pStyle w:val="TableText"/>
            </w:pPr>
            <w:r>
              <w:t>Phân trang lịch sử; tải biên nhận phải kiểm tra workspace/owner.</w:t>
            </w:r>
          </w:p>
        </w:tc>
      </w:tr>
      <w:tr>
        <w:trPr>
          <w:cantSplit/>
        </w:trPr>
        <w:tc>
          <w:tcPr>
            <w:tcW w:type="dxa" w:w="4280"/>
          </w:tcPr>
          <w:p>
            <w:pPr>
              <w:pStyle w:val="TableText"/>
            </w:pPr>
            <w:r>
              <w:t>POST /billing/refund-requests</w:t>
            </w:r>
          </w:p>
        </w:tc>
        <w:tc>
          <w:tcPr>
            <w:tcW w:type="dxa" w:w="5080"/>
          </w:tcPr>
          <w:p>
            <w:pPr>
              <w:pStyle w:val="TableText"/>
            </w:pPr>
            <w:r>
              <w:t>Yêu cầu hỗ trợ theo paymentId và lý do; chưa tự động hoàn tiền.</w:t>
            </w:r>
          </w:p>
        </w:tc>
      </w:tr>
      <w:tr>
        <w:trPr>
          <w:cantSplit/>
        </w:trPr>
        <w:tc>
          <w:tcPr>
            <w:tcW w:type="dxa" w:w="4280"/>
          </w:tcPr>
          <w:p>
            <w:pPr>
              <w:pStyle w:val="TableText"/>
            </w:pPr>
            <w:r>
              <w:t>POST /payment-webhooks/{provider}</w:t>
            </w:r>
          </w:p>
        </w:tc>
        <w:tc>
          <w:tcPr>
            <w:tcW w:type="dxa" w:w="5080"/>
          </w:tcPr>
          <w:p>
            <w:pPr>
              <w:pStyle w:val="TableText"/>
            </w:pPr>
            <w:r>
              <w:t>Endpoint server public theo provider; chữ ký bắt buộc, không dùng JWT user.</w:t>
            </w:r>
          </w:p>
        </w:tc>
      </w:tr>
    </w:tbl>
    <w:p>
      <w:pPr>
        <w:pStyle w:val="Heading2"/>
      </w:pPr>
      <w:r>
        <w:t>Các trạng thái giao diện</w:t>
      </w:r>
    </w:p>
    <w:p>
      <w:pPr>
        <w:pStyle w:val="PlanBullet"/>
        <w:numPr>
          <w:ilvl w:val="0"/>
          <w:numId w:val="80"/>
        </w:numPr>
      </w:pPr>
      <w:r>
        <w:t>Billing Overview: gói, usage, ngày hết trial/kỳ theo timezone, cảnh báo quota và ảnh hưởng hạ gói.</w:t>
      </w:r>
    </w:p>
    <w:p>
      <w:pPr>
        <w:pStyle w:val="PlanBullet"/>
        <w:numPr>
          <w:ilvl w:val="0"/>
          <w:numId w:val="80"/>
        </w:numPr>
      </w:pPr>
      <w:r>
        <w:t>Checkout Result: pending/confirmed/failed/expired; polling timeout/backoff. Chưa có kết quả thì hiển thị mã order để xem lại, không tự báo thất bại.</w:t>
      </w:r>
    </w:p>
    <w:p>
      <w:pPr>
        <w:pStyle w:val="PlanBullet"/>
        <w:numPr>
          <w:ilvl w:val="0"/>
          <w:numId w:val="80"/>
        </w:numPr>
      </w:pPr>
      <w:r>
        <w:t>Cancel/Downgrade: nêu ngày hiệu lực, dữ liệu được giữ và tính năng bị hạn chế. Hủy gia hạn và xóa workspace là hai thao tác riêng.</w:t>
      </w:r>
    </w:p>
    <w:p>
      <w:pPr>
        <w:pStyle w:val="Heading2"/>
      </w:pPr>
      <w:r>
        <w:t>Hoàn tiền và tranh chấp</w:t>
      </w:r>
    </w:p>
    <w:p>
      <w:r>
        <w:t>Refund cần BILLING_ADMIN, xác thực lại, reason/audit; không vượt tiền chưa hoàn. Timeout phải đối soát trước retry. Trạng thái: REQUESTED/PROCESSING/SUCCEEDED/FAILED; tách partial/full. Chốt chính sách entitlement sau refund/chargeback trước live; không tự xóa dữ liệu công việc.</w:t>
      </w:r>
    </w:p>
    <w:p>
      <w:pPr>
        <w:pStyle w:val="Heading1"/>
        <w:pageBreakBefore/>
      </w:pPr>
      <w:r>
        <w:t>18. S5 — Quản trị SaaS và hỗ trợ</w:t>
      </w:r>
    </w:p>
    <w:p>
      <w:pPr>
        <w:pStyle w:val="Meta"/>
      </w:pPr>
      <w:r>
        <w:t>Phụ thuộc S1–S4; công cụ vận hành tối thiểu phải có trước pilot trả phí.</w:t>
      </w:r>
    </w:p>
    <w:p>
      <w:pPr>
        <w:pStyle w:val="Heading2"/>
      </w:pPr>
      <w:r>
        <w:t>Các bước backend và frontend</w:t>
      </w:r>
    </w:p>
    <w:p>
      <w:pPr>
        <w:pStyle w:val="PlanBullet"/>
        <w:numPr>
          <w:ilvl w:val="0"/>
          <w:numId w:val="80"/>
        </w:numPr>
      </w:pPr>
      <w:r>
        <w:t>S5.1 — Tách platform_roles và route /platform khỏi role doanh nghiệp cũ; bảo vệ bằng server policy, MFA hoặc xác thực mạnh cho admin; không cấp SUPER_ADMIN qua public register.</w:t>
      </w:r>
    </w:p>
    <w:p>
      <w:pPr>
        <w:pStyle w:val="PlanBullet"/>
        <w:numPr>
          <w:ilvl w:val="0"/>
          <w:numId w:val="80"/>
        </w:numPr>
      </w:pPr>
      <w:r>
        <w:t>S5.2 — Dashboard: số user/workspace, subscription theo trạng thái, trial sắp hết, payment cần đối soát, job/webhook lỗi và usage gần hạn. Filter thời gian/plan/status, phân trang.</w:t>
      </w:r>
    </w:p>
    <w:p>
      <w:pPr>
        <w:pStyle w:val="PlanBullet"/>
        <w:numPr>
          <w:ilvl w:val="0"/>
          <w:numId w:val="80"/>
        </w:numPr>
      </w:pPr>
      <w:r>
        <w:t>S5.3 — Workspace Detail chỉ metadata: owner, member count, plan, usage, audit và trạng thái. Suspend/restore phải có reason, expectedVersion và xác thực lại; không đọc Task/file mặc định.</w:t>
      </w:r>
    </w:p>
    <w:p>
      <w:pPr>
        <w:pStyle w:val="PlanBullet"/>
        <w:numPr>
          <w:ilvl w:val="0"/>
          <w:numId w:val="80"/>
        </w:numPr>
      </w:pPr>
      <w:r>
        <w:t>S5.4 — Plan editor tạo version mới; validate quota, currency, interval và phạm vi áp dụng. Preview các workspace bị ảnh hưởng; không sửa lịch sử giá của order cũ.</w:t>
      </w:r>
    </w:p>
    <w:p>
      <w:pPr>
        <w:pStyle w:val="PlanBullet"/>
        <w:numPr>
          <w:ilvl w:val="0"/>
          <w:numId w:val="80"/>
        </w:numPr>
      </w:pPr>
      <w:r>
        <w:t>S5.5 — Trang giao dịch/webhook/outbox lỗi: xem payload đã lọc, attempts và correlationId; replay qua cùng processor idempotent. Không có nút “set payment success” không có bằng chứng provider.</w:t>
      </w:r>
    </w:p>
    <w:p>
      <w:pPr>
        <w:pStyle w:val="PlanBullet"/>
        <w:numPr>
          <w:ilvl w:val="0"/>
          <w:numId w:val="80"/>
        </w:numPr>
      </w:pPr>
      <w:r>
        <w:t>S5.6 — User support: trạng thái verified/disabled, revoke session, gửi lại link qua luồng chuẩn; không xem password/token; ghi audit người hỗ trợ.</w:t>
      </w:r>
    </w:p>
    <w:p>
      <w:pPr>
        <w:pStyle w:val="Heading2"/>
      </w:pPr>
      <w:r>
        <w:t>API đề xuất</w:t>
      </w:r>
    </w:p>
    <w:p>
      <w:pPr>
        <w:pStyle w:val="API"/>
      </w:pPr>
      <w:r>
        <w:t>GET /platform/dashboard, /users, /workspaces, /subscriptions, /payments, /audit-logs; POST /platform/workspaces/{id}/suspend hoặc /restore; POST /platform/webhook-events/{id}/retry; POST /platform/plans/{id}/versions. Tất cả mutation kiểm tra platform role và có lý do/audit.</w:t>
      </w:r>
    </w:p>
    <w:p>
      <w:pPr>
        <w:pStyle w:val="Heading2"/>
      </w:pPr>
      <w:r>
        <w:t>Định nghĩa chỉ số</w:t>
      </w:r>
    </w:p>
    <w:p>
      <w:r>
        <w:t>Active paid workspace đếm theo gói trả phí đang hiệu lực, không gộp Free/trial. MRR quy đổi recurring commitment về tháng; không trình bày tổng tiền thu trong tháng như MRR. ARR chỉ là 12 × MRR quy đổi, không phải tiền thực thu. MVP có thể chỉ hiển thị giao dịch thành công theo currency để tránh báo cáo sai; không cộng nhiều tiền tệ trực tiếp.</w:t>
      </w:r>
    </w:p>
    <w:p>
      <w:pPr>
        <w:pStyle w:val="Heading2"/>
      </w:pPr>
      <w:r>
        <w:t>Nghiệm thu</w:t>
      </w:r>
    </w:p>
    <w:p>
      <w:r>
        <w:t>Support không đọc nội dung Project; Billing Admin không gán platform role; suspend A không khóa B; replay payment không gia hạn hai lần; mọi thay đổi nhạy cảm truy được actor/reason/time/correlationId và giá trị đã lọc.</w:t>
      </w:r>
    </w:p>
    <w:p>
      <w:pPr>
        <w:pStyle w:val="Heading1"/>
        <w:pageBreakBefore/>
      </w:pPr>
      <w:r>
        <w:t>19. S6 — Đóng gói các module V1</w:t>
      </w:r>
    </w:p>
    <w:p>
      <w:pPr>
        <w:pStyle w:val="Meta"/>
      </w:pPr>
      <w:r>
        <w:t>S1 đã bắt buộc tenant-scope; S6 hoàn thiện trải nghiệm, entitlement và các thiếu sót đã kiểm chứng.</w:t>
      </w:r>
    </w:p>
    <w:tbl>
      <w:tblPr>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CBD5E1"/>
          <w:left w:val="single" w:sz="4" w:color="CBD5E1"/>
          <w:bottom w:val="single" w:sz="4" w:color="CBD5E1"/>
          <w:right w:val="single" w:sz="4" w:color="CBD5E1"/>
          <w:insideH w:val="single" w:sz="4" w:color="CBD5E1"/>
          <w:insideV w:val="single" w:sz="4" w:color="CBD5E1"/>
        </w:tblBorders>
      </w:tblPr>
      <w:tblGrid>
        <w:gridCol w:w="2840"/>
        <w:gridCol w:w="6520"/>
      </w:tblGrid>
      <w:tr>
        <w:trPr>
          <w:cantSplit/>
          <w:tblHeader/>
        </w:trPr>
        <w:tc>
          <w:tcPr>
            <w:tcW w:type="dxa" w:w="2840"/>
            <w:shd w:fill="E8EEF5"/>
          </w:tcPr>
          <w:p>
            <w:pPr>
              <w:pStyle w:val="TableText"/>
            </w:pPr>
            <w:r>
              <w:rPr>
                <w:b/>
              </w:rPr>
              <w:t>Module</w:t>
            </w:r>
          </w:p>
        </w:tc>
        <w:tc>
          <w:tcPr>
            <w:tcW w:type="dxa" w:w="6520"/>
            <w:shd w:fill="E8EEF5"/>
          </w:tcPr>
          <w:p>
            <w:pPr>
              <w:pStyle w:val="TableText"/>
            </w:pPr>
            <w:r>
              <w:rPr>
                <w:b/>
              </w:rPr>
              <w:t>Việc thực hiện và kiểm chứng</w:t>
            </w:r>
          </w:p>
        </w:tc>
      </w:tr>
      <w:tr>
        <w:trPr>
          <w:cantSplit/>
        </w:trPr>
        <w:tc>
          <w:tcPr>
            <w:tcW w:type="dxa" w:w="2840"/>
          </w:tcPr>
          <w:p>
            <w:pPr>
              <w:pStyle w:val="TableText"/>
            </w:pPr>
            <w:r>
              <w:t>Project / Sprint / Backlog / Task / Bug</w:t>
            </w:r>
          </w:p>
        </w:tc>
        <w:tc>
          <w:tcPr>
            <w:tcW w:type="dxa" w:w="6520"/>
          </w:tcPr>
          <w:p>
            <w:pPr>
              <w:pStyle w:val="TableText"/>
            </w:pPr>
            <w:r>
              <w:t>Giữ workflow V1; kiểm tra quan hệ cùng workspace/project; Project Owner không còn dựa system MANAGER.</w:t>
            </w:r>
          </w:p>
        </w:tc>
      </w:tr>
      <w:tr>
        <w:trPr>
          <w:cantSplit/>
        </w:trPr>
        <w:tc>
          <w:tcPr>
            <w:tcW w:type="dxa" w:w="2840"/>
          </w:tcPr>
          <w:p>
            <w:pPr>
              <w:pStyle w:val="TableText"/>
            </w:pPr>
            <w:r>
              <w:t>Kanban / realtime</w:t>
            </w:r>
          </w:p>
        </w:tc>
        <w:tc>
          <w:tcPr>
            <w:tcW w:type="dxa" w:w="6520"/>
          </w:tcPr>
          <w:p>
            <w:pPr>
              <w:pStyle w:val="TableText"/>
            </w:pPr>
            <w:r>
              <w:t>Version conflict có phản hồi; refetch trạng thái mới; topic đúng tenant; quyền bị thu hồi phải ngắt nhận dữ liệu.</w:t>
            </w:r>
          </w:p>
        </w:tc>
      </w:tr>
      <w:tr>
        <w:trPr>
          <w:cantSplit/>
        </w:trPr>
        <w:tc>
          <w:tcPr>
            <w:tcW w:type="dxa" w:w="2840"/>
          </w:tcPr>
          <w:p>
            <w:pPr>
              <w:pStyle w:val="TableText"/>
            </w:pPr>
            <w:r>
              <w:t>Comment / Time Log</w:t>
            </w:r>
          </w:p>
        </w:tc>
        <w:tc>
          <w:tcPr>
            <w:tcW w:type="dxa" w:w="6520"/>
          </w:tcPr>
          <w:p>
            <w:pPr>
              <w:pStyle w:val="TableText"/>
            </w:pPr>
            <w:r>
              <w:t>Viewer không ghi; owner sửa theo policy; tổng thời gian được kiểm tra đồng thời; không mất lịch sử khi xóa member.</w:t>
            </w:r>
          </w:p>
        </w:tc>
      </w:tr>
      <w:tr>
        <w:trPr>
          <w:cantSplit/>
        </w:trPr>
        <w:tc>
          <w:tcPr>
            <w:tcW w:type="dxa" w:w="2840"/>
          </w:tcPr>
          <w:p>
            <w:pPr>
              <w:pStyle w:val="TableText"/>
            </w:pPr>
            <w:r>
              <w:t>Notification / Activity</w:t>
            </w:r>
          </w:p>
        </w:tc>
        <w:tc>
          <w:tcPr>
            <w:tcW w:type="dxa" w:w="6520"/>
          </w:tcPr>
          <w:p>
            <w:pPr>
              <w:pStyle w:val="TableText"/>
            </w:pPr>
            <w:r>
              <w:t>Recipient + workspace/project còn quyền; deep link đúng phạm vi; mail và realtime phát sau commit.</w:t>
            </w:r>
          </w:p>
        </w:tc>
      </w:tr>
      <w:tr>
        <w:trPr>
          <w:cantSplit/>
        </w:trPr>
        <w:tc>
          <w:tcPr>
            <w:tcW w:type="dxa" w:w="2840"/>
          </w:tcPr>
          <w:p>
            <w:pPr>
              <w:pStyle w:val="TableText"/>
            </w:pPr>
            <w:r>
              <w:t>Dashboard / Search</w:t>
            </w:r>
          </w:p>
        </w:tc>
        <w:tc>
          <w:tcPr>
            <w:tcW w:type="dxa" w:w="6520"/>
          </w:tcPr>
          <w:p>
            <w:pPr>
              <w:pStyle w:val="TableText"/>
            </w:pPr>
            <w:r>
              <w:t>Phạm vi workspace đang chọn; không lộ tên/snippet/count của Project không có quyền; filter trước pagination.</w:t>
            </w:r>
          </w:p>
        </w:tc>
      </w:tr>
      <w:tr>
        <w:trPr>
          <w:cantSplit/>
        </w:trPr>
        <w:tc>
          <w:tcPr>
            <w:tcW w:type="dxa" w:w="2840"/>
          </w:tcPr>
          <w:p>
            <w:pPr>
              <w:pStyle w:val="TableText"/>
            </w:pPr>
            <w:r>
              <w:t>Attachment / import</w:t>
            </w:r>
          </w:p>
        </w:tc>
        <w:tc>
          <w:tcPr>
            <w:tcW w:type="dxa" w:w="6520"/>
          </w:tcPr>
          <w:p>
            <w:pPr>
              <w:pStyle w:val="TableText"/>
            </w:pPr>
            <w:r>
              <w:t>MIME/size/path; download có auth; quota storage/task; import atomic và lỗi hàng rõ ràng.</w:t>
            </w:r>
          </w:p>
        </w:tc>
      </w:tr>
      <w:tr>
        <w:trPr>
          <w:cantSplit/>
        </w:trPr>
        <w:tc>
          <w:tcPr>
            <w:tcW w:type="dxa" w:w="2840"/>
          </w:tcPr>
          <w:p>
            <w:pPr>
              <w:pStyle w:val="TableText"/>
            </w:pPr>
            <w:r>
              <w:t>Report / Export / Analytics</w:t>
            </w:r>
          </w:p>
        </w:tc>
        <w:tc>
          <w:tcPr>
            <w:tcW w:type="dxa" w:w="6520"/>
          </w:tcPr>
          <w:p>
            <w:pPr>
              <w:pStyle w:val="TableText"/>
            </w:pPr>
            <w:r>
              <w:t>Feature gating và usage; chạy job có tenant; tải artifact kiểm tra lại quyền; biểu đồ có lịch sử đáng tin cậy.</w:t>
            </w:r>
          </w:p>
        </w:tc>
      </w:tr>
      <w:tr>
        <w:trPr>
          <w:cantSplit/>
        </w:trPr>
        <w:tc>
          <w:tcPr>
            <w:tcW w:type="dxa" w:w="2840"/>
          </w:tcPr>
          <w:p>
            <w:pPr>
              <w:pStyle w:val="TableText"/>
            </w:pPr>
            <w:r>
              <w:t>Dependency / checklist / label / watcher / epic</w:t>
            </w:r>
          </w:p>
        </w:tc>
        <w:tc>
          <w:tcPr>
            <w:tcW w:type="dxa" w:w="6520"/>
          </w:tcPr>
          <w:p>
            <w:pPr>
              <w:pStyle w:val="TableText"/>
            </w:pPr>
            <w:r>
              <w:t>Giữ module đã có; cross-project/tenant reference bị chặn; watcher mất quyền không nhận thông báo.</w:t>
            </w:r>
          </w:p>
        </w:tc>
      </w:tr>
    </w:tbl>
    <w:p>
      <w:pPr>
        <w:pStyle w:val="Heading2"/>
      </w:pPr>
      <w:r>
        <w:t>Các bước thực hiện</w:t>
      </w:r>
    </w:p>
    <w:p>
      <w:pPr>
        <w:pStyle w:val="PlanBullet"/>
        <w:numPr>
          <w:ilvl w:val="0"/>
          <w:numId w:val="80"/>
        </w:numPr>
      </w:pPr>
      <w:r>
        <w:t>S6.1 — Dùng inventory S0 và ma trận trên tạo ticket riêng cho mỗi module; không viết lại CRUD đã ổn chỉ để thay cấu trúc.</w:t>
      </w:r>
    </w:p>
    <w:p>
      <w:pPr>
        <w:pStyle w:val="PlanBullet"/>
        <w:numPr>
          <w:ilvl w:val="0"/>
          <w:numId w:val="80"/>
        </w:numPr>
      </w:pPr>
      <w:r>
        <w:t>S6.2 — Bổ sung entitlement ở service và job entry; permission vẫn kiểm tra độc lập. Thêm thông báo nâng gói đúng nguyên nhân, tránh mọi lỗi 403 đều gợi ý trả tiền.</w:t>
      </w:r>
    </w:p>
    <w:p>
      <w:pPr>
        <w:pStyle w:val="PlanBullet"/>
        <w:numPr>
          <w:ilvl w:val="0"/>
          <w:numId w:val="80"/>
        </w:numPr>
      </w:pPr>
      <w:r>
        <w:t>S6.3 — Hoàn thiện lịch sử Task vào/rời Sprint: task_sprint_history có thời điểm attach/detach và lý do. Ghi snapshot/sự kiện scope để report quá khứ không biến đổi theo hiện trạng.</w:t>
      </w:r>
    </w:p>
    <w:p>
      <w:pPr>
        <w:pStyle w:val="PlanBullet"/>
        <w:numPr>
          <w:ilvl w:val="0"/>
          <w:numId w:val="80"/>
        </w:numPr>
      </w:pPr>
      <w:r>
        <w:t>S6.4 — Chạy regression end-to-end trên Free/Pro và user nhiều workspace; compare số liệu nghiệp vụ trước/sau migration với cùng dữ liệu.</w:t>
      </w:r>
    </w:p>
    <w:p>
      <w:pPr>
        <w:pStyle w:val="Callout"/>
      </w:pPr>
      <w:r>
        <w:t>Nghiệm thu: các chức năng đang công bố trong V1 hoạt động đúng tenant, role và plan; downgrade không phá xem dữ liệu cũ; không có endpoint/job bỏ qua feature gating.</w:t>
      </w:r>
    </w:p>
    <w:p>
      <w:pPr>
        <w:pStyle w:val="Heading1"/>
        <w:pageBreakBefore/>
      </w:pPr>
      <w:r>
        <w:t>20. S6 — AI Meeting Assistant và Action Items</w:t>
      </w:r>
    </w:p>
    <w:p>
      <w:pPr>
        <w:pStyle w:val="Meta"/>
      </w:pPr>
      <w:r>
        <w:t>Giữ link Google Meet thủ công; AI chỉ đề xuất, người dùng quyết định việc tạo Task.</w:t>
      </w:r>
    </w:p>
    <w:p>
      <w:pPr>
        <w:pStyle w:val="Heading2"/>
      </w:pPr>
      <w:r>
        <w:t>Luồng preview → confirm</w:t>
      </w:r>
    </w:p>
    <w:p>
      <w:pPr>
        <w:pStyle w:val="PlanBullet"/>
        <w:numPr>
          <w:ilvl w:val="0"/>
          <w:numId w:val="80"/>
        </w:numPr>
      </w:pPr>
      <w:r>
        <w:t>S6.A1 — User có quyền yêu cầu AI tóm tắt meeting/action items. Backend kiểm tra workspace/project, entitlement AI và quota trước khi lấy dữ liệu hoặc gọi provider.</w:t>
      </w:r>
    </w:p>
    <w:p>
      <w:pPr>
        <w:pStyle w:val="PlanBullet"/>
        <w:numPr>
          <w:ilvl w:val="0"/>
          <w:numId w:val="80"/>
        </w:numPr>
      </w:pPr>
      <w:r>
        <w:t>S6.A2 — AI tạo bản nháp gồm title, description, backlogItemId đề xuất, assignee, estimate và dueDate; đánh dấu trường suy đoán. Backend validate schema; không tin projectId/role trong output AI.</w:t>
      </w:r>
    </w:p>
    <w:p>
      <w:pPr>
        <w:pStyle w:val="PlanBullet"/>
        <w:numPr>
          <w:ilvl w:val="0"/>
          <w:numId w:val="80"/>
        </w:numPr>
      </w:pPr>
      <w:r>
        <w:t>S6.A3 — Preview lưu revision, sourceMeetingId, creator, workspace, expiresAt và danh sách đề xuất. UI cho chọn/bỏ chọn/sửa; người dùng có thể tạo Backlog Item riêng nếu cần và có quyền.</w:t>
      </w:r>
    </w:p>
    <w:p>
      <w:pPr>
        <w:pStyle w:val="PlanBullet"/>
        <w:numPr>
          <w:ilvl w:val="0"/>
          <w:numId w:val="80"/>
        </w:numPr>
      </w:pPr>
      <w:r>
        <w:t>S6.A4 — Confirm gửi previewId, expectedRevision, selectedItems và Idempotency-Key. Kiểm tra lại membership, quyền tạo Task, Backlog thuộc đúng Project, assignee hiện hợp lệ, Sprint còn cho phép và quota.</w:t>
      </w:r>
    </w:p>
    <w:p>
      <w:pPr>
        <w:pStyle w:val="PlanBullet"/>
        <w:numPr>
          <w:ilvl w:val="0"/>
          <w:numId w:val="80"/>
        </w:numPr>
      </w:pPr>
      <w:r>
        <w:t>S6.A5 — Tạo toàn bộ Task đã chọn trong một transaction hoặc từ chối toàn bộ với lỗi theo item. Giữ invariant Task thuộc Backlog; không gán Sprint đã đóng; không tự reset workflow ngoài quy tắc V1.</w:t>
      </w:r>
    </w:p>
    <w:p>
      <w:pPr>
        <w:pStyle w:val="PlanBullet"/>
        <w:numPr>
          <w:ilvl w:val="0"/>
          <w:numId w:val="80"/>
        </w:numPr>
      </w:pPr>
      <w:r>
        <w:t>S6.A6 — Lưu preview-item → taskId duy nhất và request hash; confirm lặp trả cùng Task. Cùng key nhưng payload khác trả 409; quyền bị thu hồi sau preview phải bị chặn lúc confirm.</w:t>
      </w:r>
    </w:p>
    <w:p>
      <w:pPr>
        <w:pStyle w:val="Heading2"/>
      </w:pPr>
      <w:r>
        <w:t>API và dữ liệu</w:t>
      </w:r>
    </w:p>
    <w:p>
      <w:pPr>
        <w:pStyle w:val="API"/>
      </w:pPr>
      <w:r>
        <w:t>POST /workspaces/{w}/projects/{p}/meetings/{m}/action-item-previews; GET .../action-item-previews/{id}; POST .../action-item-previews/{id}/confirm. Bổ sung ai_action_previews, ai_action_preview_items và ai_usage_events nếu chưa có bảng tương đương. Không tạo thêm hệ thống meeting trùng baseline.</w:t>
      </w:r>
    </w:p>
    <w:p>
      <w:pPr>
        <w:pStyle w:val="Heading2"/>
      </w:pPr>
      <w:r>
        <w:t>Dữ liệu, chi phí và lỗi</w:t>
      </w:r>
    </w:p>
    <w:p>
      <w:pPr>
        <w:pStyle w:val="PlanBullet"/>
        <w:numPr>
          <w:ilvl w:val="0"/>
          <w:numId w:val="80"/>
        </w:numPr>
      </w:pPr>
      <w:r>
        <w:t>Chỉ retrieval nội dung user có quyền xem. Dữ liệu meeting/tài liệu được coi là nội dung, không được phép chỉ thị AI bỏ qua quyền hoặc gửi dữ liệu sang workspace khác.</w:t>
      </w:r>
    </w:p>
    <w:p>
      <w:pPr>
        <w:pStyle w:val="PlanBullet"/>
        <w:numPr>
          <w:ilvl w:val="0"/>
          <w:numId w:val="80"/>
        </w:numPr>
      </w:pPr>
      <w:r>
        <w:t>Tách cache AI theo tenant và phạm vi truy cập; không log prompt/audio thô mặc định. Ghi token, cost estimate, model và requestId; giới hạn input/output, timeout, concurrency và ngân sách workspace.</w:t>
      </w:r>
    </w:p>
    <w:p>
      <w:pPr>
        <w:pStyle w:val="PlanBullet"/>
        <w:numPr>
          <w:ilvl w:val="0"/>
          <w:numId w:val="80"/>
        </w:numPr>
      </w:pPr>
      <w:r>
        <w:t>Provider lỗi trả trạng thái retry rõ; không tạo Task ngầm. Nghiệm thu gồm output ID sai, prompt injection, assignee bị xóa, quota hết, confirm đồng thời và cùng meeting ở hai tenant.</w:t>
      </w:r>
    </w:p>
    <w:p>
      <w:pPr>
        <w:pStyle w:val="Heading1"/>
        <w:pageBreakBefore/>
      </w:pPr>
      <w:r>
        <w:t>21. S7 — Security và production readiness</w:t>
      </w:r>
    </w:p>
    <w:p>
      <w:pPr>
        <w:pStyle w:val="Meta"/>
      </w:pPr>
      <w:r>
        <w:t>Kiểm tra cuối hệ thống; các cơ chế bảo vệ tương ứng đã phải có từ S1–S6.</w:t>
      </w:r>
    </w:p>
    <w:p>
      <w:pPr>
        <w:pStyle w:val="Heading2"/>
      </w:pPr>
      <w:r>
        <w:t>Security gate</w:t>
      </w:r>
    </w:p>
    <w:p>
      <w:pPr>
        <w:pStyle w:val="PlanBullet"/>
        <w:numPr>
          <w:ilvl w:val="0"/>
          <w:numId w:val="80"/>
        </w:numPr>
      </w:pPr>
      <w:r>
        <w:t>S7.1 — Rà mọi API/jobs: tenant, project role, resource ownership, entitlement và workspace status. Test cross-tenant trên native query, export, attachment, cache, websocket và AI.</w:t>
      </w:r>
    </w:p>
    <w:p>
      <w:pPr>
        <w:pStyle w:val="PlanBullet"/>
        <w:numPr>
          <w:ilvl w:val="0"/>
          <w:numId w:val="80"/>
        </w:numPr>
      </w:pPr>
      <w:r>
        <w:t>S7.2 — Auth public có giới hạn theo IP + account và chống lạm dụng email/invite/workspace creation. Rate limit/quota cho upload, search, export và AI; backend không tin claim role cũ.</w:t>
      </w:r>
    </w:p>
    <w:p>
      <w:pPr>
        <w:pStyle w:val="PlanBullet"/>
        <w:numPr>
          <w:ilvl w:val="0"/>
          <w:numId w:val="80"/>
        </w:numPr>
      </w:pPr>
      <w:r>
        <w:t>S7.3 — Secrets qua runtime config/secret service; JWT/email/payment/storage key tách dev/staging/prod; không commit secret, không expose actuator hoặc OpenAPI nhạy cảm công khai.</w:t>
      </w:r>
    </w:p>
    <w:p>
      <w:pPr>
        <w:pStyle w:val="PlanBullet"/>
        <w:numPr>
          <w:ilvl w:val="0"/>
          <w:numId w:val="80"/>
        </w:numPr>
      </w:pPr>
      <w:r>
        <w:t>S7.4 — Upload kiểm tra loại file và nội dung phù hợp, size, tên/path; lưu ngoài vùng executable/public. File đáng ngờ cách ly hoặc quét trước cho tải. Xóa vật lý có job và audit.</w:t>
      </w:r>
    </w:p>
    <w:p>
      <w:pPr>
        <w:pStyle w:val="PlanBullet"/>
        <w:numPr>
          <w:ilvl w:val="0"/>
          <w:numId w:val="80"/>
        </w:numPr>
      </w:pPr>
      <w:r>
        <w:t>S7.5 — Policy session/cookie/CORS/CSRF khớp kiến trúc FE. Admin có xác thực mạnh; thao tác owner transfer, delete và refund yêu cầu xác thực lại.</w:t>
      </w:r>
    </w:p>
    <w:p>
      <w:pPr>
        <w:pStyle w:val="Heading2"/>
      </w:pPr>
      <w:r>
        <w:t>Vận hành</w:t>
      </w:r>
    </w:p>
    <w:p>
      <w:pPr>
        <w:pStyle w:val="PlanBullet"/>
        <w:numPr>
          <w:ilvl w:val="0"/>
          <w:numId w:val="80"/>
        </w:numPr>
      </w:pPr>
      <w:r>
        <w:t>S7.6 — Docker/profile theo baseline; health/readiness phản ánh phụ thuộc cần thiết, không lộ secret. Deploy qua CI: build → test → migration check → staging → smoke → release.</w:t>
      </w:r>
    </w:p>
    <w:p>
      <w:pPr>
        <w:pStyle w:val="PlanBullet"/>
        <w:numPr>
          <w:ilvl w:val="0"/>
          <w:numId w:val="80"/>
        </w:numPr>
      </w:pPr>
      <w:r>
        <w:t>S7.7 — Structured logs có correlationId, workspaceId phù hợp và mã lỗi; lọc token/password/payment payload nhạy cảm. Theo dõi latency, error rate, DB pool, disk/storage, worker lag, email/webhook backlog.</w:t>
      </w:r>
    </w:p>
    <w:p>
      <w:pPr>
        <w:pStyle w:val="PlanBullet"/>
        <w:numPr>
          <w:ilvl w:val="0"/>
          <w:numId w:val="80"/>
        </w:numPr>
      </w:pPr>
      <w:r>
        <w:t>S7.8 — Backup DB và file theo cùng mốc có thể khôi phục. Đề xuất pilot RPO ≤ 24 giờ, RTO ≤ 4 giờ; chỉ công bố sau khi restore test chứng minh được.</w:t>
      </w:r>
    </w:p>
    <w:p>
      <w:pPr>
        <w:pStyle w:val="PlanBullet"/>
        <w:numPr>
          <w:ilvl w:val="0"/>
          <w:numId w:val="80"/>
        </w:numPr>
      </w:pPr>
      <w:r>
        <w:t>S7.9 — Outbox worker có retry/backoff, hàng lỗi, lease timeout và idempotency. Scheduler chạy nhiều instance cần lock/dedup theo event/kỳ, không gửi reminder hay áp expiration hai lần.</w:t>
      </w:r>
    </w:p>
    <w:p>
      <w:pPr>
        <w:pStyle w:val="Heading2"/>
      </w:pPr>
      <w:r>
        <w:t>Nghiệm thu</w:t>
      </w:r>
    </w:p>
    <w:p>
      <w:r>
        <w:t>Không còn lỗi P0/P1 về rò dữ liệu, mất dữ liệu, cấp gói sai hoặc auth bypass. Có rehearsal deploy/restore/rollback và người chịu trách nhiệm cảnh báo. Email verification/reset/invite/payment/trial chạy end-to-end với cấu hình đúng môi trường.</w:t>
      </w:r>
    </w:p>
    <w:p>
      <w:pPr>
        <w:pStyle w:val="Heading1"/>
        <w:pageBreakBefore/>
      </w:pPr>
      <w:r>
        <w:t>22. Frontend — Danh sách màn hình phải làm</w:t>
      </w:r>
    </w:p>
    <w:p>
      <w:pPr>
        <w:pStyle w:val="Meta"/>
      </w:pPr>
      <w:r>
        <w:t>Dùng framework và design system hiện có; không tự đổi React/Vue nếu repository chưa yêu cầu.</w:t>
      </w:r>
    </w:p>
    <w:tbl>
      <w:tblPr>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CBD5E1"/>
          <w:left w:val="single" w:sz="4" w:color="CBD5E1"/>
          <w:bottom w:val="single" w:sz="4" w:color="CBD5E1"/>
          <w:right w:val="single" w:sz="4" w:color="CBD5E1"/>
          <w:insideH w:val="single" w:sz="4" w:color="CBD5E1"/>
          <w:insideV w:val="single" w:sz="4" w:color="CBD5E1"/>
        </w:tblBorders>
      </w:tblPr>
      <w:tblGrid>
        <w:gridCol w:w="2960"/>
        <w:gridCol w:w="6400"/>
      </w:tblGrid>
      <w:tr>
        <w:trPr>
          <w:cantSplit/>
          <w:tblHeader/>
        </w:trPr>
        <w:tc>
          <w:tcPr>
            <w:tcW w:type="dxa" w:w="2960"/>
            <w:shd w:fill="E8EEF5"/>
          </w:tcPr>
          <w:p>
            <w:pPr>
              <w:pStyle w:val="TableText"/>
            </w:pPr>
            <w:r>
              <w:rPr>
                <w:b/>
              </w:rPr>
              <w:t>Nhóm màn hình</w:t>
            </w:r>
          </w:p>
        </w:tc>
        <w:tc>
          <w:tcPr>
            <w:tcW w:type="dxa" w:w="6400"/>
            <w:shd w:fill="E8EEF5"/>
          </w:tcPr>
          <w:p>
            <w:pPr>
              <w:pStyle w:val="TableText"/>
            </w:pPr>
            <w:r>
              <w:rPr>
                <w:b/>
              </w:rPr>
              <w:t>Nội dung bắt buộc</w:t>
            </w:r>
          </w:p>
        </w:tc>
      </w:tr>
      <w:tr>
        <w:trPr>
          <w:cantSplit/>
        </w:trPr>
        <w:tc>
          <w:tcPr>
            <w:tcW w:type="dxa" w:w="2960"/>
          </w:tcPr>
          <w:p>
            <w:pPr>
              <w:pStyle w:val="TableText"/>
            </w:pPr>
            <w:r>
              <w:t>Public / Pricing</w:t>
            </w:r>
          </w:p>
        </w:tc>
        <w:tc>
          <w:tcPr>
            <w:tcW w:type="dxa" w:w="6400"/>
          </w:tcPr>
          <w:p>
            <w:pPr>
              <w:pStyle w:val="TableText"/>
            </w:pPr>
            <w:r>
              <w:t>Giới thiệu sản phẩm, so sánh gói và trial, đăng ký/đăng nhập; không công bố tính năng chưa qua nghiệm thu.</w:t>
            </w:r>
          </w:p>
        </w:tc>
      </w:tr>
      <w:tr>
        <w:trPr>
          <w:cantSplit/>
        </w:trPr>
        <w:tc>
          <w:tcPr>
            <w:tcW w:type="dxa" w:w="2960"/>
          </w:tcPr>
          <w:p>
            <w:pPr>
              <w:pStyle w:val="TableText"/>
            </w:pPr>
            <w:r>
              <w:t>Auth lifecycle</w:t>
            </w:r>
          </w:p>
        </w:tc>
        <w:tc>
          <w:tcPr>
            <w:tcW w:type="dxa" w:w="6400"/>
          </w:tcPr>
          <w:p>
            <w:pPr>
              <w:pStyle w:val="TableText"/>
            </w:pPr>
            <w:r>
              <w:t>Register, verify/resend, login, forgot/reset, session expired; link hết hạn và mạng lỗi có hướng xử lý.</w:t>
            </w:r>
          </w:p>
        </w:tc>
      </w:tr>
      <w:tr>
        <w:trPr>
          <w:cantSplit/>
        </w:trPr>
        <w:tc>
          <w:tcPr>
            <w:tcW w:type="dxa" w:w="2960"/>
          </w:tcPr>
          <w:p>
            <w:pPr>
              <w:pStyle w:val="TableText"/>
            </w:pPr>
            <w:r>
              <w:t>Workspace onboarding</w:t>
            </w:r>
          </w:p>
        </w:tc>
        <w:tc>
          <w:tcPr>
            <w:tcW w:type="dxa" w:w="6400"/>
          </w:tcPr>
          <w:p>
            <w:pPr>
              <w:pStyle w:val="TableText"/>
            </w:pPr>
            <w:r>
              <w:t>Danh sách/tạo workspace, selector, nhận lời mời; trường hợp chưa có workspace hoặc bị remove.</w:t>
            </w:r>
          </w:p>
        </w:tc>
      </w:tr>
      <w:tr>
        <w:trPr>
          <w:cantSplit/>
        </w:trPr>
        <w:tc>
          <w:tcPr>
            <w:tcW w:type="dxa" w:w="2960"/>
          </w:tcPr>
          <w:p>
            <w:pPr>
              <w:pStyle w:val="TableText"/>
            </w:pPr>
            <w:r>
              <w:t>Members / Invitations</w:t>
            </w:r>
          </w:p>
        </w:tc>
        <w:tc>
          <w:tcPr>
            <w:tcW w:type="dxa" w:w="6400"/>
          </w:tcPr>
          <w:p>
            <w:pPr>
              <w:pStyle w:val="TableText"/>
            </w:pPr>
            <w:r>
              <w:t>Danh sách, role, mời/gửi lại/thu hồi, remove, transfer ownership; hiển thị seat còn lại.</w:t>
            </w:r>
          </w:p>
        </w:tc>
      </w:tr>
      <w:tr>
        <w:trPr>
          <w:cantSplit/>
        </w:trPr>
        <w:tc>
          <w:tcPr>
            <w:tcW w:type="dxa" w:w="2960"/>
          </w:tcPr>
          <w:p>
            <w:pPr>
              <w:pStyle w:val="TableText"/>
            </w:pPr>
            <w:r>
              <w:t>Workspace Settings</w:t>
            </w:r>
          </w:p>
        </w:tc>
        <w:tc>
          <w:tcPr>
            <w:tcW w:type="dxa" w:w="6400"/>
          </w:tcPr>
          <w:p>
            <w:pPr>
              <w:pStyle w:val="TableText"/>
            </w:pPr>
            <w:r>
              <w:t>Name/timezone, archive/restore, deletion request; owner guard và cảnh báo ngày hiệu lực.</w:t>
            </w:r>
          </w:p>
        </w:tc>
      </w:tr>
      <w:tr>
        <w:trPr>
          <w:cantSplit/>
        </w:trPr>
        <w:tc>
          <w:tcPr>
            <w:tcW w:type="dxa" w:w="2960"/>
          </w:tcPr>
          <w:p>
            <w:pPr>
              <w:pStyle w:val="TableText"/>
            </w:pPr>
            <w:r>
              <w:t>Billing / Usage</w:t>
            </w:r>
          </w:p>
        </w:tc>
        <w:tc>
          <w:tcPr>
            <w:tcW w:type="dxa" w:w="6400"/>
          </w:tcPr>
          <w:p>
            <w:pPr>
              <w:pStyle w:val="TableText"/>
            </w:pPr>
            <w:r>
              <w:t>Plan, trial, usage, upgrade, downgrade/cancel, payment history, receipts, pending/failed payment.</w:t>
            </w:r>
          </w:p>
        </w:tc>
      </w:tr>
      <w:tr>
        <w:trPr>
          <w:cantSplit/>
        </w:trPr>
        <w:tc>
          <w:tcPr>
            <w:tcW w:type="dxa" w:w="2960"/>
          </w:tcPr>
          <w:p>
            <w:pPr>
              <w:pStyle w:val="TableText"/>
            </w:pPr>
            <w:r>
              <w:t>Ứng dụng Agile hiện có</w:t>
            </w:r>
          </w:p>
        </w:tc>
        <w:tc>
          <w:tcPr>
            <w:tcW w:type="dxa" w:w="6400"/>
          </w:tcPr>
          <w:p>
            <w:pPr>
              <w:pStyle w:val="TableText"/>
            </w:pPr>
            <w:r>
              <w:t>Route/query theo workspace; quyền toolbar, menu, file và realtime đúng context.</w:t>
            </w:r>
          </w:p>
        </w:tc>
      </w:tr>
      <w:tr>
        <w:trPr>
          <w:cantSplit/>
        </w:trPr>
        <w:tc>
          <w:tcPr>
            <w:tcW w:type="dxa" w:w="2960"/>
          </w:tcPr>
          <w:p>
            <w:pPr>
              <w:pStyle w:val="TableText"/>
            </w:pPr>
            <w:r>
              <w:t>AI Action Items</w:t>
            </w:r>
          </w:p>
        </w:tc>
        <w:tc>
          <w:tcPr>
            <w:tcW w:type="dxa" w:w="6400"/>
          </w:tcPr>
          <w:p>
            <w:pPr>
              <w:pStyle w:val="TableText"/>
            </w:pPr>
            <w:r>
              <w:t>Preview có nguồn/revision, chọn/sửa item, confirm, lỗi validation từng item và kết quả Task đã tạo.</w:t>
            </w:r>
          </w:p>
        </w:tc>
      </w:tr>
      <w:tr>
        <w:trPr>
          <w:cantSplit/>
        </w:trPr>
        <w:tc>
          <w:tcPr>
            <w:tcW w:type="dxa" w:w="2960"/>
          </w:tcPr>
          <w:p>
            <w:pPr>
              <w:pStyle w:val="TableText"/>
            </w:pPr>
            <w:r>
              <w:t>Platform Console</w:t>
            </w:r>
          </w:p>
        </w:tc>
        <w:tc>
          <w:tcPr>
            <w:tcW w:type="dxa" w:w="6400"/>
          </w:tcPr>
          <w:p>
            <w:pPr>
              <w:pStyle w:val="TableText"/>
            </w:pPr>
            <w:r>
              <w:t>Users/workspaces/subscriptions/payments/audit; queue lỗi, retry và thao tác có reason.</w:t>
            </w:r>
          </w:p>
        </w:tc>
      </w:tr>
    </w:tbl>
    <w:p>
      <w:pPr>
        <w:pStyle w:val="Heading2"/>
      </w:pPr>
      <w:r>
        <w:t>Component và trạng thái dùng chung</w:t>
      </w:r>
    </w:p>
    <w:p>
      <w:pPr>
        <w:pStyle w:val="PlanBullet"/>
        <w:numPr>
          <w:ilvl w:val="0"/>
          <w:numId w:val="80"/>
        </w:numPr>
      </w:pPr>
      <w:r>
        <w:t>Tái sử dụng 100% component chuẩn từ src/components/ui: Button, Input (tích hợp DatePicker khi type="date"), Select, Textarea, Checkbox, Radio, Modal, ConfirmDialog, PageHeader, Pagination (chuẩn và compact), EmptyState, Tabs (line/pill/enclosed), StatCard, Badge, DatePicker, Toast, ActionMenu, CollapsiblePanel, LoadingScreen, ToolbarActions; icon Lucide chuẩn ngữ cảnh. Nghiêm cấm tự viết thẻ HTML thô (button/input/textarea/select) hoặc CSS tùy tiện ngoài Design Tokens.</w:t>
      </w:r>
    </w:p>
    <w:p>
      <w:pPr>
        <w:pStyle w:val="PlanBullet"/>
        <w:numPr>
          <w:ilvl w:val="0"/>
          <w:numId w:val="80"/>
        </w:numPr>
      </w:pPr>
      <w:r>
        <w:t>WorkspaceSelector, PermissionGate, FeatureGate, UsageMeter, PlanCard, BillingStatus và ConfirmDangerousAction là component nghiệp vụ dùng chung. Guard FE hỗ trợ trải nghiệm; backend vẫn quyết định quyền.</w:t>
      </w:r>
    </w:p>
    <w:p>
      <w:pPr>
        <w:pStyle w:val="PlanBullet"/>
        <w:numPr>
          <w:ilvl w:val="0"/>
          <w:numId w:val="80"/>
        </w:numPr>
      </w:pPr>
      <w:r>
        <w:t>Mọi màn hình có loading/empty/error/success; submit khóa khi đang xử lý và server idempotency cho thao tác quan trọng. Có focus/keyboard, label và responsive cho luồng chính.</w:t>
      </w:r>
    </w:p>
    <w:p>
      <w:pPr>
        <w:pStyle w:val="PlanBullet"/>
        <w:numPr>
          <w:ilvl w:val="0"/>
          <w:numId w:val="80"/>
        </w:numPr>
      </w:pPr>
      <w:r>
        <w:t>Chuỗi giao diện qua hệ thống i18n nếu có; quy ước ngày/tiền theo locale. Query cache phải reset đúng tenant; response cũ không được ghi đè màn hình workspace vừa chuyển.</w:t>
      </w:r>
    </w:p>
    <w:p>
      <w:pPr>
        <w:pStyle w:val="Heading1"/>
        <w:pageBreakBefore/>
      </w:pPr>
      <w:r>
        <w:t>23. Backend — Chia việc theo module</w:t>
      </w:r>
    </w:p>
    <w:p>
      <w:pPr>
        <w:pStyle w:val="Meta"/>
      </w:pPr>
      <w:r>
        <w:t>Áp dụng SOLID/OOP có mục đích, ưu tiên mở rộng helper hiện có thay vì tạo lớp trùng.</w:t>
      </w:r>
    </w:p>
    <w:tbl>
      <w:tblPr>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CBD5E1"/>
          <w:left w:val="single" w:sz="4" w:color="CBD5E1"/>
          <w:bottom w:val="single" w:sz="4" w:color="CBD5E1"/>
          <w:right w:val="single" w:sz="4" w:color="CBD5E1"/>
          <w:insideH w:val="single" w:sz="4" w:color="CBD5E1"/>
          <w:insideV w:val="single" w:sz="4" w:color="CBD5E1"/>
        </w:tblBorders>
      </w:tblPr>
      <w:tblGrid>
        <w:gridCol w:w="3220"/>
        <w:gridCol w:w="6140"/>
      </w:tblGrid>
      <w:tr>
        <w:trPr>
          <w:cantSplit/>
          <w:tblHeader/>
        </w:trPr>
        <w:tc>
          <w:tcPr>
            <w:tcW w:type="dxa" w:w="3220"/>
            <w:shd w:fill="E8EEF5"/>
          </w:tcPr>
          <w:p>
            <w:pPr>
              <w:pStyle w:val="TableText"/>
            </w:pPr>
            <w:r>
              <w:rPr>
                <w:b/>
              </w:rPr>
              <w:t>Thành phần đề xuất</w:t>
            </w:r>
          </w:p>
        </w:tc>
        <w:tc>
          <w:tcPr>
            <w:tcW w:type="dxa" w:w="6140"/>
            <w:shd w:fill="E8EEF5"/>
          </w:tcPr>
          <w:p>
            <w:pPr>
              <w:pStyle w:val="TableText"/>
            </w:pPr>
            <w:r>
              <w:rPr>
                <w:b/>
              </w:rPr>
              <w:t>Trách nhiệm duy nhất</w:t>
            </w:r>
          </w:p>
        </w:tc>
      </w:tr>
      <w:tr>
        <w:trPr>
          <w:cantSplit/>
        </w:trPr>
        <w:tc>
          <w:tcPr>
            <w:tcW w:type="dxa" w:w="3220"/>
          </w:tcPr>
          <w:p>
            <w:pPr>
              <w:pStyle w:val="TableText"/>
            </w:pPr>
            <w:r>
              <w:t>WorkspaceAccessService</w:t>
            </w:r>
          </w:p>
        </w:tc>
        <w:tc>
          <w:tcPr>
            <w:tcW w:type="dxa" w:w="6140"/>
          </w:tcPr>
          <w:p>
            <w:pPr>
              <w:pStyle w:val="TableText"/>
            </w:pPr>
            <w:r>
              <w:t>Xác nhận membership, trạng thái workspace, effective role; không xử lý payment.</w:t>
            </w:r>
          </w:p>
        </w:tc>
      </w:tr>
      <w:tr>
        <w:trPr>
          <w:cantSplit/>
        </w:trPr>
        <w:tc>
          <w:tcPr>
            <w:tcW w:type="dxa" w:w="3220"/>
          </w:tcPr>
          <w:p>
            <w:pPr>
              <w:pStyle w:val="TableText"/>
            </w:pPr>
            <w:r>
              <w:t>ProjectAccessService hiện có</w:t>
            </w:r>
          </w:p>
        </w:tc>
        <w:tc>
          <w:tcPr>
            <w:tcW w:type="dxa" w:w="6140"/>
          </w:tcPr>
          <w:p>
            <w:pPr>
              <w:pStyle w:val="TableText"/>
            </w:pPr>
            <w:r>
              <w:t>Xác nhận quan hệ Project/tenant và role nghiệp vụ; tái dùng trong toàn bộ module.</w:t>
            </w:r>
          </w:p>
        </w:tc>
      </w:tr>
      <w:tr>
        <w:trPr>
          <w:cantSplit/>
        </w:trPr>
        <w:tc>
          <w:tcPr>
            <w:tcW w:type="dxa" w:w="3220"/>
          </w:tcPr>
          <w:p>
            <w:pPr>
              <w:pStyle w:val="TableText"/>
            </w:pPr>
            <w:r>
              <w:t>WorkspaceService / InvitationService</w:t>
            </w:r>
          </w:p>
        </w:tc>
        <w:tc>
          <w:tcPr>
            <w:tcW w:type="dxa" w:w="6140"/>
          </w:tcPr>
          <w:p>
            <w:pPr>
              <w:pStyle w:val="TableText"/>
            </w:pPr>
            <w:r>
              <w:t>CRUD/lifecycle, transfer owner, accept invite và phối hợp transaction.</w:t>
            </w:r>
          </w:p>
        </w:tc>
      </w:tr>
      <w:tr>
        <w:trPr>
          <w:cantSplit/>
        </w:trPr>
        <w:tc>
          <w:tcPr>
            <w:tcW w:type="dxa" w:w="3220"/>
          </w:tcPr>
          <w:p>
            <w:pPr>
              <w:pStyle w:val="TableText"/>
            </w:pPr>
            <w:r>
              <w:t>EntitlementService</w:t>
            </w:r>
          </w:p>
        </w:tc>
        <w:tc>
          <w:tcPr>
            <w:tcW w:type="dxa" w:w="6140"/>
          </w:tcPr>
          <w:p>
            <w:pPr>
              <w:pStyle w:val="TableText"/>
            </w:pPr>
            <w:r>
              <w:t>Tính feature/limit hiệu lực từ plan, thời hạn và policy; trả reason code rõ.</w:t>
            </w:r>
          </w:p>
        </w:tc>
      </w:tr>
      <w:tr>
        <w:trPr>
          <w:cantSplit/>
        </w:trPr>
        <w:tc>
          <w:tcPr>
            <w:tcW w:type="dxa" w:w="3220"/>
          </w:tcPr>
          <w:p>
            <w:pPr>
              <w:pStyle w:val="TableText"/>
            </w:pPr>
            <w:r>
              <w:t>UsageReservationService</w:t>
            </w:r>
          </w:p>
        </w:tc>
        <w:tc>
          <w:tcPr>
            <w:tcW w:type="dxa" w:w="6140"/>
          </w:tcPr>
          <w:p>
            <w:pPr>
              <w:pStyle w:val="TableText"/>
            </w:pPr>
            <w:r>
              <w:t>Reserve/commit/release nguyên tử; đối soát usage; không lấy số từ frontend.</w:t>
            </w:r>
          </w:p>
        </w:tc>
      </w:tr>
      <w:tr>
        <w:trPr>
          <w:cantSplit/>
        </w:trPr>
        <w:tc>
          <w:tcPr>
            <w:tcW w:type="dxa" w:w="3220"/>
          </w:tcPr>
          <w:p>
            <w:pPr>
              <w:pStyle w:val="TableText"/>
            </w:pPr>
            <w:r>
              <w:t>SubscriptionService</w:t>
            </w:r>
          </w:p>
        </w:tc>
        <w:tc>
          <w:tcPr>
            <w:tcW w:type="dxa" w:w="6140"/>
          </w:tcPr>
          <w:p>
            <w:pPr>
              <w:pStyle w:val="TableText"/>
            </w:pPr>
            <w:r>
              <w:t>State transition hợp lệ, kỳ sử dụng, pending change, history và cache version.</w:t>
            </w:r>
          </w:p>
        </w:tc>
      </w:tr>
      <w:tr>
        <w:trPr>
          <w:cantSplit/>
        </w:trPr>
        <w:tc>
          <w:tcPr>
            <w:tcW w:type="dxa" w:w="3220"/>
          </w:tcPr>
          <w:p>
            <w:pPr>
              <w:pStyle w:val="TableText"/>
            </w:pPr>
            <w:r>
              <w:t>PaymentProvider interface</w:t>
            </w:r>
          </w:p>
        </w:tc>
        <w:tc>
          <w:tcPr>
            <w:tcW w:type="dxa" w:w="6140"/>
          </w:tcPr>
          <w:p>
            <w:pPr>
              <w:pStyle w:val="TableText"/>
            </w:pPr>
            <w:r>
              <w:t>createCheckout, verifyEvent, fetchPaymentStatus, cancelRenewal/refund nếu provider hỗ trợ.</w:t>
            </w:r>
          </w:p>
        </w:tc>
      </w:tr>
      <w:tr>
        <w:trPr>
          <w:cantSplit/>
        </w:trPr>
        <w:tc>
          <w:tcPr>
            <w:tcW w:type="dxa" w:w="3220"/>
          </w:tcPr>
          <w:p>
            <w:pPr>
              <w:pStyle w:val="TableText"/>
            </w:pPr>
            <w:r>
              <w:t>PaymentEventProcessor</w:t>
            </w:r>
          </w:p>
        </w:tc>
        <w:tc>
          <w:tcPr>
            <w:tcW w:type="dxa" w:w="6140"/>
          </w:tcPr>
          <w:p>
            <w:pPr>
              <w:pStyle w:val="TableText"/>
            </w:pPr>
            <w:r>
              <w:t>Apply payment result idempotent vào order/payment/subscription trong transaction.</w:t>
            </w:r>
          </w:p>
        </w:tc>
      </w:tr>
      <w:tr>
        <w:trPr>
          <w:cantSplit/>
        </w:trPr>
        <w:tc>
          <w:tcPr>
            <w:tcW w:type="dxa" w:w="3220"/>
          </w:tcPr>
          <w:p>
            <w:pPr>
              <w:pStyle w:val="TableText"/>
            </w:pPr>
            <w:r>
              <w:t>OutboxDispatcher / EmailService</w:t>
            </w:r>
          </w:p>
        </w:tc>
        <w:tc>
          <w:tcPr>
            <w:tcW w:type="dxa" w:w="6140"/>
          </w:tcPr>
          <w:p>
            <w:pPr>
              <w:pStyle w:val="TableText"/>
            </w:pPr>
            <w:r>
              <w:t>Gửi tác vụ sau commit, retry/dedup; adapter email thay được.</w:t>
            </w:r>
          </w:p>
        </w:tc>
      </w:tr>
      <w:tr>
        <w:trPr>
          <w:cantSplit/>
        </w:trPr>
        <w:tc>
          <w:tcPr>
            <w:tcW w:type="dxa" w:w="3220"/>
          </w:tcPr>
          <w:p>
            <w:pPr>
              <w:pStyle w:val="TableText"/>
            </w:pPr>
            <w:r>
              <w:t>AuditService hiện có</w:t>
            </w:r>
          </w:p>
        </w:tc>
        <w:tc>
          <w:tcPr>
            <w:tcW w:type="dxa" w:w="6140"/>
          </w:tcPr>
          <w:p>
            <w:pPr>
              <w:pStyle w:val="TableText"/>
            </w:pPr>
            <w:r>
              <w:t>Lưu actor/scope/action/reason và trường đã lọc; log append-only theo policy.</w:t>
            </w:r>
          </w:p>
        </w:tc>
      </w:tr>
    </w:tbl>
    <w:p>
      <w:pPr>
        <w:pStyle w:val="Heading2"/>
      </w:pPr>
      <w:r>
        <w:t>Quy trình mỗi ticket code</w:t>
      </w:r>
    </w:p>
    <w:p>
      <w:pPr>
        <w:pStyle w:val="PlanBullet"/>
        <w:numPr>
          <w:ilvl w:val="0"/>
          <w:numId w:val="80"/>
        </w:numPr>
      </w:pPr>
      <w:r>
        <w:t>Tìm class/method/repository/query tương tự, đọc quy ước dự án và test hiện có; cập nhật helper chung nếu cùng nghiệp vụ. Không đổi API cũ khi chưa có migration client.</w:t>
      </w:r>
    </w:p>
    <w:p>
      <w:pPr>
        <w:pStyle w:val="PlanBullet"/>
        <w:numPr>
          <w:ilvl w:val="0"/>
          <w:numId w:val="80"/>
        </w:numPr>
      </w:pPr>
      <w:r>
        <w:t>Viết migration mới; entity/DTO/mapper/repository → service/validator/access → controller → integration test → FE. Các phương thức hỗ trợ phải có tên theo nghiệp vụ và phạm vi rõ.</w:t>
      </w:r>
    </w:p>
    <w:p>
      <w:pPr>
        <w:pStyle w:val="PlanBullet"/>
        <w:numPr>
          <w:ilvl w:val="0"/>
          <w:numId w:val="80"/>
        </w:numPr>
      </w:pPr>
      <w:r>
        <w:t>Đọc dùng transaction readOnly; mutation nhiều entity dùng transaction. Tránh network provider trong transaction giữ lock lâu; outbox ghi cùng nghiệp vụ và dispatch sau commit.</w:t>
      </w:r>
    </w:p>
    <w:p>
      <w:pPr>
        <w:pStyle w:val="PlanBullet"/>
        <w:numPr>
          <w:ilvl w:val="0"/>
          <w:numId w:val="80"/>
        </w:numPr>
      </w:pPr>
      <w:r>
        <w:t>Bổ sung index theo query thật, kiểm tra N+1 và query plan khi có rủi ro hiệu năng. Cache có TTL/version/invalidation; không cache quyết định quyền vô thời hạn.</w:t>
      </w:r>
    </w:p>
    <w:p>
      <w:pPr>
        <w:pStyle w:val="Meta"/>
      </w:pPr>
      <w:r>
        <w:t>Error code bổ sung: WORKSPACE_SUSPENDED, MEMBERSHIP_REQUIRED, LAST_OWNER_PROTECTED, INVITATION_EXPIRED, INVITATION_EMAIL_MISMATCH, QUOTA_EXCEEDED, VERSION_CONFLICT.</w:t>
      </w:r>
    </w:p>
    <w:p>
      <w:pPr>
        <w:pStyle w:val="Heading1"/>
        <w:pageBreakBefore/>
      </w:pPr>
      <w:r>
        <w:t>24. Migration — Kế hoạch mở rộng và backfill</w:t>
      </w:r>
    </w:p>
    <w:p>
      <w:pPr>
        <w:pStyle w:val="Meta"/>
      </w:pPr>
      <w:r>
        <w:t>Mục tiêu: chuyển dữ liệu nội bộ vào workspace mà không phá liên kết hoặc quyền.</w:t>
      </w:r>
    </w:p>
    <w:p>
      <w:pPr>
        <w:pStyle w:val="Heading2"/>
      </w:pPr>
      <w:r>
        <w:t>Trước khi chạy</w:t>
      </w:r>
    </w:p>
    <w:p>
      <w:pPr>
        <w:pStyle w:val="PlanBullet"/>
        <w:numPr>
          <w:ilvl w:val="0"/>
          <w:numId w:val="80"/>
        </w:numPr>
      </w:pPr>
      <w:r>
        <w:t>MIG.01 — Ghi baseline commit, số migration cuối, schema và row counts theo bảng; chụp backup DB/file và restore thử. Xác định user làm owner workspace nội bộ từ dữ liệu/đầu mối thật.</w:t>
      </w:r>
    </w:p>
    <w:p>
      <w:pPr>
        <w:pStyle w:val="PlanBullet"/>
        <w:numPr>
          <w:ilvl w:val="0"/>
          <w:numId w:val="80"/>
        </w:numPr>
      </w:pPr>
      <w:r>
        <w:t>MIG.02 — Chốt cửa sổ bảo trì ngắn cho pilot. Nếu cần không gián đoạn, phải thiết kế dual-write/compatibility riêng và thử nghiệm; không cam kết zero-downtime chỉ từ việc thêm cột nullable.</w:t>
      </w:r>
    </w:p>
    <w:p>
      <w:pPr>
        <w:pStyle w:val="PlanBullet"/>
        <w:numPr>
          <w:ilvl w:val="0"/>
          <w:numId w:val="80"/>
        </w:numPr>
      </w:pPr>
      <w:r>
        <w:t>MIG.03 — Dữ liệu user cũ giữ nguyên ID. Mapping business ADMIN/MANAGER/EMPLOYEE sang workspace/project role phải được rà; không tự biến mọi ADMIN nội bộ thành SUPER_ADMIN SaaS.</w:t>
      </w:r>
    </w:p>
    <w:p>
      <w:pPr>
        <w:pStyle w:val="Heading2"/>
      </w:pPr>
      <w:r>
        <w:t>Trình tự thực hiện</w:t>
      </w:r>
    </w:p>
    <w:p>
      <w:pPr>
        <w:pStyle w:val="PlanBullet"/>
        <w:numPr>
          <w:ilvl w:val="0"/>
          <w:numId w:val="80"/>
        </w:numPr>
      </w:pPr>
      <w:r>
        <w:t>MIG.04 — Expand: tạo bảng workspace/membership/billing nền; thêm workspace_id nullable và index cần thiết. Không sửa nội dung Flyway migration đã áp dụng.</w:t>
      </w:r>
    </w:p>
    <w:p>
      <w:pPr>
        <w:pStyle w:val="PlanBullet"/>
        <w:numPr>
          <w:ilvl w:val="0"/>
          <w:numId w:val="80"/>
        </w:numPr>
      </w:pPr>
      <w:r>
        <w:t>MIG.05 — Tạo legacy workspace và owner membership; backfill projects trước, sau đó Sprint/Backlog/Task/Comment/Time Log/Bug/Attachment/Meeting theo cha.</w:t>
      </w:r>
    </w:p>
    <w:p>
      <w:pPr>
        <w:pStyle w:val="PlanBullet"/>
        <w:numPr>
          <w:ilvl w:val="0"/>
          <w:numId w:val="80"/>
        </w:numPr>
      </w:pPr>
      <w:r>
        <w:t>MIG.06 — Notification/activity/job: gán scope từ resource cha; sự kiện user/platform thật sự dùng scope riêng. Bản ghi mồ côi đưa vào danh sách xử lý, không gán tùy ý hoặc bỏ qua.</w:t>
      </w:r>
    </w:p>
    <w:p>
      <w:pPr>
        <w:pStyle w:val="PlanBullet"/>
        <w:numPr>
          <w:ilvl w:val="0"/>
          <w:numId w:val="80"/>
        </w:numPr>
      </w:pPr>
      <w:r>
        <w:t>MIG.07 — Backfill membership từ user/project relations; bảo toàn ID và vai trò project. Cấp plan/version LEGACY_INTERNAL riêng nếu cần giữ chức năng V1 cho người dùng nội bộ; không tự bắt họ trả phí.</w:t>
      </w:r>
    </w:p>
    <w:p>
      <w:pPr>
        <w:pStyle w:val="PlanBullet"/>
        <w:numPr>
          <w:ilvl w:val="0"/>
          <w:numId w:val="80"/>
        </w:numPr>
      </w:pPr>
      <w:r>
        <w:t>MIG.08 — Đối soát số lượng, FK và quyền; thêm NOT NULL/composite FK khi không còn sai lệch. Cập nhật code tenant-aware và tắt đường truy cập legacy không kiểm tra tenant.</w:t>
      </w:r>
    </w:p>
    <w:p>
      <w:pPr>
        <w:pStyle w:val="PlanBullet"/>
        <w:numPr>
          <w:ilvl w:val="0"/>
          <w:numId w:val="80"/>
        </w:numPr>
      </w:pPr>
      <w:r>
        <w:t>MIG.09 — File metadata giữ đường dẫn cũ nếu còn được kiểm soát qua backend. Chuyển key vật lý bằng copy → checksum → đổi metadata → dọn sau; không move đồng loạt thiếu checkpoint.</w:t>
      </w:r>
    </w:p>
    <w:p>
      <w:pPr>
        <w:pStyle w:val="PlanBullet"/>
        <w:numPr>
          <w:ilvl w:val="0"/>
          <w:numId w:val="80"/>
        </w:numPr>
      </w:pPr>
      <w:r>
        <w:t>MIG.10 — Xóa cache namespace cũ, rotate/revalidate session theo mapping role, pause/resume scheduler đúng mốc; smoke test A/B và luồng Agile.</w:t>
      </w:r>
    </w:p>
    <w:p>
      <w:pPr>
        <w:pStyle w:val="Callout"/>
      </w:pPr>
      <w:r>
        <w:t>Nghiệm thu: mọi resource nghiệp vụ truy được đúng workspace; số lượng/quan hệ dữ liệu bảo toàn; Project Owner và Task history đúng; report không đổi ngoài các sửa lỗi đã công bố.</w:t>
      </w:r>
    </w:p>
    <w:p>
      <w:pPr>
        <w:pStyle w:val="Heading1"/>
        <w:pageBreakBefore/>
      </w:pPr>
      <w:r>
        <w:t>25. Migration — Rollback và bảo toàn dữ liệu</w:t>
      </w:r>
    </w:p>
    <w:p>
      <w:pPr>
        <w:pStyle w:val="Meta"/>
      </w:pPr>
      <w:r>
        <w:t>Rollback ứng dụng và restore dữ liệu là hai thao tác khác nhau; không dùng thay thế tùy tiện.</w:t>
      </w:r>
    </w:p>
    <w:p>
      <w:pPr>
        <w:pStyle w:val="Heading2"/>
      </w:pPr>
      <w:r>
        <w:t>Phương án quay lại</w:t>
      </w:r>
    </w:p>
    <w:p>
      <w:pPr>
        <w:pStyle w:val="PlanBullet"/>
        <w:numPr>
          <w:ilvl w:val="0"/>
          <w:numId w:val="80"/>
        </w:numPr>
      </w:pPr>
      <w:r>
        <w:t>Nếu lỗi trước khi mở ghi V2: dừng deploy, giữ maintenance; rollback ứng dụng tương thích schema mở rộng hoặc restore checkpoint trước migration. Đối chiếu lại file metadata.</w:t>
      </w:r>
    </w:p>
    <w:p>
      <w:pPr>
        <w:pStyle w:val="PlanBullet"/>
        <w:numPr>
          <w:ilvl w:val="0"/>
          <w:numId w:val="80"/>
        </w:numPr>
      </w:pPr>
      <w:r>
        <w:t>Nếu V2 đã phát sinh ghi: dừng ghi/worker cần thiết và đánh giá dữ liệu mới. Ưu tiên sửa tiến trên schema mở rộng; không restore backup cũ làm mất dữ liệu sau cutover.</w:t>
      </w:r>
    </w:p>
    <w:p>
      <w:pPr>
        <w:pStyle w:val="PlanBullet"/>
        <w:numPr>
          <w:ilvl w:val="0"/>
          <w:numId w:val="80"/>
        </w:numPr>
      </w:pPr>
      <w:r>
        <w:t>App V1 không có tenant isolation không được chạy phục vụ công khai trên DB đã có nhiều khách hàng. Rollback feature flag/route hoặc bản V2 trước đó vẫn phải giữ tenant boundary.</w:t>
      </w:r>
    </w:p>
    <w:p>
      <w:pPr>
        <w:pStyle w:val="PlanBullet"/>
        <w:numPr>
          <w:ilvl w:val="0"/>
          <w:numId w:val="80"/>
        </w:numPr>
      </w:pPr>
      <w:r>
        <w:t>Chỉ contract/drop cột legacy sau một kỳ ổn định, kiểm chứng không client/job nào sử dụng và có migration riêng. Không trộn cleanup phá hủy vào đợt cutover đầu.</w:t>
      </w:r>
    </w:p>
    <w:p>
      <w:pPr>
        <w:pStyle w:val="Heading2"/>
      </w:pPr>
      <w:r>
        <w:t>Chính sách xóa và retention đề xuất</w:t>
      </w:r>
    </w:p>
    <w:tbl>
      <w:tblPr>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CBD5E1"/>
          <w:left w:val="single" w:sz="4" w:color="CBD5E1"/>
          <w:bottom w:val="single" w:sz="4" w:color="CBD5E1"/>
          <w:right w:val="single" w:sz="4" w:color="CBD5E1"/>
          <w:insideH w:val="single" w:sz="4" w:color="CBD5E1"/>
          <w:insideV w:val="single" w:sz="4" w:color="CBD5E1"/>
        </w:tblBorders>
      </w:tblPr>
      <w:tblGrid>
        <w:gridCol w:w="2900"/>
        <w:gridCol w:w="6460"/>
      </w:tblGrid>
      <w:tr>
        <w:trPr>
          <w:cantSplit/>
          <w:tblHeader/>
        </w:trPr>
        <w:tc>
          <w:tcPr>
            <w:tcW w:type="dxa" w:w="2900"/>
            <w:shd w:fill="E8EEF5"/>
          </w:tcPr>
          <w:p>
            <w:pPr>
              <w:pStyle w:val="TableText"/>
            </w:pPr>
            <w:r>
              <w:rPr>
                <w:b/>
              </w:rPr>
              <w:t>Loại dữ liệu</w:t>
            </w:r>
          </w:p>
        </w:tc>
        <w:tc>
          <w:tcPr>
            <w:tcW w:type="dxa" w:w="6460"/>
            <w:shd w:fill="E8EEF5"/>
          </w:tcPr>
          <w:p>
            <w:pPr>
              <w:pStyle w:val="TableText"/>
            </w:pPr>
            <w:r>
              <w:rPr>
                <w:b/>
              </w:rPr>
              <w:t>Quy tắc cho pilot</w:t>
            </w:r>
          </w:p>
        </w:tc>
      </w:tr>
      <w:tr>
        <w:trPr>
          <w:cantSplit/>
        </w:trPr>
        <w:tc>
          <w:tcPr>
            <w:tcW w:type="dxa" w:w="2900"/>
          </w:tcPr>
          <w:p>
            <w:pPr>
              <w:pStyle w:val="TableText"/>
            </w:pPr>
            <w:r>
              <w:t>Task/Comment/File soft delete</w:t>
            </w:r>
          </w:p>
        </w:tc>
        <w:tc>
          <w:tcPr>
            <w:tcW w:type="dxa" w:w="6460"/>
          </w:tcPr>
          <w:p>
            <w:pPr>
              <w:pStyle w:val="TableText"/>
            </w:pPr>
            <w:r>
              <w:t>Giữ theo chức năng thùng rác; quyền khôi phục theo role, quota được kiểm tra lại.</w:t>
            </w:r>
          </w:p>
        </w:tc>
      </w:tr>
      <w:tr>
        <w:trPr>
          <w:cantSplit/>
        </w:trPr>
        <w:tc>
          <w:tcPr>
            <w:tcW w:type="dxa" w:w="2900"/>
          </w:tcPr>
          <w:p>
            <w:pPr>
              <w:pStyle w:val="TableText"/>
            </w:pPr>
            <w:r>
              <w:t>Hết trial/hủy gói</w:t>
            </w:r>
          </w:p>
        </w:tc>
        <w:tc>
          <w:tcPr>
            <w:tcW w:type="dxa" w:w="6460"/>
          </w:tcPr>
          <w:p>
            <w:pPr>
              <w:pStyle w:val="TableText"/>
            </w:pPr>
            <w:r>
              <w:t>Không xóa dữ liệu; chuyển Free/over-limit; owner có công cụ lấy dữ liệu của mình theo phạm vi.</w:t>
            </w:r>
          </w:p>
        </w:tc>
      </w:tr>
      <w:tr>
        <w:trPr>
          <w:cantSplit/>
        </w:trPr>
        <w:tc>
          <w:tcPr>
            <w:tcW w:type="dxa" w:w="2900"/>
          </w:tcPr>
          <w:p>
            <w:pPr>
              <w:pStyle w:val="TableText"/>
            </w:pPr>
            <w:r>
              <w:t>Workspace deletion</w:t>
            </w:r>
          </w:p>
        </w:tc>
        <w:tc>
          <w:tcPr>
            <w:tcW w:type="dxa" w:w="6460"/>
          </w:tcPr>
          <w:p>
            <w:pPr>
              <w:pStyle w:val="TableText"/>
            </w:pPr>
            <w:r>
              <w:t>PENDING_DELETION 30 ngày đề xuất; owner có thể hủy; purge qua job có checkpoint và audit.</w:t>
            </w:r>
          </w:p>
        </w:tc>
      </w:tr>
      <w:tr>
        <w:trPr>
          <w:cantSplit/>
        </w:trPr>
        <w:tc>
          <w:tcPr>
            <w:tcW w:type="dxa" w:w="2900"/>
          </w:tcPr>
          <w:p>
            <w:pPr>
              <w:pStyle w:val="TableText"/>
            </w:pPr>
            <w:r>
              <w:t>Export artifacts</w:t>
            </w:r>
          </w:p>
        </w:tc>
        <w:tc>
          <w:tcPr>
            <w:tcW w:type="dxa" w:w="6460"/>
          </w:tcPr>
          <w:p>
            <w:pPr>
              <w:pStyle w:val="TableText"/>
            </w:pPr>
            <w:r>
              <w:t>Link có hạn; artifact giữ 7 ngày đề xuất; tải phải kiểm tra lại quyền; có job cleanup.</w:t>
            </w:r>
          </w:p>
        </w:tc>
      </w:tr>
      <w:tr>
        <w:trPr>
          <w:cantSplit/>
        </w:trPr>
        <w:tc>
          <w:tcPr>
            <w:tcW w:type="dxa" w:w="2900"/>
          </w:tcPr>
          <w:p>
            <w:pPr>
              <w:pStyle w:val="TableText"/>
            </w:pPr>
            <w:r>
              <w:t>AI prompt/audio</w:t>
            </w:r>
          </w:p>
        </w:tc>
        <w:tc>
          <w:tcPr>
            <w:tcW w:type="dxa" w:w="6460"/>
          </w:tcPr>
          <w:p>
            <w:pPr>
              <w:pStyle w:val="TableText"/>
            </w:pPr>
            <w:r>
              <w:t>Không lưu nếu không cần; retention cấu hình và công bố trong UX; không ghi vào log thông thường.</w:t>
            </w:r>
          </w:p>
        </w:tc>
      </w:tr>
      <w:tr>
        <w:trPr>
          <w:cantSplit/>
        </w:trPr>
        <w:tc>
          <w:tcPr>
            <w:tcW w:type="dxa" w:w="2900"/>
          </w:tcPr>
          <w:p>
            <w:pPr>
              <w:pStyle w:val="TableText"/>
            </w:pPr>
            <w:r>
              <w:t>Audit/payment records</w:t>
            </w:r>
          </w:p>
        </w:tc>
        <w:tc>
          <w:tcPr>
            <w:tcW w:type="dxa" w:w="6460"/>
          </w:tcPr>
          <w:p>
            <w:pPr>
              <w:pStyle w:val="TableText"/>
            </w:pPr>
            <w:r>
              <w:t>Retention riêng theo yêu cầu vận hành/kinh doanh đã chốt; không xóa cùng Task hoặc xóa workspace một cách cơ học.</w:t>
            </w:r>
          </w:p>
        </w:tc>
      </w:tr>
      <w:tr>
        <w:trPr>
          <w:cantSplit/>
        </w:trPr>
        <w:tc>
          <w:tcPr>
            <w:tcW w:type="dxa" w:w="2900"/>
          </w:tcPr>
          <w:p>
            <w:pPr>
              <w:pStyle w:val="TableText"/>
            </w:pPr>
            <w:r>
              <w:t>Backup</w:t>
            </w:r>
          </w:p>
        </w:tc>
        <w:tc>
          <w:tcPr>
            <w:tcW w:type="dxa" w:w="6460"/>
          </w:tcPr>
          <w:p>
            <w:pPr>
              <w:pStyle w:val="TableText"/>
            </w:pPr>
            <w:r>
              <w:t>Có lịch hết hạn và giới hạn truy cập; purge dữ liệu online không đồng nghĩa xóa ngay mọi bản backup.</w:t>
            </w:r>
          </w:p>
        </w:tc>
      </w:tr>
    </w:tbl>
    <w:p>
      <w:pPr>
        <w:pStyle w:val="Meta"/>
      </w:pPr>
      <w:r>
        <w:t>Các thời hạn này là đề xuất vận hành, cần chốt trước release. Chức năng xuất dữ liệu để rời sản phẩm được tách khỏi báo cáo trả phí; scope và nội dung được kiểm tra để không lộ dữ liệu của người khác.</w:t>
      </w:r>
    </w:p>
    <w:p>
      <w:pPr>
        <w:pStyle w:val="Heading1"/>
        <w:pageBreakBefore/>
      </w:pPr>
      <w:r>
        <w:t>26. Kiểm thử — Ma trận bắt buộc</w:t>
      </w:r>
    </w:p>
    <w:p>
      <w:pPr>
        <w:pStyle w:val="Meta"/>
      </w:pPr>
      <w:r>
        <w:t>Test tự động ưu tiên tenant, quyền, tiền, quota và tính toàn vẹn dữ liệu.</w:t>
      </w:r>
    </w:p>
    <w:tbl>
      <w:tblPr>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CBD5E1"/>
          <w:left w:val="single" w:sz="4" w:color="CBD5E1"/>
          <w:bottom w:val="single" w:sz="4" w:color="CBD5E1"/>
          <w:right w:val="single" w:sz="4" w:color="CBD5E1"/>
          <w:insideH w:val="single" w:sz="4" w:color="CBD5E1"/>
          <w:insideV w:val="single" w:sz="4" w:color="CBD5E1"/>
        </w:tblBorders>
      </w:tblPr>
      <w:tblGrid>
        <w:gridCol w:w="650"/>
        <w:gridCol w:w="4120"/>
        <w:gridCol w:w="4590"/>
      </w:tblGrid>
      <w:tr>
        <w:trPr>
          <w:cantSplit/>
          <w:tblHeader/>
        </w:trPr>
        <w:tc>
          <w:tcPr>
            <w:tcW w:type="dxa" w:w="650"/>
            <w:shd w:fill="E8EEF5"/>
          </w:tcPr>
          <w:p>
            <w:pPr>
              <w:pStyle w:val="TableText"/>
            </w:pPr>
            <w:r>
              <w:rPr>
                <w:b/>
              </w:rPr>
              <w:t>Mã</w:t>
            </w:r>
          </w:p>
        </w:tc>
        <w:tc>
          <w:tcPr>
            <w:tcW w:type="dxa" w:w="4120"/>
            <w:shd w:fill="E8EEF5"/>
          </w:tcPr>
          <w:p>
            <w:pPr>
              <w:pStyle w:val="TableText"/>
            </w:pPr>
            <w:r>
              <w:rPr>
                <w:b/>
              </w:rPr>
              <w:t>Tình huống</w:t>
            </w:r>
          </w:p>
        </w:tc>
        <w:tc>
          <w:tcPr>
            <w:tcW w:type="dxa" w:w="4590"/>
            <w:shd w:fill="E8EEF5"/>
          </w:tcPr>
          <w:p>
            <w:pPr>
              <w:pStyle w:val="TableText"/>
            </w:pPr>
            <w:r>
              <w:rPr>
                <w:b/>
              </w:rPr>
              <w:t>Kết quả phải đạt</w:t>
            </w:r>
          </w:p>
        </w:tc>
      </w:tr>
      <w:tr>
        <w:trPr>
          <w:cantSplit/>
        </w:trPr>
        <w:tc>
          <w:tcPr>
            <w:tcW w:type="dxa" w:w="650"/>
          </w:tcPr>
          <w:p>
            <w:pPr>
              <w:pStyle w:val="TableText"/>
            </w:pPr>
            <w:r>
              <w:t>T01</w:t>
            </w:r>
          </w:p>
        </w:tc>
        <w:tc>
          <w:tcPr>
            <w:tcW w:type="dxa" w:w="4120"/>
          </w:tcPr>
          <w:p>
            <w:pPr>
              <w:pStyle w:val="TableText"/>
            </w:pPr>
            <w:r>
              <w:t>User A đổi UUID sang Task/file/report B</w:t>
            </w:r>
          </w:p>
        </w:tc>
        <w:tc>
          <w:tcPr>
            <w:tcW w:type="dxa" w:w="4590"/>
          </w:tcPr>
          <w:p>
            <w:pPr>
              <w:pStyle w:val="TableText"/>
            </w:pPr>
            <w:r>
              <w:t>Không đọc/sửa/tải; không lộ metadata hoặc count.</w:t>
            </w:r>
          </w:p>
        </w:tc>
      </w:tr>
      <w:tr>
        <w:trPr>
          <w:cantSplit/>
        </w:trPr>
        <w:tc>
          <w:tcPr>
            <w:tcW w:type="dxa" w:w="650"/>
          </w:tcPr>
          <w:p>
            <w:pPr>
              <w:pStyle w:val="TableText"/>
            </w:pPr>
            <w:r>
              <w:t>T02</w:t>
            </w:r>
          </w:p>
        </w:tc>
        <w:tc>
          <w:tcPr>
            <w:tcW w:type="dxa" w:w="4120"/>
          </w:tcPr>
          <w:p>
            <w:pPr>
              <w:pStyle w:val="TableText"/>
            </w:pPr>
            <w:r>
              <w:t>User thuộc A/B mở hai tab; đổi selector</w:t>
            </w:r>
          </w:p>
        </w:tc>
        <w:tc>
          <w:tcPr>
            <w:tcW w:type="dxa" w:w="4590"/>
          </w:tcPr>
          <w:p>
            <w:pPr>
              <w:pStyle w:val="TableText"/>
            </w:pPr>
            <w:r>
              <w:t>Không trộn API, query cache, realtime hoặc AI context.</w:t>
            </w:r>
          </w:p>
        </w:tc>
      </w:tr>
      <w:tr>
        <w:trPr>
          <w:cantSplit/>
        </w:trPr>
        <w:tc>
          <w:tcPr>
            <w:tcW w:type="dxa" w:w="650"/>
          </w:tcPr>
          <w:p>
            <w:pPr>
              <w:pStyle w:val="TableText"/>
            </w:pPr>
            <w:r>
              <w:t>T03</w:t>
            </w:r>
          </w:p>
        </w:tc>
        <w:tc>
          <w:tcPr>
            <w:tcW w:type="dxa" w:w="4120"/>
          </w:tcPr>
          <w:p>
            <w:pPr>
              <w:pStyle w:val="TableText"/>
            </w:pPr>
            <w:r>
              <w:t>Workspace/Project Viewer gọi API ghi</w:t>
            </w:r>
          </w:p>
        </w:tc>
        <w:tc>
          <w:tcPr>
            <w:tcW w:type="dxa" w:w="4590"/>
          </w:tcPr>
          <w:p>
            <w:pPr>
              <w:pStyle w:val="TableText"/>
            </w:pPr>
            <w:r>
              <w:t>Bị từ chối comment/upload/time log/Kanban/AI confirm.</w:t>
            </w:r>
          </w:p>
        </w:tc>
      </w:tr>
      <w:tr>
        <w:trPr>
          <w:cantSplit/>
        </w:trPr>
        <w:tc>
          <w:tcPr>
            <w:tcW w:type="dxa" w:w="650"/>
          </w:tcPr>
          <w:p>
            <w:pPr>
              <w:pStyle w:val="TableText"/>
            </w:pPr>
            <w:r>
              <w:t>T04</w:t>
            </w:r>
          </w:p>
        </w:tc>
        <w:tc>
          <w:tcPr>
            <w:tcW w:type="dxa" w:w="4120"/>
          </w:tcPr>
          <w:p>
            <w:pPr>
              <w:pStyle w:val="TableText"/>
            </w:pPr>
            <w:r>
              <w:t>Token verify/reset/invite hết hạn hoặc replay</w:t>
            </w:r>
          </w:p>
        </w:tc>
        <w:tc>
          <w:tcPr>
            <w:tcW w:type="dxa" w:w="4590"/>
          </w:tcPr>
          <w:p>
            <w:pPr>
              <w:pStyle w:val="TableText"/>
            </w:pPr>
            <w:r>
              <w:t>Không cấp lại quyền, đổi mật khẩu hoặc tạo member trùng.</w:t>
            </w:r>
          </w:p>
        </w:tc>
      </w:tr>
      <w:tr>
        <w:trPr>
          <w:cantSplit/>
        </w:trPr>
        <w:tc>
          <w:tcPr>
            <w:tcW w:type="dxa" w:w="650"/>
          </w:tcPr>
          <w:p>
            <w:pPr>
              <w:pStyle w:val="TableText"/>
            </w:pPr>
            <w:r>
              <w:t>T05</w:t>
            </w:r>
          </w:p>
        </w:tc>
        <w:tc>
          <w:tcPr>
            <w:tcW w:type="dxa" w:w="4120"/>
          </w:tcPr>
          <w:p>
            <w:pPr>
              <w:pStyle w:val="TableText"/>
            </w:pPr>
            <w:r>
              <w:t>Hai accept khi còn một seat</w:t>
            </w:r>
          </w:p>
        </w:tc>
        <w:tc>
          <w:tcPr>
            <w:tcW w:type="dxa" w:w="4590"/>
          </w:tcPr>
          <w:p>
            <w:pPr>
              <w:pStyle w:val="TableText"/>
            </w:pPr>
            <w:r>
              <w:t>Chỉ một thành viên mới ACTIVE; counter khớp DB.</w:t>
            </w:r>
          </w:p>
        </w:tc>
      </w:tr>
      <w:tr>
        <w:trPr>
          <w:cantSplit/>
        </w:trPr>
        <w:tc>
          <w:tcPr>
            <w:tcW w:type="dxa" w:w="650"/>
          </w:tcPr>
          <w:p>
            <w:pPr>
              <w:pStyle w:val="TableText"/>
            </w:pPr>
            <w:r>
              <w:t>T06</w:t>
            </w:r>
          </w:p>
        </w:tc>
        <w:tc>
          <w:tcPr>
            <w:tcW w:type="dxa" w:w="4120"/>
          </w:tcPr>
          <w:p>
            <w:pPr>
              <w:pStyle w:val="TableText"/>
            </w:pPr>
            <w:r>
              <w:t>Import nhiều dòng, một lỗi hoặc quota thiếu</w:t>
            </w:r>
          </w:p>
        </w:tc>
        <w:tc>
          <w:tcPr>
            <w:tcW w:type="dxa" w:w="4590"/>
          </w:tcPr>
          <w:p>
            <w:pPr>
              <w:pStyle w:val="TableText"/>
            </w:pPr>
            <w:r>
              <w:t>0 Task mới; batch lỗi tồn tại, usage không tăng.</w:t>
            </w:r>
          </w:p>
        </w:tc>
      </w:tr>
      <w:tr>
        <w:trPr>
          <w:cantSplit/>
        </w:trPr>
        <w:tc>
          <w:tcPr>
            <w:tcW w:type="dxa" w:w="650"/>
          </w:tcPr>
          <w:p>
            <w:pPr>
              <w:pStyle w:val="TableText"/>
            </w:pPr>
            <w:r>
              <w:t>T07</w:t>
            </w:r>
          </w:p>
        </w:tc>
        <w:tc>
          <w:tcPr>
            <w:tcW w:type="dxa" w:w="4120"/>
          </w:tcPr>
          <w:p>
            <w:pPr>
              <w:pStyle w:val="TableText"/>
            </w:pPr>
            <w:r>
              <w:t>Webhook trùng, sai thứ tự, hai eventId cùng payment</w:t>
            </w:r>
          </w:p>
        </w:tc>
        <w:tc>
          <w:tcPr>
            <w:tcW w:type="dxa" w:w="4590"/>
          </w:tcPr>
          <w:p>
            <w:pPr>
              <w:pStyle w:val="TableText"/>
            </w:pPr>
            <w:r>
              <w:t>Một payment/kỳ được áp dụng đúng một lần.</w:t>
            </w:r>
          </w:p>
        </w:tc>
      </w:tr>
      <w:tr>
        <w:trPr>
          <w:cantSplit/>
        </w:trPr>
        <w:tc>
          <w:tcPr>
            <w:tcW w:type="dxa" w:w="650"/>
          </w:tcPr>
          <w:p>
            <w:pPr>
              <w:pStyle w:val="TableText"/>
            </w:pPr>
            <w:r>
              <w:t>T08</w:t>
            </w:r>
          </w:p>
        </w:tc>
        <w:tc>
          <w:tcPr>
            <w:tcW w:type="dxa" w:w="4120"/>
          </w:tcPr>
          <w:p>
            <w:pPr>
              <w:pStyle w:val="TableText"/>
            </w:pPr>
            <w:r>
              <w:t>Webhook sai signature/amount/currency/account</w:t>
            </w:r>
          </w:p>
        </w:tc>
        <w:tc>
          <w:tcPr>
            <w:tcW w:type="dxa" w:w="4590"/>
          </w:tcPr>
          <w:p>
            <w:pPr>
              <w:pStyle w:val="TableText"/>
            </w:pPr>
            <w:r>
              <w:t>Không kích hoạt gói; có log lỗi đã lọc/đối soát.</w:t>
            </w:r>
          </w:p>
        </w:tc>
      </w:tr>
      <w:tr>
        <w:trPr>
          <w:cantSplit/>
        </w:trPr>
        <w:tc>
          <w:tcPr>
            <w:tcW w:type="dxa" w:w="650"/>
          </w:tcPr>
          <w:p>
            <w:pPr>
              <w:pStyle w:val="TableText"/>
            </w:pPr>
            <w:r>
              <w:t>T09</w:t>
            </w:r>
          </w:p>
        </w:tc>
        <w:tc>
          <w:tcPr>
            <w:tcW w:type="dxa" w:w="4120"/>
          </w:tcPr>
          <w:p>
            <w:pPr>
              <w:pStyle w:val="TableText"/>
            </w:pPr>
            <w:r>
              <w:t>DB/worker chết trước hoặc sau payment commit</w:t>
            </w:r>
          </w:p>
        </w:tc>
        <w:tc>
          <w:tcPr>
            <w:tcW w:type="dxa" w:w="4590"/>
          </w:tcPr>
          <w:p>
            <w:pPr>
              <w:pStyle w:val="TableText"/>
            </w:pPr>
            <w:r>
              <w:t>Retry khôi phục; không cấp thiếu hoặc thừa quyền.</w:t>
            </w:r>
          </w:p>
        </w:tc>
      </w:tr>
      <w:tr>
        <w:trPr>
          <w:cantSplit/>
        </w:trPr>
        <w:tc>
          <w:tcPr>
            <w:tcW w:type="dxa" w:w="650"/>
          </w:tcPr>
          <w:p>
            <w:pPr>
              <w:pStyle w:val="TableText"/>
            </w:pPr>
            <w:r>
              <w:t>T10</w:t>
            </w:r>
          </w:p>
        </w:tc>
        <w:tc>
          <w:tcPr>
            <w:tcW w:type="dxa" w:w="4120"/>
          </w:tcPr>
          <w:p>
            <w:pPr>
              <w:pStyle w:val="TableText"/>
            </w:pPr>
            <w:r>
              <w:t>Cancel renewal/hết trial/grace + scheduler trùng</w:t>
            </w:r>
          </w:p>
        </w:tc>
        <w:tc>
          <w:tcPr>
            <w:tcW w:type="dxa" w:w="4590"/>
          </w:tcPr>
          <w:p>
            <w:pPr>
              <w:pStyle w:val="TableText"/>
            </w:pPr>
            <w:r>
              <w:t>Đúng ngày hiệu lực; giữ dữ liệu; không gửi/cấp hai lần.</w:t>
            </w:r>
          </w:p>
        </w:tc>
      </w:tr>
      <w:tr>
        <w:trPr>
          <w:cantSplit/>
        </w:trPr>
        <w:tc>
          <w:tcPr>
            <w:tcW w:type="dxa" w:w="650"/>
          </w:tcPr>
          <w:p>
            <w:pPr>
              <w:pStyle w:val="TableText"/>
            </w:pPr>
            <w:r>
              <w:t>T11</w:t>
            </w:r>
          </w:p>
        </w:tc>
        <w:tc>
          <w:tcPr>
            <w:tcW w:type="dxa" w:w="4120"/>
          </w:tcPr>
          <w:p>
            <w:pPr>
              <w:pStyle w:val="TableText"/>
            </w:pPr>
            <w:r>
              <w:t>Xóa member sau khi tạo export/AI preview</w:t>
            </w:r>
          </w:p>
        </w:tc>
        <w:tc>
          <w:tcPr>
            <w:tcW w:type="dxa" w:w="4590"/>
          </w:tcPr>
          <w:p>
            <w:pPr>
              <w:pStyle w:val="TableText"/>
            </w:pPr>
            <w:r>
              <w:t>Download/job/confirm kiểm tra lại và từ chối nếu mất quyền.</w:t>
            </w:r>
          </w:p>
        </w:tc>
      </w:tr>
      <w:tr>
        <w:trPr>
          <w:cantSplit/>
        </w:trPr>
        <w:tc>
          <w:tcPr>
            <w:tcW w:type="dxa" w:w="650"/>
          </w:tcPr>
          <w:p>
            <w:pPr>
              <w:pStyle w:val="TableText"/>
            </w:pPr>
            <w:r>
              <w:t>T12</w:t>
            </w:r>
          </w:p>
        </w:tc>
        <w:tc>
          <w:tcPr>
            <w:tcW w:type="dxa" w:w="4120"/>
          </w:tcPr>
          <w:p>
            <w:pPr>
              <w:pStyle w:val="TableText"/>
            </w:pPr>
            <w:r>
              <w:t>Kanban/time log concurrent requests</w:t>
            </w:r>
          </w:p>
        </w:tc>
        <w:tc>
          <w:tcPr>
            <w:tcW w:type="dxa" w:w="4590"/>
          </w:tcPr>
          <w:p>
            <w:pPr>
              <w:pStyle w:val="TableText"/>
            </w:pPr>
            <w:r>
              <w:t>Không ghi đè âm thầm, sai position hay vượt tổng phút.</w:t>
            </w:r>
          </w:p>
        </w:tc>
      </w:tr>
      <w:tr>
        <w:trPr>
          <w:cantSplit/>
        </w:trPr>
        <w:tc>
          <w:tcPr>
            <w:tcW w:type="dxa" w:w="650"/>
          </w:tcPr>
          <w:p>
            <w:pPr>
              <w:pStyle w:val="TableText"/>
            </w:pPr>
            <w:r>
              <w:t>T13</w:t>
            </w:r>
          </w:p>
        </w:tc>
        <w:tc>
          <w:tcPr>
            <w:tcW w:type="dxa" w:w="4120"/>
          </w:tcPr>
          <w:p>
            <w:pPr>
              <w:pStyle w:val="TableText"/>
            </w:pPr>
            <w:r>
              <w:t>Hủy Sprint/chuyển Task nhiều Sprint</w:t>
            </w:r>
          </w:p>
        </w:tc>
        <w:tc>
          <w:tcPr>
            <w:tcW w:type="dxa" w:w="4590"/>
          </w:tcPr>
          <w:p>
            <w:pPr>
              <w:pStyle w:val="TableText"/>
            </w:pPr>
            <w:r>
              <w:t>Comment/time log còn; lịch sử và report đúng scope.</w:t>
            </w:r>
          </w:p>
        </w:tc>
      </w:tr>
      <w:tr>
        <w:trPr>
          <w:cantSplit/>
        </w:trPr>
        <w:tc>
          <w:tcPr>
            <w:tcW w:type="dxa" w:w="650"/>
          </w:tcPr>
          <w:p>
            <w:pPr>
              <w:pStyle w:val="TableText"/>
            </w:pPr>
            <w:r>
              <w:t>T14</w:t>
            </w:r>
          </w:p>
        </w:tc>
        <w:tc>
          <w:tcPr>
            <w:tcW w:type="dxa" w:w="4120"/>
          </w:tcPr>
          <w:p>
            <w:pPr>
              <w:pStyle w:val="TableText"/>
            </w:pPr>
            <w:r>
              <w:t>Restore DB + file và chạy smoke</w:t>
            </w:r>
          </w:p>
        </w:tc>
        <w:tc>
          <w:tcPr>
            <w:tcW w:type="dxa" w:w="4590"/>
          </w:tcPr>
          <w:p>
            <w:pPr>
              <w:pStyle w:val="TableText"/>
            </w:pPr>
            <w:r>
              <w:t>Khôi phục trong RTO đề xuất, row/file counts khớp.</w:t>
            </w:r>
          </w:p>
        </w:tc>
      </w:tr>
    </w:tbl>
    <w:p>
      <w:pPr>
        <w:pStyle w:val="Heading2"/>
      </w:pPr>
      <w:r>
        <w:t>Môi trường và bằng chứng</w:t>
      </w:r>
    </w:p>
    <w:p>
      <w:r>
        <w:t>Unit test cho policy/state transition/validator; integration với PostgreSQL thực hoặc Testcontainers cho constraint/transaction/concurrency; E2E FE cho onboarding/billing. Dùng payment sandbox và stub lỗi network; log test report, commit, seed và kết quả kỳ vọng. Không dùng H2 để kết luận các ràng buộc PostgreSQL đã đúng.</w:t>
      </w:r>
    </w:p>
    <w:p>
      <w:pPr>
        <w:pStyle w:val="Heading1"/>
        <w:pageBreakBefore/>
      </w:pPr>
      <w:r>
        <w:t>27. Nghiệm thu hiệu năng và chất lượng</w:t>
      </w:r>
    </w:p>
    <w:p>
      <w:pPr>
        <w:pStyle w:val="Meta"/>
      </w:pPr>
      <w:r>
        <w:t>Chỉ tiêu bên dưới là mục tiêu pilot, phải đo trên cấu hình và dataset được ghi rõ.</w:t>
      </w:r>
    </w:p>
    <w:p>
      <w:pPr>
        <w:pStyle w:val="Heading2"/>
      </w:pPr>
      <w:r>
        <w:t>Mục tiêu đo đề xuất</w:t>
      </w:r>
    </w:p>
    <w:tbl>
      <w:tblPr>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CBD5E1"/>
          <w:left w:val="single" w:sz="4" w:color="CBD5E1"/>
          <w:bottom w:val="single" w:sz="4" w:color="CBD5E1"/>
          <w:right w:val="single" w:sz="4" w:color="CBD5E1"/>
          <w:insideH w:val="single" w:sz="4" w:color="CBD5E1"/>
          <w:insideV w:val="single" w:sz="4" w:color="CBD5E1"/>
        </w:tblBorders>
      </w:tblPr>
      <w:tblGrid>
        <w:gridCol w:w="2510"/>
        <w:gridCol w:w="2830"/>
        <w:gridCol w:w="4020"/>
      </w:tblGrid>
      <w:tr>
        <w:trPr>
          <w:cantSplit/>
          <w:tblHeader/>
        </w:trPr>
        <w:tc>
          <w:tcPr>
            <w:tcW w:type="dxa" w:w="2510"/>
            <w:shd w:fill="E8EEF5"/>
          </w:tcPr>
          <w:p>
            <w:pPr>
              <w:pStyle w:val="TableText"/>
            </w:pPr>
            <w:r>
              <w:rPr>
                <w:b/>
              </w:rPr>
              <w:t>Chỉ số</w:t>
            </w:r>
          </w:p>
        </w:tc>
        <w:tc>
          <w:tcPr>
            <w:tcW w:type="dxa" w:w="2830"/>
            <w:shd w:fill="E8EEF5"/>
          </w:tcPr>
          <w:p>
            <w:pPr>
              <w:pStyle w:val="TableText"/>
            </w:pPr>
            <w:r>
              <w:rPr>
                <w:b/>
              </w:rPr>
              <w:t>Mục tiêu pilot</w:t>
            </w:r>
          </w:p>
        </w:tc>
        <w:tc>
          <w:tcPr>
            <w:tcW w:type="dxa" w:w="4020"/>
            <w:shd w:fill="E8EEF5"/>
          </w:tcPr>
          <w:p>
            <w:pPr>
              <w:pStyle w:val="TableText"/>
            </w:pPr>
            <w:r>
              <w:rPr>
                <w:b/>
              </w:rPr>
              <w:t>Cách xác nhận</w:t>
            </w:r>
          </w:p>
        </w:tc>
      </w:tr>
      <w:tr>
        <w:trPr>
          <w:cantSplit/>
        </w:trPr>
        <w:tc>
          <w:tcPr>
            <w:tcW w:type="dxa" w:w="2510"/>
          </w:tcPr>
          <w:p>
            <w:pPr>
              <w:pStyle w:val="TableText"/>
            </w:pPr>
            <w:r>
              <w:t>API đọc thông thường</w:t>
            </w:r>
          </w:p>
        </w:tc>
        <w:tc>
          <w:tcPr>
            <w:tcW w:type="dxa" w:w="2830"/>
          </w:tcPr>
          <w:p>
            <w:pPr>
              <w:pStyle w:val="TableText"/>
            </w:pPr>
            <w:r>
              <w:t>p95 ≤ 800 ms</w:t>
            </w:r>
          </w:p>
        </w:tc>
        <w:tc>
          <w:tcPr>
            <w:tcW w:type="dxa" w:w="4020"/>
          </w:tcPr>
          <w:p>
            <w:pPr>
              <w:pStyle w:val="TableText"/>
            </w:pPr>
            <w:r>
              <w:t>50 user đồng thời, 10 workspace, 100.000 Task tổng; loại AI/export.</w:t>
            </w:r>
          </w:p>
        </w:tc>
      </w:tr>
      <w:tr>
        <w:trPr>
          <w:cantSplit/>
        </w:trPr>
        <w:tc>
          <w:tcPr>
            <w:tcW w:type="dxa" w:w="2510"/>
          </w:tcPr>
          <w:p>
            <w:pPr>
              <w:pStyle w:val="TableText"/>
            </w:pPr>
            <w:r>
              <w:t>API ghi thông thường</w:t>
            </w:r>
          </w:p>
        </w:tc>
        <w:tc>
          <w:tcPr>
            <w:tcW w:type="dxa" w:w="2830"/>
          </w:tcPr>
          <w:p>
            <w:pPr>
              <w:pStyle w:val="TableText"/>
            </w:pPr>
            <w:r>
              <w:t>p95 ≤ 1.200 ms</w:t>
            </w:r>
          </w:p>
        </w:tc>
        <w:tc>
          <w:tcPr>
            <w:tcW w:type="dxa" w:w="4020"/>
          </w:tcPr>
          <w:p>
            <w:pPr>
              <w:pStyle w:val="TableText"/>
            </w:pPr>
            <w:r>
              <w:t>Cùng dataset, có role/tenant/quota; không tính thời gian provider.</w:t>
            </w:r>
          </w:p>
        </w:tc>
      </w:tr>
      <w:tr>
        <w:trPr>
          <w:cantSplit/>
        </w:trPr>
        <w:tc>
          <w:tcPr>
            <w:tcW w:type="dxa" w:w="2510"/>
          </w:tcPr>
          <w:p>
            <w:pPr>
              <w:pStyle w:val="TableText"/>
            </w:pPr>
            <w:r>
              <w:t>HTTP 5xx</w:t>
            </w:r>
          </w:p>
        </w:tc>
        <w:tc>
          <w:tcPr>
            <w:tcW w:type="dxa" w:w="2830"/>
          </w:tcPr>
          <w:p>
            <w:pPr>
              <w:pStyle w:val="TableText"/>
            </w:pPr>
            <w:r>
              <w:t>&lt; 1% trong bài tải 30 phút</w:t>
            </w:r>
          </w:p>
        </w:tc>
        <w:tc>
          <w:tcPr>
            <w:tcW w:type="dxa" w:w="4020"/>
          </w:tcPr>
          <w:p>
            <w:pPr>
              <w:pStyle w:val="TableText"/>
            </w:pPr>
            <w:r>
              <w:t>Tách lỗi validation/429 chủ đích; ghi số request và config.</w:t>
            </w:r>
          </w:p>
        </w:tc>
      </w:tr>
      <w:tr>
        <w:trPr>
          <w:cantSplit/>
        </w:trPr>
        <w:tc>
          <w:tcPr>
            <w:tcW w:type="dxa" w:w="2510"/>
          </w:tcPr>
          <w:p>
            <w:pPr>
              <w:pStyle w:val="TableText"/>
            </w:pPr>
            <w:r>
              <w:t>Webhook ingestion</w:t>
            </w:r>
          </w:p>
        </w:tc>
        <w:tc>
          <w:tcPr>
            <w:tcW w:type="dxa" w:w="2830"/>
          </w:tcPr>
          <w:p>
            <w:pPr>
              <w:pStyle w:val="TableText"/>
            </w:pPr>
            <w:r>
              <w:t>p95 ≤ 1 giây</w:t>
            </w:r>
          </w:p>
        </w:tc>
        <w:tc>
          <w:tcPr>
            <w:tcW w:type="dxa" w:w="4020"/>
          </w:tcPr>
          <w:p>
            <w:pPr>
              <w:pStyle w:val="TableText"/>
            </w:pPr>
            <w:r>
              <w:t>Xác minh + lưu event bền vững; worker xử lý riêng.</w:t>
            </w:r>
          </w:p>
        </w:tc>
      </w:tr>
      <w:tr>
        <w:trPr>
          <w:cantSplit/>
        </w:trPr>
        <w:tc>
          <w:tcPr>
            <w:tcW w:type="dxa" w:w="2510"/>
          </w:tcPr>
          <w:p>
            <w:pPr>
              <w:pStyle w:val="TableText"/>
            </w:pPr>
            <w:r>
              <w:t>Khôi phục</w:t>
            </w:r>
          </w:p>
        </w:tc>
        <w:tc>
          <w:tcPr>
            <w:tcW w:type="dxa" w:w="2830"/>
          </w:tcPr>
          <w:p>
            <w:pPr>
              <w:pStyle w:val="TableText"/>
            </w:pPr>
            <w:r>
              <w:t>RPO ≤ 24h; RTO ≤ 4h</w:t>
            </w:r>
          </w:p>
        </w:tc>
        <w:tc>
          <w:tcPr>
            <w:tcW w:type="dxa" w:w="4020"/>
          </w:tcPr>
          <w:p>
            <w:pPr>
              <w:pStyle w:val="TableText"/>
            </w:pPr>
            <w:r>
              <w:t>Restore rehearsal DB/file; chưa đo đạt thì chưa cam kết.</w:t>
            </w:r>
          </w:p>
        </w:tc>
      </w:tr>
      <w:tr>
        <w:trPr>
          <w:cantSplit/>
        </w:trPr>
        <w:tc>
          <w:tcPr>
            <w:tcW w:type="dxa" w:w="2510"/>
          </w:tcPr>
          <w:p>
            <w:pPr>
              <w:pStyle w:val="TableText"/>
            </w:pPr>
            <w:r>
              <w:t>Worker backlog</w:t>
            </w:r>
          </w:p>
        </w:tc>
        <w:tc>
          <w:tcPr>
            <w:tcW w:type="dxa" w:w="2830"/>
          </w:tcPr>
          <w:p>
            <w:pPr>
              <w:pStyle w:val="TableText"/>
            </w:pPr>
            <w:r>
              <w:t>Có alert khi quá ngưỡng cấu hình</w:t>
            </w:r>
          </w:p>
        </w:tc>
        <w:tc>
          <w:tcPr>
            <w:tcW w:type="dxa" w:w="4020"/>
          </w:tcPr>
          <w:p>
            <w:pPr>
              <w:pStyle w:val="TableText"/>
            </w:pPr>
            <w:r>
              <w:t>Đề xuất oldest event &gt; 5 phút cho billing/email; thử gây lỗi.</w:t>
            </w:r>
          </w:p>
        </w:tc>
      </w:tr>
    </w:tbl>
    <w:p>
      <w:pPr>
        <w:pStyle w:val="Heading2"/>
      </w:pPr>
      <w:r>
        <w:t>Không đánh đổi tính đúng để đạt tốc độ</w:t>
      </w:r>
    </w:p>
    <w:p>
      <w:pPr>
        <w:pStyle w:val="PlanBullet"/>
        <w:numPr>
          <w:ilvl w:val="0"/>
          <w:numId w:val="80"/>
        </w:numPr>
      </w:pPr>
      <w:r>
        <w:t>Không bỏ tenant/permission check vì query chậm. Đo SQL và index; ưu tiên projection/batch fetch để sửa N+1 có bằng chứng.</w:t>
      </w:r>
    </w:p>
    <w:p>
      <w:pPr>
        <w:pStyle w:val="PlanBullet"/>
        <w:numPr>
          <w:ilvl w:val="0"/>
          <w:numId w:val="80"/>
        </w:numPr>
      </w:pPr>
      <w:r>
        <w:t>Load test gồm workspace lớn/nhỏ và một workspace gửi nhiều request; rate limit theo tenant để tránh một nhóm chiếm toàn tài nguyên.</w:t>
      </w:r>
    </w:p>
    <w:p>
      <w:pPr>
        <w:pStyle w:val="PlanBullet"/>
        <w:numPr>
          <w:ilvl w:val="0"/>
          <w:numId w:val="80"/>
        </w:numPr>
      </w:pPr>
      <w:r>
        <w:t>Kiểm tra query paginate/filter/search có index phù hợp; export lớn chạy job và giới hạn kích thước; AI có timeout và concurrency riêng.</w:t>
      </w:r>
    </w:p>
    <w:p>
      <w:pPr>
        <w:pStyle w:val="PlanBullet"/>
        <w:numPr>
          <w:ilvl w:val="0"/>
          <w:numId w:val="80"/>
        </w:numPr>
      </w:pPr>
      <w:r>
        <w:t>FE dùng loading skeleton/empty/error nhất quán, keyboard/focus cho form/dialog; không mất dữ liệu nhập khi request lỗi có thể phục hồi.</w:t>
      </w:r>
    </w:p>
    <w:p>
      <w:pPr>
        <w:pStyle w:val="Heading2"/>
      </w:pPr>
      <w:r>
        <w:t>Release gate</w:t>
      </w:r>
    </w:p>
    <w:p>
      <w:r>
        <w:t>Toàn bộ test tenant/payment/quota/migration bắt buộc đạt; không có lỗi P0/P1 chưa xử lý. P2 chỉ được để lại khi có người chịu trách nhiệm, workaround và không ảnh hưởng tenant/tiền/dữ liệu. Báo cáo nghiệm thu phải ghi commit, môi trường, người kiểm tra và giới hạn còn lại.</w:t>
      </w:r>
    </w:p>
    <w:p>
      <w:pPr>
        <w:pStyle w:val="Heading1"/>
        <w:pageBreakBefore/>
      </w:pPr>
      <w:r>
        <w:t>28. Roadmap thực hiện và người phụ trách</w:t>
      </w:r>
    </w:p>
    <w:p>
      <w:pPr>
        <w:pStyle w:val="Meta"/>
      </w:pPr>
      <w:r>
        <w:t>Ước lượng ban đầu: 2 developer có kinh nghiệm FE/BE, QA bán thời gian; điều chỉnh sau S0.</w:t>
      </w:r>
    </w:p>
    <w:tbl>
      <w:tblPr>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CBD5E1"/>
          <w:left w:val="single" w:sz="4" w:color="CBD5E1"/>
          <w:bottom w:val="single" w:sz="4" w:color="CBD5E1"/>
          <w:right w:val="single" w:sz="4" w:color="CBD5E1"/>
          <w:insideH w:val="single" w:sz="4" w:color="CBD5E1"/>
          <w:insideV w:val="single" w:sz="4" w:color="CBD5E1"/>
        </w:tblBorders>
      </w:tblPr>
      <w:tblGrid>
        <w:gridCol w:w="3300"/>
        <w:gridCol w:w="1400"/>
        <w:gridCol w:w="4660"/>
      </w:tblGrid>
      <w:tr>
        <w:trPr>
          <w:cantSplit/>
          <w:tblHeader/>
        </w:trPr>
        <w:tc>
          <w:tcPr>
            <w:tcW w:type="dxa" w:w="3300"/>
            <w:shd w:fill="E8EEF5"/>
          </w:tcPr>
          <w:p>
            <w:pPr>
              <w:pStyle w:val="TableText"/>
            </w:pPr>
            <w:r>
              <w:rPr>
                <w:b/>
              </w:rPr>
              <w:t>Giai đoạn</w:t>
            </w:r>
          </w:p>
        </w:tc>
        <w:tc>
          <w:tcPr>
            <w:tcW w:type="dxa" w:w="1400"/>
            <w:shd w:fill="E8EEF5"/>
          </w:tcPr>
          <w:p>
            <w:pPr>
              <w:pStyle w:val="TableText"/>
            </w:pPr>
            <w:r>
              <w:rPr>
                <w:b/>
              </w:rPr>
              <w:t>Khung tuần*</w:t>
            </w:r>
          </w:p>
        </w:tc>
        <w:tc>
          <w:tcPr>
            <w:tcW w:type="dxa" w:w="4660"/>
            <w:shd w:fill="E8EEF5"/>
          </w:tcPr>
          <w:p>
            <w:pPr>
              <w:pStyle w:val="TableText"/>
            </w:pPr>
            <w:r>
              <w:rPr>
                <w:b/>
              </w:rPr>
              <w:t>Đầu ra/cổng qua</w:t>
            </w:r>
          </w:p>
        </w:tc>
      </w:tr>
      <w:tr>
        <w:trPr>
          <w:cantSplit/>
        </w:trPr>
        <w:tc>
          <w:tcPr>
            <w:tcW w:type="dxa" w:w="3300"/>
          </w:tcPr>
          <w:p>
            <w:pPr>
              <w:pStyle w:val="TableText"/>
            </w:pPr>
            <w:r>
              <w:t>S0 — Baseline</w:t>
            </w:r>
          </w:p>
        </w:tc>
        <w:tc>
          <w:tcPr>
            <w:tcW w:type="dxa" w:w="1400"/>
          </w:tcPr>
          <w:p>
            <w:pPr>
              <w:pStyle w:val="TableText"/>
            </w:pPr>
            <w:r>
              <w:t>W1</w:t>
            </w:r>
          </w:p>
        </w:tc>
        <w:tc>
          <w:tcPr>
            <w:tcW w:type="dxa" w:w="4660"/>
          </w:tcPr>
          <w:p>
            <w:pPr>
              <w:pStyle w:val="TableText"/>
            </w:pPr>
            <w:r>
              <w:t>Build, inventory, restore, smoke V1; chốt phạm vi thực có.</w:t>
            </w:r>
          </w:p>
        </w:tc>
      </w:tr>
      <w:tr>
        <w:trPr>
          <w:cantSplit/>
        </w:trPr>
        <w:tc>
          <w:tcPr>
            <w:tcW w:type="dxa" w:w="3300"/>
          </w:tcPr>
          <w:p>
            <w:pPr>
              <w:pStyle w:val="TableText"/>
            </w:pPr>
            <w:r>
              <w:t>S1 — Tenant</w:t>
            </w:r>
          </w:p>
        </w:tc>
        <w:tc>
          <w:tcPr>
            <w:tcW w:type="dxa" w:w="1400"/>
          </w:tcPr>
          <w:p>
            <w:pPr>
              <w:pStyle w:val="TableText"/>
            </w:pPr>
            <w:r>
              <w:t>W2–W4</w:t>
            </w:r>
          </w:p>
        </w:tc>
        <w:tc>
          <w:tcPr>
            <w:tcW w:type="dxa" w:w="4660"/>
          </w:tcPr>
          <w:p>
            <w:pPr>
              <w:pStyle w:val="TableText"/>
            </w:pPr>
            <w:r>
              <w:t>Migration rehearsal, workspace/member/role; mọi module bật đều tenant-safe.</w:t>
            </w:r>
          </w:p>
        </w:tc>
      </w:tr>
      <w:tr>
        <w:trPr>
          <w:cantSplit/>
        </w:trPr>
        <w:tc>
          <w:tcPr>
            <w:tcW w:type="dxa" w:w="3300"/>
          </w:tcPr>
          <w:p>
            <w:pPr>
              <w:pStyle w:val="TableText"/>
            </w:pPr>
            <w:r>
              <w:t>S2 — Auth public</w:t>
            </w:r>
          </w:p>
        </w:tc>
        <w:tc>
          <w:tcPr>
            <w:tcW w:type="dxa" w:w="1400"/>
          </w:tcPr>
          <w:p>
            <w:pPr>
              <w:pStyle w:val="TableText"/>
            </w:pPr>
            <w:r>
              <w:t>W5–W6</w:t>
            </w:r>
          </w:p>
        </w:tc>
        <w:tc>
          <w:tcPr>
            <w:tcW w:type="dxa" w:w="4660"/>
          </w:tcPr>
          <w:p>
            <w:pPr>
              <w:pStyle w:val="TableText"/>
            </w:pPr>
            <w:r>
              <w:t>Register/verify/reset/invite qua email; onboarding E2E.</w:t>
            </w:r>
          </w:p>
        </w:tc>
      </w:tr>
      <w:tr>
        <w:trPr>
          <w:cantSplit/>
        </w:trPr>
        <w:tc>
          <w:tcPr>
            <w:tcW w:type="dxa" w:w="3300"/>
          </w:tcPr>
          <w:p>
            <w:pPr>
              <w:pStyle w:val="TableText"/>
            </w:pPr>
            <w:r>
              <w:t>S3 — Plan/usage</w:t>
            </w:r>
          </w:p>
        </w:tc>
        <w:tc>
          <w:tcPr>
            <w:tcW w:type="dxa" w:w="1400"/>
          </w:tcPr>
          <w:p>
            <w:pPr>
              <w:pStyle w:val="TableText"/>
            </w:pPr>
            <w:r>
              <w:t>W7–W8</w:t>
            </w:r>
          </w:p>
        </w:tc>
        <w:tc>
          <w:tcPr>
            <w:tcW w:type="dxa" w:w="4660"/>
          </w:tcPr>
          <w:p>
            <w:pPr>
              <w:pStyle w:val="TableText"/>
            </w:pPr>
            <w:r>
              <w:t>Free/Pro/trial, quota nguyên tử, feature gating và usage UI.</w:t>
            </w:r>
          </w:p>
        </w:tc>
      </w:tr>
      <w:tr>
        <w:trPr>
          <w:cantSplit/>
        </w:trPr>
        <w:tc>
          <w:tcPr>
            <w:tcW w:type="dxa" w:w="3300"/>
          </w:tcPr>
          <w:p>
            <w:pPr>
              <w:pStyle w:val="TableText"/>
            </w:pPr>
            <w:r>
              <w:t>S4 — Billing</w:t>
            </w:r>
          </w:p>
        </w:tc>
        <w:tc>
          <w:tcPr>
            <w:tcW w:type="dxa" w:w="1400"/>
          </w:tcPr>
          <w:p>
            <w:pPr>
              <w:pStyle w:val="TableText"/>
            </w:pPr>
            <w:r>
              <w:t>W9–W11</w:t>
            </w:r>
          </w:p>
        </w:tc>
        <w:tc>
          <w:tcPr>
            <w:tcW w:type="dxa" w:w="4660"/>
          </w:tcPr>
          <w:p>
            <w:pPr>
              <w:pStyle w:val="TableText"/>
            </w:pPr>
            <w:r>
              <w:t>Sandbox payment, webhook/reconcile, vòng đời gói và billing UI.</w:t>
            </w:r>
          </w:p>
        </w:tc>
      </w:tr>
      <w:tr>
        <w:trPr>
          <w:cantSplit/>
        </w:trPr>
        <w:tc>
          <w:tcPr>
            <w:tcW w:type="dxa" w:w="3300"/>
          </w:tcPr>
          <w:p>
            <w:pPr>
              <w:pStyle w:val="TableText"/>
            </w:pPr>
            <w:r>
              <w:t>S5 — Platform Admin</w:t>
            </w:r>
          </w:p>
        </w:tc>
        <w:tc>
          <w:tcPr>
            <w:tcW w:type="dxa" w:w="1400"/>
          </w:tcPr>
          <w:p>
            <w:pPr>
              <w:pStyle w:val="TableText"/>
            </w:pPr>
            <w:r>
              <w:t>W12</w:t>
            </w:r>
          </w:p>
        </w:tc>
        <w:tc>
          <w:tcPr>
            <w:tcW w:type="dxa" w:w="4660"/>
          </w:tcPr>
          <w:p>
            <w:pPr>
              <w:pStyle w:val="TableText"/>
            </w:pPr>
            <w:r>
              <w:t>Support metadata, suspend, audit, hàng lỗi và replay.</w:t>
            </w:r>
          </w:p>
        </w:tc>
      </w:tr>
      <w:tr>
        <w:trPr>
          <w:cantSplit/>
        </w:trPr>
        <w:tc>
          <w:tcPr>
            <w:tcW w:type="dxa" w:w="3300"/>
          </w:tcPr>
          <w:p>
            <w:pPr>
              <w:pStyle w:val="TableText"/>
            </w:pPr>
            <w:r>
              <w:t>S6 — Product completion</w:t>
            </w:r>
          </w:p>
        </w:tc>
        <w:tc>
          <w:tcPr>
            <w:tcW w:type="dxa" w:w="1400"/>
          </w:tcPr>
          <w:p>
            <w:pPr>
              <w:pStyle w:val="TableText"/>
            </w:pPr>
            <w:r>
              <w:t>W13–W14</w:t>
            </w:r>
          </w:p>
        </w:tc>
        <w:tc>
          <w:tcPr>
            <w:tcW w:type="dxa" w:w="4660"/>
          </w:tcPr>
          <w:p>
            <w:pPr>
              <w:pStyle w:val="TableText"/>
            </w:pPr>
            <w:r>
              <w:t>Regression module V1, report/history và AI confirm.</w:t>
            </w:r>
          </w:p>
        </w:tc>
      </w:tr>
      <w:tr>
        <w:trPr>
          <w:cantSplit/>
        </w:trPr>
        <w:tc>
          <w:tcPr>
            <w:tcW w:type="dxa" w:w="3300"/>
          </w:tcPr>
          <w:p>
            <w:pPr>
              <w:pStyle w:val="TableText"/>
            </w:pPr>
            <w:r>
              <w:t>S7 — Pilot/release</w:t>
            </w:r>
          </w:p>
        </w:tc>
        <w:tc>
          <w:tcPr>
            <w:tcW w:type="dxa" w:w="1400"/>
          </w:tcPr>
          <w:p>
            <w:pPr>
              <w:pStyle w:val="TableText"/>
            </w:pPr>
            <w:r>
              <w:t>W15–W16</w:t>
            </w:r>
          </w:p>
        </w:tc>
        <w:tc>
          <w:tcPr>
            <w:tcW w:type="dxa" w:w="4660"/>
          </w:tcPr>
          <w:p>
            <w:pPr>
              <w:pStyle w:val="TableText"/>
            </w:pPr>
            <w:r>
              <w:t>Security/load/restore gates, pilot, release và theo dõi.</w:t>
            </w:r>
          </w:p>
        </w:tc>
      </w:tr>
      <w:tr>
        <w:trPr>
          <w:cantSplit/>
        </w:trPr>
        <w:tc>
          <w:tcPr>
            <w:tcW w:type="dxa" w:w="3300"/>
          </w:tcPr>
          <w:p>
            <w:pPr>
              <w:pStyle w:val="TableText"/>
            </w:pPr>
            <w:r>
              <w:t>Dự phòng</w:t>
            </w:r>
          </w:p>
        </w:tc>
        <w:tc>
          <w:tcPr>
            <w:tcW w:type="dxa" w:w="1400"/>
          </w:tcPr>
          <w:p>
            <w:pPr>
              <w:pStyle w:val="TableText"/>
            </w:pPr>
            <w:r>
              <w:t>W17–W19 nếu cần</w:t>
            </w:r>
          </w:p>
        </w:tc>
        <w:tc>
          <w:tcPr>
            <w:tcW w:type="dxa" w:w="4660"/>
          </w:tcPr>
          <w:p>
            <w:pPr>
              <w:pStyle w:val="TableText"/>
            </w:pPr>
            <w:r>
              <w:t>Tích hợp provider, migration phức tạp và sửa lỗi pilot.</w:t>
            </w:r>
          </w:p>
        </w:tc>
      </w:tr>
    </w:tbl>
    <w:p>
      <w:pPr>
        <w:pStyle w:val="Meta"/>
      </w:pPr>
      <w:r>
        <w:t>* Đây là ước lượng lịch, không phải tiến độ đã cam kết. Nếu bắt đầu 07/09/2026, W16 kết thúc 27/12/2026; dự phòng có thể sang tháng 01/2027. Nếu chỉ một người hoặc baseline thiếu nhiều, phải lập lại lịch sau S0.</w:t>
        <w:br/>
        <w:t>📌 Phân định phạm vi thực hiện:</w:t>
        <w:br/>
        <w:t>• Phạm vi hoàn thành &amp; bảo vệ Đồ án tốt nghiệp: Nghiệm thu toàn diện hệ thống BICAS V1 (đã vận hành ổn định các module Agile/Scrum, Sprint, Kanban, Bug, Attachment, Report Excel/PDF, AI Meeting Assistant) cùng Cổng kiểm chứng baseline S0 và Nền tảng Multi-tenant S1 (cô lập dữ liệu Workspace).</w:t>
        <w:br/>
        <w:t>• Lộ trình mở rộng thương mại hóa (Commercial SaaS Roadmap): Triển khai tuần tự các phase S2 (Public Auth) → S3 (Plan/Usage) → S4 (Billing/Payment) → S5 (Platform Admin) → S6 (Product Packaging) → S7 (Production &amp; Launch).</w:t>
      </w:r>
    </w:p>
    <w:p>
      <w:pPr>
        <w:pStyle w:val="Heading2"/>
      </w:pPr>
      <w:r>
        <w:t>Phân công theo vai trò</w:t>
      </w:r>
    </w:p>
    <w:p>
      <w:pPr>
        <w:pStyle w:val="PlanBullet"/>
        <w:numPr>
          <w:ilvl w:val="0"/>
          <w:numId w:val="80"/>
        </w:numPr>
      </w:pPr>
      <w:r>
        <w:t>Product owner: chốt D01–D10, giá/quota/chính sách, phạm vi MVP và chấp nhận UAT. Chưa gán tên cụ thể khi chưa có danh sách đội.</w:t>
      </w:r>
    </w:p>
    <w:p>
      <w:pPr>
        <w:pStyle w:val="PlanBullet"/>
        <w:numPr>
          <w:ilvl w:val="0"/>
          <w:numId w:val="80"/>
        </w:numPr>
      </w:pPr>
      <w:r>
        <w:t>Backend lead: schema, migration, auth/tenant/quota/billing và test integration. Frontend lead: onboarding, workspace/billing/admin UI, query context và E2E.</w:t>
      </w:r>
    </w:p>
    <w:p>
      <w:pPr>
        <w:pStyle w:val="PlanBullet"/>
        <w:numPr>
          <w:ilvl w:val="0"/>
          <w:numId w:val="80"/>
        </w:numPr>
      </w:pPr>
      <w:r>
        <w:t>QA: ma trận test, dữ liệu A/B, regression và bằng chứng cổng. Ops: CI/deploy, email/payment secrets, monitoring, backup/restore.</w:t>
      </w:r>
    </w:p>
    <w:p>
      <w:pPr>
        <w:pStyle w:val="PlanBullet"/>
        <w:numPr>
          <w:ilvl w:val="0"/>
          <w:numId w:val="80"/>
        </w:numPr>
      </w:pPr>
      <w:r>
        <w:t>Mỗi tuần cập nhật Done/Doing/Blocked, defect P0/P1, dependency provider và dự báo release. Ticket chưa đạt DoD không tính hoàn thành theo phần trăm cảm tính.</w:t>
      </w:r>
    </w:p>
    <w:p>
      <w:pPr>
        <w:pStyle w:val="Heading1"/>
        <w:pageBreakBefore/>
      </w:pPr>
      <w:r>
        <w:t>29. Backlog mẫu và thứ tự bắt đầu</w:t>
      </w:r>
    </w:p>
    <w:p>
      <w:pPr>
        <w:pStyle w:val="Meta"/>
      </w:pPr>
      <w:r>
        <w:t>Mỗi ticket có mã, phạm vi, dependency, đầu ra và acceptance criteria kiểm chứng được.</w:t>
      </w:r>
    </w:p>
    <w:tbl>
      <w:tblPr>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CBD5E1"/>
          <w:left w:val="single" w:sz="4" w:color="CBD5E1"/>
          <w:bottom w:val="single" w:sz="4" w:color="CBD5E1"/>
          <w:right w:val="single" w:sz="4" w:color="CBD5E1"/>
          <w:insideH w:val="single" w:sz="4" w:color="CBD5E1"/>
          <w:insideV w:val="single" w:sz="4" w:color="CBD5E1"/>
        </w:tblBorders>
      </w:tblPr>
      <w:tblGrid>
        <w:gridCol w:w="1110"/>
        <w:gridCol w:w="6700"/>
        <w:gridCol w:w="1550"/>
      </w:tblGrid>
      <w:tr>
        <w:trPr>
          <w:cantSplit/>
          <w:tblHeader/>
        </w:trPr>
        <w:tc>
          <w:tcPr>
            <w:tcW w:type="dxa" w:w="1110"/>
            <w:shd w:fill="E8EEF5"/>
          </w:tcPr>
          <w:p>
            <w:pPr>
              <w:pStyle w:val="TableText"/>
            </w:pPr>
            <w:r>
              <w:rPr>
                <w:b/>
              </w:rPr>
              <w:t>Ticket</w:t>
            </w:r>
          </w:p>
        </w:tc>
        <w:tc>
          <w:tcPr>
            <w:tcW w:type="dxa" w:w="6700"/>
            <w:shd w:fill="E8EEF5"/>
          </w:tcPr>
          <w:p>
            <w:pPr>
              <w:pStyle w:val="TableText"/>
            </w:pPr>
            <w:r>
              <w:rPr>
                <w:b/>
              </w:rPr>
              <w:t>Việc thực hiện</w:t>
            </w:r>
          </w:p>
        </w:tc>
        <w:tc>
          <w:tcPr>
            <w:tcW w:type="dxa" w:w="1550"/>
            <w:shd w:fill="E8EEF5"/>
          </w:tcPr>
          <w:p>
            <w:pPr>
              <w:pStyle w:val="TableText"/>
            </w:pPr>
            <w:r>
              <w:rPr>
                <w:b/>
              </w:rPr>
              <w:t>Phụ thuộc</w:t>
            </w:r>
          </w:p>
        </w:tc>
      </w:tr>
      <w:tr>
        <w:trPr>
          <w:cantSplit/>
        </w:trPr>
        <w:tc>
          <w:tcPr>
            <w:tcW w:type="dxa" w:w="1110"/>
          </w:tcPr>
          <w:p>
            <w:pPr>
              <w:pStyle w:val="TableText"/>
            </w:pPr>
            <w:r>
              <w:t>V2-001</w:t>
            </w:r>
          </w:p>
        </w:tc>
        <w:tc>
          <w:tcPr>
            <w:tcW w:type="dxa" w:w="6700"/>
          </w:tcPr>
          <w:p>
            <w:pPr>
              <w:pStyle w:val="TableText"/>
            </w:pPr>
            <w:r>
              <w:t>Inventory API/bảng/cache/job/UI và baseline test</w:t>
            </w:r>
          </w:p>
        </w:tc>
        <w:tc>
          <w:tcPr>
            <w:tcW w:type="dxa" w:w="1550"/>
          </w:tcPr>
          <w:p>
            <w:pPr>
              <w:pStyle w:val="TableText"/>
            </w:pPr>
            <w:r>
              <w:t>Không</w:t>
            </w:r>
          </w:p>
        </w:tc>
      </w:tr>
      <w:tr>
        <w:trPr>
          <w:cantSplit/>
        </w:trPr>
        <w:tc>
          <w:tcPr>
            <w:tcW w:type="dxa" w:w="1110"/>
          </w:tcPr>
          <w:p>
            <w:pPr>
              <w:pStyle w:val="TableText"/>
            </w:pPr>
            <w:r>
              <w:t>V2-002</w:t>
            </w:r>
          </w:p>
        </w:tc>
        <w:tc>
          <w:tcPr>
            <w:tcW w:type="dxa" w:w="6700"/>
          </w:tcPr>
          <w:p>
            <w:pPr>
              <w:pStyle w:val="TableText"/>
            </w:pPr>
            <w:r>
              <w:t>Backup + restore staging, ghi số liệu đối soát</w:t>
            </w:r>
          </w:p>
        </w:tc>
        <w:tc>
          <w:tcPr>
            <w:tcW w:type="dxa" w:w="1550"/>
          </w:tcPr>
          <w:p>
            <w:pPr>
              <w:pStyle w:val="TableText"/>
            </w:pPr>
            <w:r>
              <w:t>001</w:t>
            </w:r>
          </w:p>
        </w:tc>
      </w:tr>
      <w:tr>
        <w:trPr>
          <w:cantSplit/>
        </w:trPr>
        <w:tc>
          <w:tcPr>
            <w:tcW w:type="dxa" w:w="1110"/>
          </w:tcPr>
          <w:p>
            <w:pPr>
              <w:pStyle w:val="TableText"/>
            </w:pPr>
            <w:r>
              <w:t>V2-003</w:t>
            </w:r>
          </w:p>
        </w:tc>
        <w:tc>
          <w:tcPr>
            <w:tcW w:type="dxa" w:w="6700"/>
          </w:tcPr>
          <w:p>
            <w:pPr>
              <w:pStyle w:val="TableText"/>
            </w:pPr>
            <w:r>
              <w:t>Workspace/membership schema và owner invariant</w:t>
            </w:r>
          </w:p>
        </w:tc>
        <w:tc>
          <w:tcPr>
            <w:tcW w:type="dxa" w:w="1550"/>
          </w:tcPr>
          <w:p>
            <w:pPr>
              <w:pStyle w:val="TableText"/>
            </w:pPr>
            <w:r>
              <w:t>001</w:t>
            </w:r>
          </w:p>
        </w:tc>
      </w:tr>
      <w:tr>
        <w:trPr>
          <w:cantSplit/>
        </w:trPr>
        <w:tc>
          <w:tcPr>
            <w:tcW w:type="dxa" w:w="1110"/>
          </w:tcPr>
          <w:p>
            <w:pPr>
              <w:pStyle w:val="TableText"/>
            </w:pPr>
            <w:r>
              <w:t>V2-004</w:t>
            </w:r>
          </w:p>
        </w:tc>
        <w:tc>
          <w:tcPr>
            <w:tcW w:type="dxa" w:w="6700"/>
          </w:tcPr>
          <w:p>
            <w:pPr>
              <w:pStyle w:val="TableText"/>
            </w:pPr>
            <w:r>
              <w:t>Tenant access helper + ProjectAccessService</w:t>
            </w:r>
          </w:p>
        </w:tc>
        <w:tc>
          <w:tcPr>
            <w:tcW w:type="dxa" w:w="1550"/>
          </w:tcPr>
          <w:p>
            <w:pPr>
              <w:pStyle w:val="TableText"/>
            </w:pPr>
            <w:r>
              <w:t>003</w:t>
            </w:r>
          </w:p>
        </w:tc>
      </w:tr>
      <w:tr>
        <w:trPr>
          <w:cantSplit/>
        </w:trPr>
        <w:tc>
          <w:tcPr>
            <w:tcW w:type="dxa" w:w="1110"/>
          </w:tcPr>
          <w:p>
            <w:pPr>
              <w:pStyle w:val="TableText"/>
            </w:pPr>
            <w:r>
              <w:t>V2-005</w:t>
            </w:r>
          </w:p>
        </w:tc>
        <w:tc>
          <w:tcPr>
            <w:tcW w:type="dxa" w:w="6700"/>
          </w:tcPr>
          <w:p>
            <w:pPr>
              <w:pStyle w:val="TableText"/>
            </w:pPr>
            <w:r>
              <w:t>Backfill legacy workspace và test A/B</w:t>
            </w:r>
          </w:p>
        </w:tc>
        <w:tc>
          <w:tcPr>
            <w:tcW w:type="dxa" w:w="1550"/>
          </w:tcPr>
          <w:p>
            <w:pPr>
              <w:pStyle w:val="TableText"/>
            </w:pPr>
            <w:r>
              <w:t>002–004</w:t>
            </w:r>
          </w:p>
        </w:tc>
      </w:tr>
      <w:tr>
        <w:trPr>
          <w:cantSplit/>
        </w:trPr>
        <w:tc>
          <w:tcPr>
            <w:tcW w:type="dxa" w:w="1110"/>
          </w:tcPr>
          <w:p>
            <w:pPr>
              <w:pStyle w:val="TableText"/>
            </w:pPr>
            <w:r>
              <w:t>V2-006</w:t>
            </w:r>
          </w:p>
        </w:tc>
        <w:tc>
          <w:tcPr>
            <w:tcW w:type="dxa" w:w="6700"/>
          </w:tcPr>
          <w:p>
            <w:pPr>
              <w:pStyle w:val="TableText"/>
            </w:pPr>
            <w:r>
              <w:t>Workspace selector + query/realtime context FE</w:t>
            </w:r>
          </w:p>
        </w:tc>
        <w:tc>
          <w:tcPr>
            <w:tcW w:type="dxa" w:w="1550"/>
          </w:tcPr>
          <w:p>
            <w:pPr>
              <w:pStyle w:val="TableText"/>
            </w:pPr>
            <w:r>
              <w:t>004</w:t>
            </w:r>
          </w:p>
        </w:tc>
      </w:tr>
      <w:tr>
        <w:trPr>
          <w:cantSplit/>
        </w:trPr>
        <w:tc>
          <w:tcPr>
            <w:tcW w:type="dxa" w:w="1110"/>
          </w:tcPr>
          <w:p>
            <w:pPr>
              <w:pStyle w:val="TableText"/>
            </w:pPr>
            <w:r>
              <w:t>V2-007</w:t>
            </w:r>
          </w:p>
        </w:tc>
        <w:tc>
          <w:tcPr>
            <w:tcW w:type="dxa" w:w="6700"/>
          </w:tcPr>
          <w:p>
            <w:pPr>
              <w:pStyle w:val="TableText"/>
            </w:pPr>
            <w:r>
              <w:t>Invitation/transfer/remove member + concurrency</w:t>
            </w:r>
          </w:p>
        </w:tc>
        <w:tc>
          <w:tcPr>
            <w:tcW w:type="dxa" w:w="1550"/>
          </w:tcPr>
          <w:p>
            <w:pPr>
              <w:pStyle w:val="TableText"/>
            </w:pPr>
            <w:r>
              <w:t>003–005</w:t>
            </w:r>
          </w:p>
        </w:tc>
      </w:tr>
      <w:tr>
        <w:trPr>
          <w:cantSplit/>
        </w:trPr>
        <w:tc>
          <w:tcPr>
            <w:tcW w:type="dxa" w:w="1110"/>
          </w:tcPr>
          <w:p>
            <w:pPr>
              <w:pStyle w:val="TableText"/>
            </w:pPr>
            <w:r>
              <w:t>V2-008</w:t>
            </w:r>
          </w:p>
        </w:tc>
        <w:tc>
          <w:tcPr>
            <w:tcW w:type="dxa" w:w="6700"/>
          </w:tcPr>
          <w:p>
            <w:pPr>
              <w:pStyle w:val="TableText"/>
            </w:pPr>
            <w:r>
              <w:t>Auth public + email outbox + token single-use</w:t>
            </w:r>
          </w:p>
        </w:tc>
        <w:tc>
          <w:tcPr>
            <w:tcW w:type="dxa" w:w="1550"/>
          </w:tcPr>
          <w:p>
            <w:pPr>
              <w:pStyle w:val="TableText"/>
            </w:pPr>
            <w:r>
              <w:t>005</w:t>
            </w:r>
          </w:p>
        </w:tc>
      </w:tr>
      <w:tr>
        <w:trPr>
          <w:cantSplit/>
        </w:trPr>
        <w:tc>
          <w:tcPr>
            <w:tcW w:type="dxa" w:w="1110"/>
          </w:tcPr>
          <w:p>
            <w:pPr>
              <w:pStyle w:val="TableText"/>
            </w:pPr>
            <w:r>
              <w:t>V2-009</w:t>
            </w:r>
          </w:p>
        </w:tc>
        <w:tc>
          <w:tcPr>
            <w:tcW w:type="dxa" w:w="6700"/>
          </w:tcPr>
          <w:p>
            <w:pPr>
              <w:pStyle w:val="TableText"/>
            </w:pPr>
            <w:r>
              <w:t>Plan version/entitlement/usage reservation</w:t>
            </w:r>
          </w:p>
        </w:tc>
        <w:tc>
          <w:tcPr>
            <w:tcW w:type="dxa" w:w="1550"/>
          </w:tcPr>
          <w:p>
            <w:pPr>
              <w:pStyle w:val="TableText"/>
            </w:pPr>
            <w:r>
              <w:t>005</w:t>
            </w:r>
          </w:p>
        </w:tc>
      </w:tr>
      <w:tr>
        <w:trPr>
          <w:cantSplit/>
        </w:trPr>
        <w:tc>
          <w:tcPr>
            <w:tcW w:type="dxa" w:w="1110"/>
          </w:tcPr>
          <w:p>
            <w:pPr>
              <w:pStyle w:val="TableText"/>
            </w:pPr>
            <w:r>
              <w:t>V2-010</w:t>
            </w:r>
          </w:p>
        </w:tc>
        <w:tc>
          <w:tcPr>
            <w:tcW w:type="dxa" w:w="6700"/>
          </w:tcPr>
          <w:p>
            <w:pPr>
              <w:pStyle w:val="TableText"/>
            </w:pPr>
            <w:r>
              <w:t>Trial/over-limit/cancel state machine</w:t>
            </w:r>
          </w:p>
        </w:tc>
        <w:tc>
          <w:tcPr>
            <w:tcW w:type="dxa" w:w="1550"/>
          </w:tcPr>
          <w:p>
            <w:pPr>
              <w:pStyle w:val="TableText"/>
            </w:pPr>
            <w:r>
              <w:t>009</w:t>
            </w:r>
          </w:p>
        </w:tc>
      </w:tr>
      <w:tr>
        <w:trPr>
          <w:cantSplit/>
        </w:trPr>
        <w:tc>
          <w:tcPr>
            <w:tcW w:type="dxa" w:w="1110"/>
          </w:tcPr>
          <w:p>
            <w:pPr>
              <w:pStyle w:val="TableText"/>
            </w:pPr>
            <w:r>
              <w:t>V2-011</w:t>
            </w:r>
          </w:p>
        </w:tc>
        <w:tc>
          <w:tcPr>
            <w:tcW w:type="dxa" w:w="6700"/>
          </w:tcPr>
          <w:p>
            <w:pPr>
              <w:pStyle w:val="TableText"/>
            </w:pPr>
            <w:r>
              <w:t>Checkout/webhook/reconcile + billing UI</w:t>
            </w:r>
          </w:p>
        </w:tc>
        <w:tc>
          <w:tcPr>
            <w:tcW w:type="dxa" w:w="1550"/>
          </w:tcPr>
          <w:p>
            <w:pPr>
              <w:pStyle w:val="TableText"/>
            </w:pPr>
            <w:r>
              <w:t>008–010</w:t>
            </w:r>
          </w:p>
        </w:tc>
      </w:tr>
      <w:tr>
        <w:trPr>
          <w:cantSplit/>
        </w:trPr>
        <w:tc>
          <w:tcPr>
            <w:tcW w:type="dxa" w:w="1110"/>
          </w:tcPr>
          <w:p>
            <w:pPr>
              <w:pStyle w:val="TableText"/>
            </w:pPr>
            <w:r>
              <w:t>V2-012</w:t>
            </w:r>
          </w:p>
        </w:tc>
        <w:tc>
          <w:tcPr>
            <w:tcW w:type="dxa" w:w="6700"/>
          </w:tcPr>
          <w:p>
            <w:pPr>
              <w:pStyle w:val="TableText"/>
            </w:pPr>
            <w:r>
              <w:t>Platform admin/audit/retry + pilot regression</w:t>
            </w:r>
          </w:p>
        </w:tc>
        <w:tc>
          <w:tcPr>
            <w:tcW w:type="dxa" w:w="1550"/>
          </w:tcPr>
          <w:p>
            <w:pPr>
              <w:pStyle w:val="TableText"/>
            </w:pPr>
            <w:r>
              <w:t>011</w:t>
            </w:r>
          </w:p>
        </w:tc>
      </w:tr>
    </w:tbl>
    <w:p>
      <w:pPr>
        <w:pStyle w:val="Heading2"/>
      </w:pPr>
      <w:r>
        <w:t>Ví dụ ticket V2-007: Accept invitation</w:t>
      </w:r>
    </w:p>
    <w:p>
      <w:r>
        <w:t>Mục tiêu: người được mời tham gia đúng workspace mà không vượt số seat. Backend sửa InvitationService/WorkspaceAccessService/UsageReservationService; frontend thêm Accept Invitation với các trạng thái còn hạn, hết hạn, sai email và đủ chỗ.</w:t>
      </w:r>
    </w:p>
    <w:p>
      <w:pPr>
        <w:pStyle w:val="PlanBullet"/>
        <w:numPr>
          <w:ilvl w:val="0"/>
          <w:numId w:val="80"/>
        </w:numPr>
      </w:pPr>
      <w:r>
        <w:t>Given lời mời PENDING còn hạn, user verified đúng email và còn seat; When accept; Then một membership ACTIVE, invitation ACCEPTED, usage tăng 1, có audit/outbox cùng transaction.</w:t>
      </w:r>
    </w:p>
    <w:p>
      <w:pPr>
        <w:pStyle w:val="PlanBullet"/>
        <w:numPr>
          <w:ilvl w:val="0"/>
          <w:numId w:val="80"/>
        </w:numPr>
      </w:pPr>
      <w:r>
        <w:t>Hai request tranh seat cuối: chỉ một được tạo; accept lặp đã thành công trả cùng membership, không tăng usage. Token revoke/hết hạn/sai email không tạo member.</w:t>
      </w:r>
    </w:p>
    <w:p>
      <w:pPr>
        <w:pStyle w:val="PlanBullet"/>
        <w:numPr>
          <w:ilvl w:val="0"/>
          <w:numId w:val="80"/>
        </w:numPr>
      </w:pPr>
      <w:r>
        <w:t>Bằng chứng bàn giao: migration cần thiết, API OpenAPI, test integration với PostgreSQL, E2E FE và ảnh chụp trạng thái lỗi; không có token thô trong log.</w:t>
      </w:r>
    </w:p>
    <w:p>
      <w:pPr>
        <w:pStyle w:val="Heading1"/>
        <w:pageBreakBefore/>
      </w:pPr>
      <w:r>
        <w:t>30. Checklist release, rủi ro và tài liệu</w:t>
      </w:r>
    </w:p>
    <w:p>
      <w:pPr>
        <w:pStyle w:val="Meta"/>
      </w:pPr>
      <w:r>
        <w:t>Dùng làm biên bản nghiệm thu cuối V2.0; đánh dấu bằng kết quả thực tế.</w:t>
      </w:r>
    </w:p>
    <w:p>
      <w:pPr>
        <w:pStyle w:val="Heading2"/>
      </w:pPr>
      <w:r>
        <w:t>Checklist chốt release</w:t>
      </w:r>
    </w:p>
    <w:p>
      <w:pPr>
        <w:pStyle w:val="PlanBullet"/>
        <w:numPr>
          <w:ilvl w:val="0"/>
          <w:numId w:val="80"/>
        </w:numPr>
      </w:pPr>
      <w:r>
        <w:t>S0–S7 có bằng chứng đạt; baseline và API/schema tài liệu được cập nhật cùng commit. Không ghi “đã triển khai” cho phần chỉ mới có thiết kế.</w:t>
      </w:r>
    </w:p>
    <w:p>
      <w:pPr>
        <w:pStyle w:val="PlanBullet"/>
        <w:numPr>
          <w:ilvl w:val="0"/>
          <w:numId w:val="80"/>
        </w:numPr>
      </w:pPr>
      <w:r>
        <w:t>Tenant/role/quota/payment regression đạt; migration + restore chạy thử; secrets đúng môi trường; dashboard, alert và người trực vận hành đã sẵn sàng.</w:t>
      </w:r>
    </w:p>
    <w:p>
      <w:pPr>
        <w:pStyle w:val="PlanBullet"/>
        <w:numPr>
          <w:ilvl w:val="0"/>
          <w:numId w:val="80"/>
        </w:numPr>
      </w:pPr>
      <w:r>
        <w:t>Pilot với 2–3 nhóm được mời và dữ liệu được phép dùng; theo dõi ít nhất một vòng trial/billing mô phỏng và một lần đổi/hủy gói trước mở rộng.</w:t>
      </w:r>
    </w:p>
    <w:p>
      <w:pPr>
        <w:pStyle w:val="PlanBullet"/>
        <w:numPr>
          <w:ilvl w:val="0"/>
          <w:numId w:val="80"/>
        </w:numPr>
      </w:pPr>
      <w:r>
        <w:t>Giá/quota/retention/refund/provider đã chốt; email/link support hoạt động; người dùng thấy rõ ngày hiệu lực, trạng thái thanh toán và tác động khi hạ gói.</w:t>
      </w:r>
    </w:p>
    <w:p>
      <w:pPr>
        <w:pStyle w:val="Heading2"/>
      </w:pPr>
      <w:r>
        <w:t>Rủi ro và cách xử lý</w:t>
      </w:r>
    </w:p>
    <w:p>
      <w:r>
        <w:t>Baseline thiếu so với tài liệu → chốt lại scope tại S0. Tenant lọt ở module phụ → inventory toàn bộ đường đọc/ghi, chặn release nếu test A/B lỗi. Cổng chưa hỗ trợ recurring → công bố gia hạn thủ công. AI tốn chi phí → quota token/ngân sách, không chỉ đếm request. Migration lệch → dừng mở ghi, đối soát và sửa trước cutover. Trễ lịch → lùi Business/integration mới, giữ tenant/payment/restore gate.</w:t>
      </w:r>
    </w:p>
    <w:p>
      <w:pPr>
        <w:pStyle w:val="Heading2"/>
      </w:pPr>
      <w:r>
        <w:t>Nguồn và phạm vi tham khảo</w:t>
      </w:r>
    </w:p>
    <w:p>
      <w:r>
        <w:t>Nguồn nghiệp vụ: “PRODUCT PLAN V2 – Task Management SaaS” người dùng gửi ở lượt chỉnh sửa này; phần baseline đồng bộ ngày 11/08/2026 được ưu tiên hơn tài liệu V1 cũ. Bản sửa hợp nhất nội dung, mở rộng quy tắc thực hiện và đánh dấu các đề xuất cấu hình; không xác nhận mã nguồn đã đáp ứng.</w:t>
      </w:r>
    </w:p>
    <w:p>
      <w:pPr>
        <w:pStyle w:val="Caption"/>
      </w:pPr>
      <w:r>
        <w:t>[R1] AWS — Tenant isolation: tách tenant là trách nhiệm xuyên suốt, khác với chỉ có đăng nhập/phân quyền (Tham chiếu: AWS Whitepaper - SaaS Architecture Fundamentals &amp; Tenant Isolation Strategies).</w:t>
      </w:r>
    </w:p>
    <w:p>
      <w:pPr>
        <w:pStyle w:val="Caption"/>
      </w:pPr>
      <w:r>
        <w:t>[R2] Stripe — Webhooks: tham khảo xác minh chữ ký, sự kiện trùng/sai thứ tự và retry. Đây là tham chiếu thiết kế, không phải quyết định chọn Stripe (Tham chiếu: Stripe Webhook Handling &amp; Idempotency Best Practices).</w:t>
      </w:r>
    </w:p>
    <w:p>
      <w:pPr>
        <w:pStyle w:val="Caption"/>
      </w:pPr>
      <w:r>
        <w:t>[R3] PostgreSQL — Row Security Policies: tham khảo policy và ngoại lệ bypass của owner/role (Tham chiếu: PostgreSQL Documentation - Row Security Policies &amp; Multi-tenant Protection).</w:t>
      </w:r>
    </w:p>
    <w:p>
      <w:pPr>
        <w:pStyle w:val="Meta"/>
      </w:pPr>
      <w:r>
        <w:t>Nguồn kỹ thuật được đối chiếu 05/09/2026. Khi tích hợp thật, dùng tài liệu đúng provider, phiên bản SDK và PostgreSQL đang chạy.</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comments.xml><?xml version="1.0" encoding="utf-8"?>
<w:comments xmlns:w="http://schemas.openxmlformats.org/wordprocessingml/2006/main">
  <w:comment w:id="0" w:author="Biên tập V2" w:date="2026-09-05T00:00:00Z">
    <w:p>
      <w:r>
        <w:t>Hợp nhất hai phần kế hoạch lặp trong bản nguồn; giữ S1–S7 và baseline mới nhất, thêm S0 và các phụ lục thực hiện. Các thông số thương mại/vận hành mới được đánh dấu là đề xuất.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Kế hoạch triển khai • 05/09/2026   |   </w:t>
    </w:r>
    <w:fldSimple w:instr="PAGE"/>
    <w:r>
      <w:t xml:space="preserve"> /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TASK MANAGEMENT  /  PRODUCT PLAN V2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80">
    <w:lvl w:ilvl="0">
      <w:start w:val="1"/>
      <w:numFmt w:val="bullet"/>
      <w:lvlText w:val="•"/>
      <w:lvlJc w:val="left"/>
      <w:pPr>
        <w:tabs>
          <w:tab w:val="num" w:pos="540"/>
        </w:tabs>
        <w:ind w:left="540" w:hanging="271"/>
      </w:pPr>
    </w:lvl>
  </w:abstractNum>
  <w:num w:numId="80">
    <w:abstractNumId w:val="8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b w:val="0"/>
      <w:color w:val="222222"/>
      <w:sz w:val="22"/>
    </w:rPr>
  </w:style>
  <w:style w:type="paragraph" w:styleId="Header">
    <w:name w:val="header"/>
    <w:basedOn w:val="Normal"/>
    <w:link w:val="HeaderChar"/>
    <w:uiPriority w:val="99"/>
    <w:unhideWhenUsed/>
    <w:rsid w:val="00E618BF"/>
    <w:pPr>
      <w:widowControl/>
      <w:tabs>
        <w:tab w:val="center" w:pos="4680"/>
        <w:tab w:val="right" w:pos="9360"/>
      </w:tabs>
      <w:spacing w:after="0" w:line="240" w:lineRule="auto" w:before="0"/>
    </w:pPr>
    <w:rPr>
      <w:rFonts w:ascii="Calibri" w:hAnsi="Calibri"/>
      <w:b w:val="0"/>
      <w:color w:val="526579"/>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40" w:lineRule="auto" w:before="0"/>
    </w:pPr>
    <w:rPr>
      <w:rFonts w:ascii="Calibri" w:hAnsi="Calibri"/>
      <w:b w:val="0"/>
      <w:color w:val="526579"/>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300" w:lineRule="auto"/>
      <w:outlineLvl w:val="0"/>
    </w:pPr>
    <w:rPr>
      <w:rFonts w:asciiTheme="majorHAnsi" w:eastAsiaTheme="majorEastAsia" w:hAnsiTheme="majorHAnsi" w:cstheme="majorBidi" w:ascii="Calibri" w:hAnsi="Calibri"/>
      <w:b w:val="0"/>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300" w:lineRule="auto"/>
      <w:outlineLvl w:val="1"/>
    </w:pPr>
    <w:rPr>
      <w:rFonts w:asciiTheme="majorHAnsi" w:eastAsiaTheme="majorEastAsia" w:hAnsiTheme="majorHAnsi" w:cstheme="majorBidi" w:ascii="Calibri" w:hAnsi="Calibri"/>
      <w:b w:val="0"/>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300" w:lineRule="auto"/>
      <w:outlineLvl w:val="2"/>
    </w:pPr>
    <w:rPr>
      <w:rFonts w:asciiTheme="majorHAnsi" w:eastAsiaTheme="majorEastAsia" w:hAnsiTheme="majorHAnsi" w:cstheme="majorBidi" w:ascii="Calibri" w:hAnsi="Calibri"/>
      <w:b w:val="0"/>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200" w:line="264" w:lineRule="auto" w:before="0"/>
      <w:contextualSpacing/>
    </w:pPr>
    <w:rPr>
      <w:rFonts w:asciiTheme="majorHAnsi" w:eastAsiaTheme="majorEastAsia" w:hAnsiTheme="majorHAnsi" w:cstheme="majorBidi" w:ascii="Calibri" w:hAnsi="Calibri"/>
      <w:b/>
      <w:color w:val="0B254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240" w:line="276" w:lineRule="auto"/>
    </w:pPr>
    <w:rPr>
      <w:rFonts w:asciiTheme="majorHAnsi" w:eastAsiaTheme="majorEastAsia" w:hAnsiTheme="majorHAnsi" w:cstheme="majorBidi" w:ascii="Calibri" w:hAnsi="Calibri"/>
      <w:b w:val="0"/>
      <w:i/>
      <w:iCs/>
      <w:color w:val="526579"/>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64" w:lineRule="auto" w:before="80" w:after="80"/>
    </w:pPr>
    <w:rPr>
      <w:rFonts w:ascii="Calibri" w:hAnsi="Calibri"/>
      <w:b w:val="0"/>
      <w:bCs/>
      <w:color w:val="526579"/>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
    <w:name w:val="Meta"/>
    <w:pPr>
      <w:widowControl/>
      <w:spacing w:before="0" w:after="100" w:line="264" w:lineRule="auto"/>
    </w:pPr>
    <w:rPr>
      <w:rFonts w:ascii="Calibri" w:hAnsi="Calibri"/>
      <w:b w:val="0"/>
      <w:color w:val="526579"/>
      <w:sz w:val="20"/>
    </w:rPr>
  </w:style>
  <w:style w:type="paragraph" w:customStyle="1" w:styleId="TableText">
    <w:name w:val="Table Text"/>
    <w:pPr>
      <w:widowControl/>
      <w:spacing w:before="0" w:after="60" w:line="252" w:lineRule="auto"/>
    </w:pPr>
    <w:rPr>
      <w:rFonts w:ascii="Calibri" w:hAnsi="Calibri"/>
      <w:b w:val="0"/>
      <w:color w:val="222222"/>
      <w:sz w:val="19"/>
    </w:rPr>
  </w:style>
  <w:style w:type="paragraph" w:customStyle="1" w:styleId="API">
    <w:name w:val="API"/>
    <w:pPr>
      <w:widowControl/>
      <w:spacing w:before="0" w:after="80" w:line="264" w:lineRule="auto"/>
    </w:pPr>
    <w:rPr>
      <w:rFonts w:ascii="Calibri" w:hAnsi="Calibri"/>
      <w:b w:val="0"/>
      <w:color w:val="1F4D78"/>
      <w:sz w:val="19"/>
    </w:rPr>
  </w:style>
  <w:style w:type="paragraph" w:customStyle="1" w:styleId="Callout">
    <w:name w:val="Callout"/>
    <w:pPr>
      <w:widowControl/>
      <w:spacing w:before="120" w:after="160" w:line="300" w:lineRule="auto"/>
    </w:pPr>
    <w:rPr>
      <w:rFonts w:ascii="Calibri" w:hAnsi="Calibri"/>
      <w:b/>
      <w:color w:val="1F4D78"/>
      <w:sz w:val="22"/>
    </w:rPr>
  </w:style>
  <w:style w:type="paragraph" w:customStyle="1" w:styleId="PlanBullet">
    <w:name w:val="Plan Bullet"/>
    <w:pPr>
      <w:widowControl/>
      <w:spacing w:before="0" w:after="80" w:line="300" w:lineRule="auto"/>
    </w:pPr>
    <w:rPr>
      <w:rFonts w:ascii="Calibri" w:hAnsi="Calibri"/>
      <w:b w:val="0"/>
      <w:color w:val="222222"/>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comments" Target="comments.xml"/><Relationship Id="rId12" Type="http://schemas.openxmlformats.org/officeDocument/2006/relationships/hyperlink" Target="https://docs.aws.amazon.com/whitepapers/latest/saas-architecture-fundamentals/tenant-isolation.html" TargetMode="External"/><Relationship Id="rId13" Type="http://schemas.openxmlformats.org/officeDocument/2006/relationships/hyperlink" Target="https://docs.stripe.com/webhooks" TargetMode="External"/><Relationship Id="rId14" Type="http://schemas.openxmlformats.org/officeDocument/2006/relationships/hyperlink" Target="https://www.postgresql.org/docs/current/ddl-rowsecurit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 Management SaaS — Kế hoạch triển khai V2</dc:title>
  <dc:subject>Workspace, phân quyền, gói dịch vụ, billing, migration và nghiệm thu</dc:subject>
  <dc:creator/>
  <cp:keywords>V2, SaaS, implementation plan</cp:keywords>
  <dc:description>generated by python-docx</dc:description>
  <cp:lastModifiedBy/>
  <cp:revision>1</cp:revision>
  <dcterms:created xsi:type="dcterms:W3CDTF">2013-12-23T23:15:00Z</dcterms:created>
  <dcterms:modified xsi:type="dcterms:W3CDTF">2013-12-23T23:15:00Z</dcterms:modified>
  <cp:category/>
</cp:coreProperties>
</file>