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2fe33e2edf6a45e6" /></Relationships>
</file>

<file path=word/document.xml><?xml version="1.0" encoding="utf-8"?>
<w:document xmlns:w="http://schemas.openxmlformats.org/wordprocessingml/2006/main">
  <w:body>
    <w:p>
      <w:pPr>
        <w:jc w:val="center"/>
      </w:pPr>
      <w:r>
        <w:rPr>
          <w:b/>
        </w:rPr>
        <w:t xml:space="preserve">CỘNG HÒA XÃ HỘI CHỦ NGHĨA VIỆT NAM</w:t>
      </w:r>
    </w:p>
    <w:p>
      <w:pPr>
        <w:jc w:val="center"/>
      </w:pPr>
      <w:r>
        <w:rPr>
          <w:b/>
          <w:u w:val="single"/>
        </w:rPr>
        <w:t xml:space="preserve">Độc lập - Tự do - Hạnh phúc</w:t>
      </w:r>
    </w:p>
    <w:p>
      <w:pPr>
        <w:jc w:val="both"/>
      </w:pPr>
    </w:p>
    <w:p>
      <w:pPr>
        <w:jc w:val="center"/>
        <w:spacing w:before="120"/>
      </w:pPr>
      <w:r>
        <w:rPr>
          <w:b/>
          <w:sz w:val="28"/>
        </w:rPr>
        <w:t xml:space="preserve">HỢP ĐỒNG MUA SẮM HÀNG HÓA, TÀI SẢN</w:t>
      </w:r>
    </w:p>
    <w:p>
      <w:pPr>
        <w:jc w:val="center"/>
      </w:pPr>
      <w:r>
        <w:rPr/>
        <w:t xml:space="preserve">Số: {{Contract.Number}}</w:t>
      </w:r>
    </w:p>
    <w:p>
      <w:pPr>
        <w:jc w:val="center"/>
      </w:pPr>
      <w:r>
        <w:rPr/>
        <w:t xml:space="preserve">Về việc: {{Contract.Name}}</w:t>
      </w:r>
    </w:p>
    <w:p>
      <w:pPr>
        <w:jc w:val="both"/>
      </w:pPr>
    </w:p>
    <w:p>
      <w:pPr>
        <w:jc w:val="both"/>
        <w:ind w:firstLine="567"/>
      </w:pPr>
      <w:r>
        <w:rPr/>
        <w:t xml:space="preserve">- Căn cứ Bộ luật Dân sự số 91/2015/QH13 ngày 24 tháng 11 năm 2015;</w:t>
      </w:r>
    </w:p>
    <w:p>
      <w:pPr>
        <w:jc w:val="both"/>
        <w:ind w:firstLine="567"/>
      </w:pPr>
      <w:r>
        <w:rPr/>
        <w:t xml:space="preserve">- Căn cứ Luật Thương mại số 36/2005/QH11 ngày 14 tháng 6 năm 2005;</w:t>
      </w:r>
    </w:p>
    <w:p>
      <w:pPr>
        <w:jc w:val="both"/>
        <w:ind w:firstLine="567"/>
      </w:pPr>
      <w:r>
        <w:rPr/>
        <w:t xml:space="preserve">- Căn cứ Luật Giao dịch điện tử số 20/2023/QH15 ngày 22 tháng 6 năm 2023;</w:t>
      </w:r>
    </w:p>
    <w:p>
      <w:pPr>
        <w:jc w:val="both"/>
        <w:ind w:firstLine="567"/>
      </w:pPr>
      <w:r>
        <w:rPr/>
        <w:t xml:space="preserve">- Căn cứ nhu cầu và khả năng của hai bên.</w:t>
      </w:r>
    </w:p>
    <w:p>
      <w:pPr>
        <w:jc w:val="both"/>
        <w:ind w:firstLine="567"/>
      </w:pPr>
      <w:r>
        <w:rPr/>
        <w:t xml:space="preserve">Hôm nay, {{Contract.SignedDate | datetext}}, tại {{Organization.Name}}, chúng tôi gồm:</w:t>
      </w:r>
    </w:p>
    <w:p>
      <w:pPr>
        <w:jc w:val="both"/>
        <w:spacing w:before="120"/>
      </w:pPr>
      <w:r>
        <w:rPr>
          <w:b/>
        </w:rPr>
        <w:t xml:space="preserve">BÊN MUA (Bên A): {{Organization.Name | upper}}</w:t>
      </w:r>
    </w:p>
    <w:p>
      <w:pPr>
        <w:jc w:val="both"/>
        <w:ind w:firstLine="567"/>
      </w:pPr>
      <w:r>
        <w:rPr/>
        <w:t xml:space="preserve">- Địa chỉ: {{Organization.Address}}</w:t>
      </w:r>
    </w:p>
    <w:p>
      <w:pPr>
        <w:jc w:val="both"/>
        <w:ind w:firstLine="567"/>
      </w:pPr>
      <w:r>
        <w:rPr/>
        <w:t xml:space="preserve">- Điện thoại: {{Organization.Phone}}</w:t>
      </w:r>
    </w:p>
    <w:p>
      <w:pPr>
        <w:jc w:val="both"/>
        <w:ind w:firstLine="567"/>
      </w:pPr>
      <w:r>
        <w:rPr/>
        <w:t xml:space="preserve">- Mã số thuế/Mã ĐVQHNS: {{Organization.TaxCode}}</w:t>
      </w:r>
    </w:p>
    <w:p>
      <w:pPr>
        <w:jc w:val="both"/>
        <w:ind w:firstLine="567"/>
      </w:pPr>
      <w:r>
        <w:rPr/>
        <w:t xml:space="preserve">- Tài khoản: {{Organization.TreasuryAccountNumber}} tại {{Organization.TreasuryName}}</w:t>
      </w:r>
    </w:p>
    <w:p>
      <w:pPr>
        <w:jc w:val="both"/>
        <w:ind w:firstLine="567"/>
      </w:pPr>
      <w:r>
        <w:rPr/>
        <w:t xml:space="preserve">- Đại diện: Ông/Bà {{Organization.RepresentativeName}} — Chức vụ: {{Organization.RepresentativeTitle}}</w:t>
      </w:r>
    </w:p>
    <w:p>
      <w:pPr>
        <w:jc w:val="both"/>
        <w:spacing w:before="120"/>
      </w:pPr>
      <w:r>
        <w:rPr>
          <w:b/>
        </w:rPr>
        <w:t xml:space="preserve">BÊN BÁN (Bên B): {{Supplier.Name | upper}}</w:t>
      </w:r>
    </w:p>
    <w:p>
      <w:pPr>
        <w:jc w:val="both"/>
        <w:ind w:firstLine="567"/>
      </w:pPr>
      <w:r>
        <w:rPr/>
        <w:t xml:space="preserve">- Địa chỉ: {{Supplier.Address}}</w:t>
      </w:r>
    </w:p>
    <w:p>
      <w:pPr>
        <w:jc w:val="both"/>
        <w:ind w:firstLine="567"/>
      </w:pPr>
      <w:r>
        <w:rPr/>
        <w:t xml:space="preserve">- Điện thoại: {{Supplier.Phone}} — Email: {{Supplier.Email}}</w:t>
      </w:r>
    </w:p>
    <w:p>
      <w:pPr>
        <w:jc w:val="both"/>
        <w:ind w:firstLine="567"/>
      </w:pPr>
      <w:r>
        <w:rPr/>
        <w:t xml:space="preserve">- Mã số thuế: {{Supplier.TaxCode}}</w:t>
      </w:r>
    </w:p>
    <w:p>
      <w:pPr>
        <w:jc w:val="both"/>
        <w:ind w:firstLine="567"/>
      </w:pPr>
      <w:r>
        <w:rPr/>
        <w:t xml:space="preserve">- Tài khoản: {{Supplier.BankAccountNumber}} tại {{Supplier.BankName}}</w:t>
      </w:r>
    </w:p>
    <w:p>
      <w:pPr>
        <w:jc w:val="both"/>
        <w:ind w:firstLine="567"/>
      </w:pPr>
      <w:r>
        <w:rPr/>
        <w:t xml:space="preserve">- Đại diện: Ông/Bà {{Supplier.RepresentativeName}} — Chức vụ: {{Supplier.RepresentativeTitle}}{{#if Supplier.AuthorizationDocument}} (theo Giấy ủy quyền {{Supplier.AuthorizationDocument}}){{/if}}</w:t>
      </w:r>
    </w:p>
    <w:p>
      <w:pPr>
        <w:jc w:val="both"/>
        <w:ind w:firstLine="567"/>
      </w:pPr>
      <w:r>
        <w:rPr/>
        <w:t xml:space="preserve">Hai bên thống nhất ký kết hợp đồng mua sắm hàng hóa, tài sản với các điều khoản sau:</w:t>
      </w:r>
    </w:p>
    <w:p>
      <w:pPr>
        <w:jc w:val="both"/>
        <w:spacing w:before="120"/>
      </w:pPr>
      <w:r>
        <w:rPr>
          <w:b/>
        </w:rPr>
        <w:t xml:space="preserve">Điều 1. Đối tượng và giá trị hợp đồng</w:t>
      </w:r>
    </w:p>
    <w:p>
      <w:pPr>
        <w:jc w:val="both"/>
        <w:ind w:firstLine="567"/>
      </w:pPr>
      <w:r>
        <w:rPr/>
        <w:t xml:space="preserve">Bên B cung cấp cho Bên A các hàng hóa, dịch vụ theo danh mục dưới đây:</w:t>
      </w:r>
    </w:p>
    <w:tbl>
      <w:tblPr>
        <w:tblW w:w="5000" w:type="pct"/>
        <w:tblBorders>
          <w:top w:val="single" w:sz="4"/>
          <w:bottom w:val="single" w:sz="4"/>
          <w:left w:val="single" w:sz="4"/>
          <w:right w:val="single" w:sz="4"/>
          <w:insideH w:val="single" w:sz="4"/>
          <w:insideV w:val="single" w:sz="4"/>
        </w:tblBorders>
        <w:tblCellMar>
          <w:top w:w="40" w:type="dxa"/>
          <w:bottom w:w="40" w:type="dxa"/>
        </w:tblCellMar>
      </w:tblPr>
      <w:tblGrid>
        <w:gridCol w:w="540"/>
        <w:gridCol w:w="2340"/>
        <w:gridCol w:w="1980"/>
        <w:gridCol w:w="720"/>
        <w:gridCol w:w="900"/>
        <w:gridCol w:w="1170"/>
        <w:gridCol w:w="1350"/>
      </w:tblGrid>
      <w:tr>
        <w:trPr>
          <w:tblHeader/>
        </w:trPr>
        <w:tc>
          <w:tcPr>
            <w:tcW w:w="300" w:type="pct"/>
            <w:vAlign w:val="center"/>
          </w:tcPr>
          <w:p>
            <w:pPr>
              <w:jc w:val="center"/>
            </w:pPr>
            <w:r>
              <w:rPr>
                <w:b/>
                <w:sz w:val="22"/>
              </w:rPr>
              <w:t xml:space="preserve">STT</w:t>
            </w:r>
          </w:p>
        </w:tc>
        <w:tc>
          <w:tcPr>
            <w:tcW w:w="1300" w:type="pct"/>
            <w:vAlign w:val="center"/>
          </w:tcPr>
          <w:p>
            <w:pPr>
              <w:jc w:val="center"/>
            </w:pPr>
            <w:r>
              <w:rPr>
                <w:b/>
                <w:sz w:val="22"/>
              </w:rPr>
              <w:t xml:space="preserve">Tên hàng hóa, dịch vụ</w:t>
            </w:r>
          </w:p>
        </w:tc>
        <w:tc>
          <w:tcPr>
            <w:tcW w:w="1100" w:type="pct"/>
            <w:vAlign w:val="center"/>
          </w:tcPr>
          <w:p>
            <w:pPr>
              <w:jc w:val="center"/>
            </w:pPr>
            <w:r>
              <w:rPr>
                <w:b/>
                <w:sz w:val="22"/>
              </w:rPr>
              <w:t xml:space="preserve">Mô tả, thông số</w:t>
            </w:r>
          </w:p>
        </w:tc>
        <w:tc>
          <w:tcPr>
            <w:tcW w:w="400" w:type="pct"/>
            <w:vAlign w:val="center"/>
          </w:tcPr>
          <w:p>
            <w:pPr>
              <w:jc w:val="center"/>
            </w:pPr>
            <w:r>
              <w:rPr>
                <w:b/>
                <w:sz w:val="22"/>
              </w:rPr>
              <w:t xml:space="preserve">ĐVT</w:t>
            </w:r>
          </w:p>
        </w:tc>
        <w:tc>
          <w:tcPr>
            <w:tcW w:w="500" w:type="pct"/>
            <w:vAlign w:val="center"/>
          </w:tcPr>
          <w:p>
            <w:pPr>
              <w:jc w:val="center"/>
            </w:pPr>
            <w:r>
              <w:rPr>
                <w:b/>
                <w:sz w:val="22"/>
              </w:rPr>
              <w:t xml:space="preserve">Số lượng</w:t>
            </w:r>
          </w:p>
        </w:tc>
        <w:tc>
          <w:tcPr>
            <w:tcW w:w="650" w:type="pct"/>
            <w:vAlign w:val="center"/>
          </w:tcPr>
          <w:p>
            <w:pPr>
              <w:jc w:val="center"/>
            </w:pPr>
            <w:r>
              <w:rPr>
                <w:b/>
                <w:sz w:val="22"/>
              </w:rPr>
              <w:t xml:space="preserve">Đơn giá</w:t>
            </w:r>
          </w:p>
        </w:tc>
        <w:tc>
          <w:tcPr>
            <w:tcW w:w="750" w:type="pct"/>
            <w:vAlign w:val="center"/>
          </w:tcPr>
          <w:p>
            <w:pPr>
              <w:jc w:val="center"/>
            </w:pPr>
            <w:r>
              <w:rPr>
                <w:b/>
                <w:sz w:val="22"/>
              </w:rPr>
              <w:t xml:space="preserve">Thành tiền</w:t>
            </w:r>
          </w:p>
        </w:tc>
      </w:tr>
      <w:tr>
        <w:tc>
          <w:tcPr>
            <w:tcW w:w="300" w:type="pct"/>
            <w:vAlign w:val="center"/>
          </w:tcPr>
          <w:p>
            <w:pPr>
              <w:jc w:val="center"/>
            </w:pPr>
            <w:r>
              <w:rPr>
                <w:sz w:val="22"/>
              </w:rPr>
              <w:t xml:space="preserve">{{#Items}}{{@index}}</w:t>
            </w:r>
          </w:p>
        </w:tc>
        <w:tc>
          <w:tcPr>
            <w:tcW w:w="1300" w:type="pct"/>
            <w:vAlign w:val="center"/>
          </w:tcPr>
          <w:p>
            <w:pPr>
              <w:jc w:val="left"/>
            </w:pPr>
            <w:r>
              <w:rPr>
                <w:sz w:val="22"/>
              </w:rPr>
              <w:t xml:space="preserve">{{Name}}</w:t>
            </w:r>
          </w:p>
        </w:tc>
        <w:tc>
          <w:tcPr>
            <w:tcW w:w="1100" w:type="pct"/>
            <w:vAlign w:val="center"/>
          </w:tcPr>
          <w:p>
            <w:pPr>
              <w:jc w:val="left"/>
            </w:pPr>
            <w:r>
              <w:rPr>
                <w:sz w:val="22"/>
              </w:rPr>
              <w:t xml:space="preserve">{{ActiveIngredient}}</w:t>
            </w:r>
          </w:p>
        </w:tc>
        <w:tc>
          <w:tcPr>
            <w:tcW w:w="400" w:type="pct"/>
            <w:vAlign w:val="center"/>
          </w:tcPr>
          <w:p>
            <w:pPr>
              <w:jc w:val="center"/>
            </w:pPr>
            <w:r>
              <w:rPr>
                <w:sz w:val="22"/>
              </w:rPr>
              <w:t xml:space="preserve">{{Unit}}</w:t>
            </w:r>
          </w:p>
        </w:tc>
        <w:tc>
          <w:tcPr>
            <w:tcW w:w="500" w:type="pct"/>
            <w:vAlign w:val="center"/>
          </w:tcPr>
          <w:p>
            <w:pPr>
              <w:jc w:val="right"/>
            </w:pPr>
            <w:r>
              <w:rPr>
                <w:sz w:val="22"/>
              </w:rPr>
              <w:t xml:space="preserve">{{Quantity | number}}</w:t>
            </w:r>
          </w:p>
        </w:tc>
        <w:tc>
          <w:tcPr>
            <w:tcW w:w="650" w:type="pct"/>
            <w:vAlign w:val="center"/>
          </w:tcPr>
          <w:p>
            <w:pPr>
              <w:jc w:val="right"/>
            </w:pPr>
            <w:r>
              <w:rPr>
                <w:sz w:val="22"/>
              </w:rPr>
              <w:t xml:space="preserve">{{UnitPrice | money}}</w:t>
            </w:r>
          </w:p>
        </w:tc>
        <w:tc>
          <w:tcPr>
            <w:tcW w:w="750" w:type="pct"/>
            <w:vAlign w:val="center"/>
          </w:tcPr>
          <w:p>
            <w:pPr>
              <w:jc w:val="right"/>
            </w:pPr>
            <w:r>
              <w:rPr>
                <w:sz w:val="22"/>
              </w:rPr>
              <w:t xml:space="preserve">{{Amount | money}}{{/Items}}</w:t>
            </w:r>
          </w:p>
        </w:tc>
      </w:tr>
      <w:tr>
        <w:tc>
          <w:tcPr>
            <w:tcW w:w="4250" w:type="pct"/>
            <w:vAlign w:val="center"/>
            <w:gridSpan w:val="6"/>
          </w:tcPr>
          <w:p>
            <w:pPr>
              <w:jc w:val="center"/>
            </w:pPr>
            <w:r>
              <w:rPr>
                <w:b/>
                <w:sz w:val="22"/>
              </w:rPr>
              <w:t xml:space="preserve">Tổng giá trị hợp đồng (đã bao gồm thuế GTGT)</w:t>
            </w:r>
          </w:p>
        </w:tc>
        <w:tc>
          <w:tcPr>
            <w:tcW w:w="750" w:type="pct"/>
            <w:vAlign w:val="center"/>
          </w:tcPr>
          <w:p>
            <w:pPr>
              <w:jc w:val="right"/>
            </w:pPr>
            <w:r>
              <w:rPr>
                <w:b/>
                <w:sz w:val="22"/>
              </w:rPr>
              <w:t xml:space="preserve">{{Contract.TotalAmount | money}}</w:t>
            </w:r>
          </w:p>
        </w:tc>
      </w:tr>
    </w:tbl>
    <w:p>
      <w:pPr>
        <w:jc w:val="both"/>
      </w:pPr>
    </w:p>
    <w:p>
      <w:pPr>
        <w:jc w:val="both"/>
        <w:ind w:firstLine="567"/>
      </w:pPr>
      <w:r>
        <w:rPr>
          <w:i/>
        </w:rPr>
        <w:t xml:space="preserve">Bằng chữ: {{Contract.TotalAmount | words}}.</w:t>
      </w:r>
    </w:p>
    <w:p>
      <w:pPr>
        <w:jc w:val="both"/>
        <w:ind w:firstLine="567"/>
      </w:pPr>
      <w:r>
        <w:rPr/>
        <w:t xml:space="preserve">Giá trị trước thuế: {{Contract.AmountBeforeVat | money}} đồng; thuế GTGT: {{Contract.VatAmount | money}} đồng.</w:t>
      </w:r>
    </w:p>
    <w:p>
      <w:pPr>
        <w:jc w:val="both"/>
        <w:spacing w:before="120"/>
      </w:pPr>
      <w:r>
        <w:rPr>
          <w:b/>
        </w:rPr>
        <w:t xml:space="preserve">Điều 2. Loại hợp đồng và giá hợp đồng</w:t>
      </w:r>
    </w:p>
    <w:p>
      <w:pPr>
        <w:jc w:val="both"/>
        <w:ind w:firstLine="567"/>
      </w:pPr>
      <w:r>
        <w:rPr/>
        <w:t xml:space="preserve">Hợp đồng trọn gói. Giá hợp đồng không thay đổi trong suốt thời gian thực hiện đối với khối lượng công việc thuộc phạm vi hợp đồng.</w:t>
      </w:r>
    </w:p>
    <w:p>
      <w:pPr>
        <w:jc w:val="both"/>
        <w:spacing w:before="120"/>
      </w:pPr>
      <w:r>
        <w:rPr>
          <w:b/>
        </w:rPr>
        <w:t xml:space="preserve">Điều 3. Chất lượng, tiêu chuẩn kỹ thuật</w:t>
      </w:r>
    </w:p>
    <w:p>
      <w:pPr>
        <w:jc w:val="both"/>
        <w:ind w:firstLine="567"/>
      </w:pPr>
      <w:r>
        <w:rPr/>
        <w:t xml:space="preserve">Hàng hóa mới 100%, sản xuất năm 2025 trở về sau, đúng cấu hình, thông số kỹ thuật theo danh mục; có CO, CQ, catalogue và tài liệu hướng dẫn sử dụng bằng tiếng Việt. Bên B lắp đặt, chạy thử, hướng dẫn sử dụng tại địa điểm của Bên A.</w:t>
      </w:r>
    </w:p>
    <w:p>
      <w:pPr>
        <w:jc w:val="both"/>
        <w:ind w:firstLine="567"/>
      </w:pPr>
      <w:r>
        <w:rPr/>
        <w:t xml:space="preserve">Bảo hành: {{Contract.WarrantyTerms}}</w:t>
      </w:r>
    </w:p>
    <w:p>
      <w:pPr>
        <w:jc w:val="both"/>
        <w:spacing w:before="120"/>
      </w:pPr>
      <w:r>
        <w:rPr>
          <w:b/>
        </w:rPr>
        <w:t xml:space="preserve">Điều 4. Thời gian, địa điểm và phương thức giao hàng</w:t>
      </w:r>
    </w:p>
    <w:p>
      <w:pPr>
        <w:jc w:val="both"/>
        <w:ind w:firstLine="567"/>
      </w:pPr>
      <w:r>
        <w:rPr/>
        <w:t xml:space="preserve">Thời gian thực hiện hợp đồng: {{Contract.Duration}}, từ ngày {{Contract.EffectiveDate | date}} đến ngày {{Contract.ExpiryDate | date}}.</w:t>
      </w:r>
    </w:p>
    <w:p>
      <w:pPr>
        <w:jc w:val="both"/>
        <w:ind w:firstLine="567"/>
      </w:pPr>
      <w:r>
        <w:rPr/>
        <w:t xml:space="preserve">{{Contract.DeliveryTerms}}</w:t>
      </w:r>
    </w:p>
    <w:p>
      <w:pPr>
        <w:jc w:val="both"/>
        <w:ind w:firstLine="567"/>
      </w:pPr>
      <w:r>
        <w:rPr/>
        <w:t xml:space="preserve">Khi giao hàng, Bên B xuất hóa đơn giá trị gia tăng (hóa đơn điện tử) đúng hàng hóa, số lượng, đơn giá thực giao. Người giao hàng của Bên B ký xác nhận trên phiếu nhập kho điện tử.</w:t>
      </w:r>
    </w:p>
    <w:p>
      <w:pPr>
        <w:jc w:val="both"/>
        <w:spacing w:before="120"/>
      </w:pPr>
      <w:r>
        <w:rPr>
          <w:b/>
        </w:rPr>
        <w:t xml:space="preserve">Điều 5. Nghiệm thu và thanh toán</w:t>
      </w:r>
    </w:p>
    <w:p>
      <w:pPr>
        <w:jc w:val="both"/>
        <w:ind w:firstLine="567"/>
      </w:pPr>
      <w:r>
        <w:rPr/>
        <w:t xml:space="preserve">Hằng tháng, căn cứ các phiếu nhập kho đã ký đầy đủ, hai bên lập biên bản nghiệm thu; sau đó lập biên bản xác định giá trị khối lượng hoàn thành (Mẫu 08a) và đề nghị thanh toán.</w:t>
      </w:r>
    </w:p>
    <w:p>
      <w:pPr>
        <w:jc w:val="both"/>
        <w:ind w:firstLine="567"/>
      </w:pPr>
      <w:r>
        <w:rPr/>
        <w:t xml:space="preserve">Phương thức thanh toán: chuyển khoản vào tài khoản của Bên B nêu tại hợp đồng này. {{Contract.PaymentTerms}}</w:t>
      </w:r>
    </w:p>
    <w:p>
      <w:pPr>
        <w:jc w:val="both"/>
        <w:ind w:firstLine="567"/>
      </w:pPr>
      <w:r>
        <w:rPr/>
        <w:t xml:space="preserve">Hồ sơ thanh toán gồm: biên bản nghiệm thu, biên bản xác định giá trị khối lượng hoàn thành, hóa đơn GTGT, giấy đề nghị thanh toán và các tài liệu khác theo quy định của Kho bạc Nhà nước.</w:t>
      </w:r>
    </w:p>
    <w:p>
      <w:pPr>
        <w:jc w:val="both"/>
      </w:pPr>
      <w:r>
        <w:rPr/>
        <w:t xml:space="preserve">{{#if Contract.GuaranteeText}}</w:t>
      </w:r>
    </w:p>
    <w:p>
      <w:pPr>
        <w:jc w:val="both"/>
        <w:spacing w:before="120"/>
      </w:pPr>
      <w:r>
        <w:rPr>
          <w:b/>
        </w:rPr>
        <w:t xml:space="preserve">Điều 6. Bảo đảm thực hiện hợp đồng</w:t>
      </w:r>
    </w:p>
    <w:p>
      <w:pPr>
        <w:jc w:val="both"/>
        <w:ind w:firstLine="567"/>
      </w:pPr>
      <w:r>
        <w:rPr/>
        <w:t xml:space="preserve">{{Contract.GuaranteeText}}</w:t>
      </w:r>
    </w:p>
    <w:p>
      <w:pPr>
        <w:jc w:val="both"/>
        <w:ind w:firstLine="567"/>
      </w:pPr>
      <w:r>
        <w:rPr/>
        <w:t xml:space="preserve">Bên B không được hoàn trả bảo đảm thực hiện hợp đồng trong trường hợp từ chối thực hiện hợp đồng sau khi hợp đồng có hiệu lực hoặc vi phạm thỏa thuận trong hợp đồng.</w:t>
      </w:r>
    </w:p>
    <w:p>
      <w:pPr>
        <w:jc w:val="both"/>
      </w:pPr>
      <w:r>
        <w:rPr/>
        <w:t xml:space="preserve">{{/if}}</w:t>
      </w:r>
    </w:p>
    <w:p>
      <w:pPr>
        <w:jc w:val="both"/>
        <w:spacing w:before="120"/>
      </w:pPr>
      <w:r>
        <w:rPr>
          <w:b/>
        </w:rPr>
        <w:t xml:space="preserve">Điều 7. Quyền và nghĩa vụ của Bên A</w:t>
      </w:r>
    </w:p>
    <w:p>
      <w:pPr>
        <w:jc w:val="both"/>
        <w:ind w:firstLine="567"/>
      </w:pPr>
      <w:r>
        <w:rPr/>
        <w:t xml:space="preserve">- Gọi hàng, tiếp nhận, kiểm tra và nghiệm thu hàng hóa theo hợp đồng;</w:t>
      </w:r>
    </w:p>
    <w:p>
      <w:pPr>
        <w:jc w:val="both"/>
        <w:ind w:firstLine="567"/>
      </w:pPr>
      <w:r>
        <w:rPr/>
        <w:t xml:space="preserve">- Thanh toán cho Bên B đầy đủ, đúng hạn theo Điều 5;</w:t>
      </w:r>
    </w:p>
    <w:p>
      <w:pPr>
        <w:jc w:val="both"/>
        <w:ind w:firstLine="567"/>
      </w:pPr>
      <w:r>
        <w:rPr/>
        <w:t xml:space="preserve">- Từ chối nhận hàng không đúng chủng loại, chất lượng, hạn dùng hoặc giao không đúng thời hạn;</w:t>
      </w:r>
    </w:p>
    <w:p>
      <w:pPr>
        <w:jc w:val="both"/>
        <w:ind w:firstLine="567"/>
      </w:pPr>
      <w:r>
        <w:rPr/>
        <w:t xml:space="preserve">- Ký số các tài liệu thuộc hồ sơ hợp đồng trên Cổng của Bên A theo đúng quy trình.</w:t>
      </w:r>
    </w:p>
    <w:p>
      <w:pPr>
        <w:jc w:val="both"/>
        <w:spacing w:before="120"/>
      </w:pPr>
      <w:r>
        <w:rPr>
          <w:b/>
        </w:rPr>
        <w:t xml:space="preserve">Điều 8. Quyền và nghĩa vụ của Bên B</w:t>
      </w:r>
    </w:p>
    <w:p>
      <w:pPr>
        <w:jc w:val="both"/>
        <w:ind w:firstLine="567"/>
      </w:pPr>
      <w:r>
        <w:rPr/>
        <w:t xml:space="preserve">- Cung cấp hàng hóa, dịch vụ đúng số lượng, chất lượng, tiến độ theo hợp đồng;</w:t>
      </w:r>
    </w:p>
    <w:p>
      <w:pPr>
        <w:jc w:val="both"/>
        <w:ind w:firstLine="567"/>
      </w:pPr>
      <w:r>
        <w:rPr/>
        <w:t xml:space="preserve">- Chịu trách nhiệm về nguồn gốc, xuất xứ, chất lượng hàng hóa; thu hồi, đổi trả hàng hóa không đạt yêu cầu bằng chi phí của mình;</w:t>
      </w:r>
    </w:p>
    <w:p>
      <w:pPr>
        <w:jc w:val="both"/>
        <w:ind w:firstLine="567"/>
      </w:pPr>
      <w:r>
        <w:rPr/>
        <w:t xml:space="preserve">- Rà soát, ký số hợp đồng và các tài liệu thanh toán trên Cổng của Bên A; bảo đảm chứng thư số dùng để ký còn hiệu lực;</w:t>
      </w:r>
    </w:p>
    <w:p>
      <w:pPr>
        <w:jc w:val="both"/>
        <w:ind w:firstLine="567"/>
      </w:pPr>
      <w:r>
        <w:rPr/>
        <w:t xml:space="preserve">- Được thanh toán đầy đủ, đúng hạn theo hợp đồng.</w:t>
      </w:r>
    </w:p>
    <w:p>
      <w:pPr>
        <w:jc w:val="both"/>
        <w:spacing w:before="120"/>
      </w:pPr>
      <w:r>
        <w:rPr>
          <w:b/>
        </w:rPr>
        <w:t xml:space="preserve">Điều 9. Phạt vi phạm và bồi thường thiệt hại</w:t>
      </w:r>
    </w:p>
    <w:p>
      <w:pPr>
        <w:jc w:val="both"/>
        <w:ind w:firstLine="567"/>
      </w:pPr>
      <w:r>
        <w:rPr/>
        <w:t xml:space="preserve">Bên vi phạm nghĩa vụ hợp đồng phải chịu phạt vi phạm với mức 8% giá trị phần nghĩa vụ hợp đồng bị vi phạm và bồi thường thiệt hại thực tế (nếu có) theo quy định của Luật Thương mại.</w:t>
      </w:r>
    </w:p>
    <w:p>
      <w:pPr>
        <w:jc w:val="both"/>
        <w:ind w:firstLine="567"/>
      </w:pPr>
      <w:r>
        <w:rPr/>
        <w:t xml:space="preserve">Trường hợp Bên B chậm giao hàng quá 15 ngày so với thời hạn mà không có lý do chính đáng, Bên A có quyền mua hàng của nhà cung cấp khác; Bên B chịu phần chênh lệch giá (nếu có).</w:t>
      </w:r>
    </w:p>
    <w:p>
      <w:pPr>
        <w:jc w:val="both"/>
        <w:spacing w:before="120"/>
      </w:pPr>
      <w:r>
        <w:rPr>
          <w:b/>
        </w:rPr>
        <w:t xml:space="preserve">Điều 10. Bất khả kháng</w:t>
      </w:r>
    </w:p>
    <w:p>
      <w:pPr>
        <w:jc w:val="both"/>
        <w:ind w:firstLine="567"/>
      </w:pPr>
      <w:r>
        <w:rPr/>
        <w:t xml:space="preserve">Sự kiện bất khả kháng là sự kiện xảy ra một cách khách quan, không thể lường trước và không thể khắc phục được mặc dù đã áp dụng mọi biện pháp cần thiết. Bên gặp sự kiện bất khả kháng phải thông báo bằng văn bản cho bên kia trong vòng 07 ngày.</w:t>
      </w:r>
    </w:p>
    <w:p>
      <w:pPr>
        <w:jc w:val="both"/>
        <w:spacing w:before="120"/>
      </w:pPr>
      <w:r>
        <w:rPr>
          <w:b/>
        </w:rPr>
        <w:t xml:space="preserve">Điều 11. Giải quyết tranh chấp</w:t>
      </w:r>
    </w:p>
    <w:p>
      <w:pPr>
        <w:jc w:val="both"/>
        <w:ind w:firstLine="567"/>
      </w:pPr>
      <w:r>
        <w:rPr/>
        <w:t xml:space="preserve">Các tranh chấp phát sinh được giải quyết trên cơ sở thương lượng; trường hợp không thương lượng được thì một trong hai bên có quyền khởi kiện tại Tòa án nhân dân có thẩm quyền.</w:t>
      </w:r>
    </w:p>
    <w:p>
      <w:pPr>
        <w:jc w:val="both"/>
        <w:spacing w:before="120"/>
      </w:pPr>
      <w:r>
        <w:rPr>
          <w:b/>
        </w:rPr>
        <w:t xml:space="preserve">Điều 12. Hiệu lực hợp đồng</w:t>
      </w:r>
    </w:p>
    <w:p>
      <w:pPr>
        <w:jc w:val="both"/>
        <w:ind w:firstLine="567"/>
      </w:pPr>
      <w:r>
        <w:rPr/>
        <w:t xml:space="preserve">Hợp đồng có hiệu lực kể từ ngày {{Contract.EffectiveDate | date}} và được thanh lý khi hai bên hoàn thành nghĩa vụ.</w:t>
      </w:r>
    </w:p>
    <w:p>
      <w:pPr>
        <w:jc w:val="both"/>
        <w:ind w:firstLine="567"/>
      </w:pPr>
      <w:r>
        <w:rPr/>
        <w:t xml:space="preserve">Hợp đồng được lập dưới dạng thông điệp dữ liệu, ký số bởi đại diện hợp pháp của hai bên và đóng dấu điện tử của Bên A; có giá trị pháp lý như văn bản giấy theo Luật Giao dịch điện tử.</w:t>
      </w:r>
    </w:p>
    <w:p>
      <w:pPr>
        <w:jc w:val="both"/>
      </w:pPr>
    </w:p>
    <w:tbl>
      <w:tblPr>
        <w:tblW w:w="5000" w:type="pct"/>
        <w:tblBorders>
          <w:top w:val="none"/>
          <w:bottom w:val="none"/>
          <w:left w:val="none"/>
          <w:right w:val="none"/>
          <w:insideH w:val="none"/>
          <w:insideV w:val="none"/>
        </w:tblBorders>
      </w:tblPr>
      <w:tblGrid>
        <w:gridCol w:w="4500"/>
        <w:gridCol w:w="4500"/>
      </w:tblGrid>
      <w:tr>
        <w:trPr>
          <w:cantSplit/>
        </w:trPr>
        <w:tc>
          <w:tcPr>
            <w:tcW w:w="2500" w:type="pct"/>
            <w:vAlign w:val="center"/>
          </w:tcPr>
          <w:p>
            <w:pPr>
              <w:jc w:val="center"/>
            </w:pPr>
            <w:r>
              <w:rPr>
                <w:b/>
              </w:rPr>
              <w:t xml:space="preserve">ĐẠI DIỆN BÊN B</w:t>
            </w:r>
          </w:p>
          <w:p>
            <w:pPr>
              <w:jc w:val="center"/>
            </w:pPr>
            <w:r>
              <w:rPr>
                <w:i/>
              </w:rPr>
              <w:t xml:space="preserve">(Ký số, ghi rõ họ tên)</w:t>
            </w:r>
          </w:p>
          <w:p>
            <w:pPr>
              <w:jc w:val="center"/>
            </w:pPr>
            <w:r>
              <w:rPr/>
              <w:t xml:space="preserve">{{SIG_SUPPLIER}}</w:t>
            </w:r>
          </w:p>
          <w:p>
            <w:pPr>
              <w:jc w:val="both"/>
            </w:pPr>
          </w:p>
          <w:p>
            <w:pPr>
              <w:jc w:val="both"/>
            </w:pPr>
          </w:p>
          <w:p>
            <w:pPr>
              <w:jc w:val="both"/>
            </w:pPr>
          </w:p>
          <w:p>
            <w:pPr>
              <w:jc w:val="center"/>
            </w:pPr>
            <w:r>
              <w:rPr>
                <w:b/>
              </w:rPr>
              <w:t xml:space="preserve">{{Supplier.RepresentativeName}}</w:t>
            </w:r>
          </w:p>
        </w:tc>
        <w:tc>
          <w:tcPr>
            <w:tcW w:w="2500" w:type="pct"/>
            <w:vAlign w:val="center"/>
          </w:tcPr>
          <w:p>
            <w:pPr>
              <w:jc w:val="center"/>
            </w:pPr>
            <w:r>
              <w:rPr>
                <w:b/>
              </w:rPr>
              <w:t xml:space="preserve">ĐẠI DIỆN BÊN A</w:t>
            </w:r>
          </w:p>
          <w:p>
            <w:pPr>
              <w:jc w:val="center"/>
            </w:pPr>
            <w:r>
              <w:rPr>
                <w:i/>
              </w:rPr>
              <w:t xml:space="preserve">(Ký số, đóng dấu điện tử)</w:t>
            </w:r>
          </w:p>
          <w:p>
            <w:pPr>
              <w:jc w:val="center"/>
            </w:pPr>
            <w:r>
              <w:rPr/>
              <w:t xml:space="preserve">{{SIG_DIRECTOR}}</w:t>
            </w:r>
          </w:p>
          <w:p>
            <w:pPr>
              <w:jc w:val="both"/>
            </w:pPr>
          </w:p>
          <w:p>
            <w:pPr>
              <w:jc w:val="both"/>
            </w:pPr>
          </w:p>
          <w:p>
            <w:pPr>
              <w:jc w:val="both"/>
            </w:pPr>
          </w:p>
          <w:p>
            <w:pPr>
              <w:jc w:val="center"/>
            </w:pPr>
            <w:r>
              <w:rPr>
                <w:b/>
              </w:rPr>
              <w:t xml:space="preserve">{{Organization.RepresentativeName}}</w:t>
            </w:r>
          </w:p>
        </w:tc>
      </w:tr>
    </w:tbl>
    <w:p>
      <w:pPr>
        <w:jc w:val="right"/>
      </w:pPr>
      <w:r>
        <w:rPr/>
        <w:t xml:space="preserve">{{SIG_CLERK_SEAL}}</w:t>
      </w:r>
    </w:p>
    <w:p>
      <w:pPr>
        <w:jc w:val="left"/>
      </w:pPr>
      <w:r>
        <w:rPr>
          <w:i/>
        </w:rPr>
        <w:t xml:space="preserve">Kế toán (ký nháy): {{SIG_ACCOUNTANT_INITIAL}}</w:t>
      </w:r>
    </w:p>
    <w:p>
      <w:pPr>
        <w:jc w:val="both"/>
      </w:pPr>
    </w:p>
    <w:sectPr>
      <w:pgSz w:w="11906" w:h="16838"/>
      <w:pgMar w:top="1134" w:right="851" w:bottom="1134" w:left="1701" w:header="567" w:footer="567" w:gutter="0"/>
    </w:sectPr>
  </w:body>
</w:document>
</file>

<file path=word/styles.xml><?xml version="1.0" encoding="utf-8"?>
<w:styles xmlns:w="http://schemas.openxmlformats.org/wordprocessingml/2006/main">
  <w:docDefaults>
    <w:rPrDefault>
      <w:rPr>
        <w:rFonts w:ascii="Times New Roman" w:hAnsi="Times New Roman" w:eastAsia="Times New Roman" w:cs="Times New Roman"/>
        <w:sz w:val="26"/>
        <w:szCs w:val="26"/>
        <w:lang w:val="vi-VN"/>
      </w:rPr>
    </w:rPrDefault>
    <w:pPrDefault>
      <w:pPr>
        <w:spacing w:after="60" w:line="276" w:lineRule="auto"/>
      </w:pPr>
    </w:pPrDefault>
  </w:docDefaults>
</w:styles>
</file>

<file path=word/_rels/document.xml.rels>&#65279;<?xml version="1.0" encoding="utf-8"?><Relationships xmlns="http://schemas.openxmlformats.org/package/2006/relationships"><Relationship Type="http://schemas.openxmlformats.org/officeDocument/2006/relationships/styles" Target="/word/styles.xml" Id="Refeb4fe754484d70" /></Relationships>
</file>