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e11954a1cb94dc5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CỘNG HÒA XÃ HỘI CHỦ NGHĨA VIỆT NAM</w:t>
      </w:r>
    </w:p>
    <w:p>
      <w:pPr>
        <w:jc w:val="center"/>
      </w:pPr>
      <w:r>
        <w:rPr>
          <w:b/>
          <w:u w:val="single"/>
        </w:rPr>
        <w:t xml:space="preserve">Độc lập - Tự do - Hạnh phúc</w:t>
      </w:r>
    </w:p>
    <w:p>
      <w:pPr>
        <w:jc w:val="both"/>
      </w:pPr>
    </w:p>
    <w:p>
      <w:pPr>
        <w:jc w:val="center"/>
        <w:spacing w:before="120"/>
      </w:pPr>
      <w:r>
        <w:rPr>
          <w:b/>
          <w:sz w:val="28"/>
        </w:rPr>
        <w:t xml:space="preserve">HỢP ĐỒNG</w:t>
      </w:r>
    </w:p>
    <w:p>
      <w:pPr>
        <w:jc w:val="center"/>
      </w:pPr>
      <w:r>
        <w:rPr/>
        <w:t xml:space="preserve">Số: {{Contract.Number}}</w:t>
      </w:r>
    </w:p>
    <w:p>
      <w:pPr>
        <w:jc w:val="center"/>
      </w:pPr>
      <w:r>
        <w:rPr/>
        <w:t xml:space="preserve">Gói thầu: {{BidDecision.PackageName}}</w:t>
      </w:r>
    </w:p>
    <w:p>
      <w:pPr>
        <w:jc w:val="center"/>
      </w:pPr>
      <w:r>
        <w:rPr/>
        <w:t xml:space="preserve">Thuộc dự toán mua sắm: {{Contract.Name}}</w:t>
      </w:r>
    </w:p>
    <w:p>
      <w:pPr>
        <w:jc w:val="both"/>
      </w:pPr>
    </w:p>
    <w:p>
      <w:pPr>
        <w:jc w:val="both"/>
        <w:ind w:firstLine="567"/>
      </w:pPr>
      <w:r>
        <w:rPr/>
        <w:t xml:space="preserve">- Căn cứ Bộ luật Dân sự số 91/2015/QH13 ngày 24 tháng 11 năm 2015;</w:t>
      </w:r>
    </w:p>
    <w:p>
      <w:pPr>
        <w:jc w:val="both"/>
        <w:ind w:firstLine="567"/>
      </w:pPr>
      <w:r>
        <w:rPr/>
        <w:t xml:space="preserve">- Căn cứ Luật Thương mại số 36/2005/QH11 ngày 14 tháng 6 năm 2005;</w:t>
      </w:r>
    </w:p>
    <w:p>
      <w:pPr>
        <w:jc w:val="both"/>
        <w:ind w:firstLine="567"/>
      </w:pPr>
      <w:r>
        <w:rPr/>
        <w:t xml:space="preserve">- Căn cứ Luật Giao dịch điện tử số 20/2023/QH15 ngày 22 tháng 6 năm 2023;</w:t>
      </w:r>
    </w:p>
    <w:p>
      <w:pPr>
        <w:jc w:val="both"/>
        <w:ind w:firstLine="567"/>
      </w:pPr>
      <w:r>
        <w:rPr/>
        <w:t xml:space="preserve">- Căn cứ Luật Đấu thầu số 22/2023/QH15 ngày 23 tháng 6 năm 2023;</w:t>
      </w:r>
    </w:p>
    <w:p>
      <w:pPr>
        <w:jc w:val="both"/>
        <w:ind w:firstLine="567"/>
      </w:pPr>
      <w:r>
        <w:rPr/>
        <w:t xml:space="preserve">- Căn cứ Nghị định số 24/2024/NĐ-CP ngày 27 tháng 02 năm 2024 của Chính phủ quy định chi tiết một số điều và biện pháp thi hành Luật Đấu thầu về lựa chọn nhà thầu;</w:t>
      </w:r>
    </w:p>
    <w:p>
      <w:pPr>
        <w:jc w:val="both"/>
        <w:ind w:firstLine="567"/>
      </w:pPr>
      <w:r>
        <w:rPr/>
        <w:t xml:space="preserve">- Căn cứ Quyết định số {{BidDecision.Number}} ngày {{BidDecision.Date | date}} về việc phê duyệt kết quả lựa chọn nhà thầu;</w:t>
      </w:r>
    </w:p>
    <w:p>
      <w:pPr>
        <w:jc w:val="both"/>
        <w:ind w:firstLine="567"/>
      </w:pPr>
      <w:r>
        <w:rPr/>
        <w:t xml:space="preserve">- Căn cứ hồ sơ mời thầu, hồ sơ dự thầu và biên bản hoàn thiện hợp đồng.</w:t>
      </w:r>
    </w:p>
    <w:p>
      <w:pPr>
        <w:jc w:val="both"/>
        <w:ind w:firstLine="567"/>
      </w:pPr>
      <w:r>
        <w:rPr/>
        <w:t xml:space="preserve">Hôm nay, {{Contract.SignedDate | datetext}}, tại {{Organization.Name}}, chúng tôi gồm:</w:t>
      </w:r>
    </w:p>
    <w:p>
      <w:pPr>
        <w:jc w:val="both"/>
        <w:spacing w:before="120"/>
      </w:pPr>
      <w:r>
        <w:rPr>
          <w:b/>
        </w:rPr>
        <w:t xml:space="preserve">BÊN MUA (Bên A): {{Organization.Name | upper}}</w:t>
      </w:r>
    </w:p>
    <w:p>
      <w:pPr>
        <w:jc w:val="both"/>
        <w:ind w:firstLine="567"/>
      </w:pPr>
      <w:r>
        <w:rPr/>
        <w:t xml:space="preserve">- Địa chỉ: {{Organization.Address}}</w:t>
      </w:r>
    </w:p>
    <w:p>
      <w:pPr>
        <w:jc w:val="both"/>
        <w:ind w:firstLine="567"/>
      </w:pPr>
      <w:r>
        <w:rPr/>
        <w:t xml:space="preserve">- Điện thoại: {{Organization.Phone}}</w:t>
      </w:r>
    </w:p>
    <w:p>
      <w:pPr>
        <w:jc w:val="both"/>
        <w:ind w:firstLine="567"/>
      </w:pPr>
      <w:r>
        <w:rPr/>
        <w:t xml:space="preserve">- Mã số thuế/Mã ĐVQHNS: {{Organization.TaxCode}}</w:t>
      </w:r>
    </w:p>
    <w:p>
      <w:pPr>
        <w:jc w:val="both"/>
        <w:ind w:firstLine="567"/>
      </w:pPr>
      <w:r>
        <w:rPr/>
        <w:t xml:space="preserve">- Tài khoản: {{Organization.TreasuryAccountNumber}} tại {{Organization.TreasuryName}}</w:t>
      </w:r>
    </w:p>
    <w:p>
      <w:pPr>
        <w:jc w:val="both"/>
        <w:ind w:firstLine="567"/>
      </w:pPr>
      <w:r>
        <w:rPr/>
        <w:t xml:space="preserve">- Đại diện: Ông/Bà {{Organization.RepresentativeName}} — Chức vụ: {{Organization.RepresentativeTitle}}</w:t>
      </w:r>
    </w:p>
    <w:p>
      <w:pPr>
        <w:jc w:val="both"/>
        <w:spacing w:before="120"/>
      </w:pPr>
      <w:r>
        <w:rPr>
          <w:b/>
        </w:rPr>
        <w:t xml:space="preserve">BÊN BÁN (Bên B): {{Supplier.Name | upper}}</w:t>
      </w:r>
    </w:p>
    <w:p>
      <w:pPr>
        <w:jc w:val="both"/>
        <w:ind w:firstLine="567"/>
      </w:pPr>
      <w:r>
        <w:rPr/>
        <w:t xml:space="preserve">- Địa chỉ: {{Supplier.Address}}</w:t>
      </w:r>
    </w:p>
    <w:p>
      <w:pPr>
        <w:jc w:val="both"/>
        <w:ind w:firstLine="567"/>
      </w:pPr>
      <w:r>
        <w:rPr/>
        <w:t xml:space="preserve">- Điện thoại: {{Supplier.Phone}} — Email: {{Supplier.Email}}</w:t>
      </w:r>
    </w:p>
    <w:p>
      <w:pPr>
        <w:jc w:val="both"/>
        <w:ind w:firstLine="567"/>
      </w:pPr>
      <w:r>
        <w:rPr/>
        <w:t xml:space="preserve">- Mã số thuế: {{Supplier.TaxCode}}</w:t>
      </w:r>
    </w:p>
    <w:p>
      <w:pPr>
        <w:jc w:val="both"/>
        <w:ind w:firstLine="567"/>
      </w:pPr>
      <w:r>
        <w:rPr/>
        <w:t xml:space="preserve">- Tài khoản: {{Supplier.BankAccountNumber}} tại {{Supplier.BankName}}</w:t>
      </w:r>
    </w:p>
    <w:p>
      <w:pPr>
        <w:jc w:val="both"/>
        <w:ind w:firstLine="567"/>
      </w:pPr>
      <w:r>
        <w:rPr/>
        <w:t xml:space="preserve">- Đại diện: Ông/Bà {{Supplier.RepresentativeName}} — Chức vụ: {{Supplier.RepresentativeTitle}}{{#if Supplier.AuthorizationDocument}} (theo Giấy ủy quyền {{Supplier.AuthorizationDocument}}){{/if}}</w:t>
      </w:r>
    </w:p>
    <w:p>
      <w:pPr>
        <w:jc w:val="both"/>
        <w:ind w:firstLine="567"/>
      </w:pPr>
      <w:r>
        <w:rPr/>
        <w:t xml:space="preserve">Hai bên thỏa thuận ký kết hợp đồng gồm: Phần I — Điều kiện chung, Phần II — Điều kiện cụ thể, Phần III — Bảng giá hợp đồng, với nội dung như sau.</w:t>
      </w:r>
    </w:p>
    <w:p>
      <w:pPr>
        <w:jc w:val="center"/>
        <w:spacing w:before="120"/>
      </w:pPr>
      <w:r>
        <w:rPr>
          <w:b/>
          <w:sz w:val="28"/>
        </w:rPr>
        <w:t xml:space="preserve">PHẦN I. ĐIỀU KIỆN CHUNG CỦA HỢP ĐỒNG</w:t>
      </w:r>
    </w:p>
    <w:p>
      <w:pPr>
        <w:jc w:val="both"/>
      </w:pPr>
    </w:p>
    <w:p>
      <w:pPr>
        <w:jc w:val="both"/>
        <w:spacing w:before="120"/>
      </w:pPr>
      <w:r>
        <w:rPr>
          <w:b/>
        </w:rPr>
        <w:t xml:space="preserve">1. Định nghĩa</w:t>
      </w:r>
    </w:p>
    <w:p>
      <w:pPr>
        <w:jc w:val="both"/>
        <w:ind w:firstLine="567"/>
      </w:pPr>
      <w:r>
        <w:rPr/>
        <w:t xml:space="preserve">Trong hợp đồng này, “Chủ đầu tư” là Bên A; “Nhà thầu” là Bên B; “Hàng hóa” là các mặt hàng nêu tại Phần III; “Cổng” là Cổng Quản lý &amp; Thanh toán Mua sắm Hàng hóa Trực tuyến của Chủ đầu tư.</w:t>
      </w:r>
    </w:p>
    <w:p>
      <w:pPr>
        <w:jc w:val="both"/>
        <w:spacing w:before="120"/>
      </w:pPr>
      <w:r>
        <w:rPr>
          <w:b/>
        </w:rPr>
        <w:t xml:space="preserve">2. Hồ sơ hợp đồng và thứ tự ưu tiên</w:t>
      </w:r>
    </w:p>
    <w:p>
      <w:pPr>
        <w:jc w:val="both"/>
        <w:ind w:firstLine="567"/>
      </w:pPr>
      <w:r>
        <w:rPr/>
        <w:t xml:space="preserve">Hồ sơ hợp đồng gồm theo thứ tự ưu tiên: (a) văn bản hợp đồng; (b) biên bản hoàn thiện hợp đồng; (c) quyết định phê duyệt kết quả lựa chọn nhà thầu; (d) Điều kiện cụ thể; (đ) Điều kiện chung; (e) hồ sơ dự thầu; (g) hồ sơ mời thầu; (h) các tài liệu kèm theo khác.</w:t>
      </w:r>
    </w:p>
    <w:p>
      <w:pPr>
        <w:jc w:val="both"/>
        <w:spacing w:before="120"/>
      </w:pPr>
      <w:r>
        <w:rPr>
          <w:b/>
        </w:rPr>
        <w:t xml:space="preserve">3. Luật và ngôn ngữ</w:t>
      </w:r>
    </w:p>
    <w:p>
      <w:pPr>
        <w:jc w:val="both"/>
        <w:ind w:firstLine="567"/>
      </w:pPr>
      <w:r>
        <w:rPr/>
        <w:t xml:space="preserve">Hợp đồng chịu sự điều chỉnh của pháp luật Việt Nam; ngôn ngữ của hợp đồng là tiếng Việt.</w:t>
      </w:r>
    </w:p>
    <w:p>
      <w:pPr>
        <w:jc w:val="both"/>
        <w:spacing w:before="120"/>
      </w:pPr>
      <w:r>
        <w:rPr>
          <w:b/>
        </w:rPr>
        <w:t xml:space="preserve">4. Bảo đảm thực hiện hợp đồng</w:t>
      </w:r>
    </w:p>
    <w:p>
      <w:pPr>
        <w:jc w:val="both"/>
        <w:ind w:firstLine="567"/>
      </w:pPr>
      <w:r>
        <w:rPr/>
        <w:t xml:space="preserve">Nhà thầu nộp bảo đảm thực hiện hợp đồng theo quy định tại Điều kiện cụ thể trước thời điểm hợp đồng có hiệu lực.</w:t>
      </w:r>
    </w:p>
    <w:p>
      <w:pPr>
        <w:jc w:val="both"/>
        <w:spacing w:before="120"/>
      </w:pPr>
      <w:r>
        <w:rPr>
          <w:b/>
        </w:rPr>
        <w:t xml:space="preserve">5. Phạm vi cung cấp, tiến độ và giao hàng</w:t>
      </w:r>
    </w:p>
    <w:p>
      <w:pPr>
        <w:jc w:val="both"/>
        <w:ind w:firstLine="567"/>
      </w:pPr>
      <w:r>
        <w:rPr/>
        <w:t xml:space="preserve">Phạm vi cung cấp nêu tại Phần III. Chủ đầu tư gọi hàng theo từng đợt trên Cổng; Nhà thầu xác nhận và giao hàng theo tiến độ tại Điều kiện cụ thể.</w:t>
      </w:r>
    </w:p>
    <w:p>
      <w:pPr>
        <w:jc w:val="both"/>
        <w:spacing w:before="120"/>
      </w:pPr>
      <w:r>
        <w:rPr>
          <w:b/>
        </w:rPr>
        <w:t xml:space="preserve">6. Nghiệm thu, thanh toán</w:t>
      </w:r>
    </w:p>
    <w:p>
      <w:pPr>
        <w:jc w:val="both"/>
        <w:ind w:firstLine="567"/>
      </w:pPr>
      <w:r>
        <w:rPr/>
        <w:t xml:space="preserve">Nghiệm thu theo kỳ trên cơ sở phiếu nhập kho đã ký; thanh toán theo biên bản xác định giá trị khối lượng hoàn thành và điều khoản tại Điều kiện cụ thể.</w:t>
      </w:r>
    </w:p>
    <w:p>
      <w:pPr>
        <w:jc w:val="both"/>
        <w:spacing w:before="120"/>
      </w:pPr>
      <w:r>
        <w:rPr>
          <w:b/>
        </w:rPr>
        <w:t xml:space="preserve">7. Điều chỉnh, bổ sung hợp đồng</w:t>
      </w:r>
    </w:p>
    <w:p>
      <w:pPr>
        <w:jc w:val="both"/>
        <w:ind w:firstLine="567"/>
      </w:pPr>
      <w:r>
        <w:rPr/>
        <w:t xml:space="preserve">Việc điều chỉnh khối lượng, giá, thời gian thực hiện được lập thành phụ lục hợp đồng và ký số theo quy trình như hợp đồng.</w:t>
      </w:r>
    </w:p>
    <w:p>
      <w:pPr>
        <w:jc w:val="both"/>
        <w:spacing w:before="120"/>
      </w:pPr>
      <w:r>
        <w:rPr>
          <w:b/>
        </w:rPr>
        <w:t xml:space="preserve">8. Phạt vi phạm, chấm dứt hợp đồng, bất khả kháng, giải quyết tranh chấp</w:t>
      </w:r>
    </w:p>
    <w:p>
      <w:pPr>
        <w:jc w:val="both"/>
        <w:ind w:firstLine="567"/>
      </w:pPr>
      <w:r>
        <w:rPr/>
        <w:t xml:space="preserve">Thực hiện theo Điều kiện cụ thể và quy định của Bộ luật Dân sự, Luật Thương mại, Luật Đấu thầu.</w:t>
      </w:r>
    </w:p>
    <w:p>
      <w:pPr>
        <w:jc w:val="center"/>
        <w:spacing w:before="120"/>
      </w:pPr>
      <w:r>
        <w:rPr>
          <w:b/>
          <w:sz w:val="28"/>
        </w:rPr>
        <w:t xml:space="preserve">PHẦN II. ĐIỀU KIỆN CỤ THỂ CỦA HỢP ĐỒNG</w:t>
      </w:r>
    </w:p>
    <w:p>
      <w:pPr>
        <w:jc w:val="both"/>
      </w:pP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40" w:type="dxa"/>
          <w:bottom w:w="40" w:type="dxa"/>
        </w:tblCellMar>
      </w:tblPr>
      <w:tblGrid>
        <w:gridCol w:w="2880"/>
        <w:gridCol w:w="6120"/>
      </w:tblGrid>
      <w:tr>
        <w:tc>
          <w:tcPr>
            <w:tcW w:w="1600" w:type="pct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 xml:space="preserve">ĐKC 4 — Bảo đảm thực hiện hợp đồng</w:t>
            </w:r>
          </w:p>
        </w:tc>
        <w:tc>
          <w:tcPr>
            <w:tcW w:w="3400" w:type="pct"/>
            <w:vAlign w:val="center"/>
          </w:tcPr>
          <w:p>
            <w:pPr>
              <w:jc w:val="both"/>
            </w:pPr>
            <w:r>
              <w:rPr>
                <w:sz w:val="22"/>
              </w:rPr>
              <w:t xml:space="preserve">{{Contract.GuaranteeText}}</w:t>
            </w:r>
          </w:p>
        </w:tc>
      </w:tr>
      <w:tr>
        <w:tc>
          <w:tcPr>
            <w:tcW w:w="1600" w:type="pct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 xml:space="preserve">ĐKC 5 — Thời gian thực hiện</w:t>
            </w:r>
          </w:p>
        </w:tc>
        <w:tc>
          <w:tcPr>
            <w:tcW w:w="3400" w:type="pct"/>
            <w:vAlign w:val="center"/>
          </w:tcPr>
          <w:p>
            <w:pPr>
              <w:jc w:val="both"/>
            </w:pPr>
            <w:r>
              <w:rPr>
                <w:sz w:val="22"/>
              </w:rPr>
              <w:t xml:space="preserve">{{Contract.Duration}}, từ {{Contract.EffectiveDate | date}} đến {{Contract.ExpiryDate | date}}</w:t>
            </w:r>
          </w:p>
        </w:tc>
      </w:tr>
      <w:tr>
        <w:tc>
          <w:tcPr>
            <w:tcW w:w="1600" w:type="pct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 xml:space="preserve">ĐKC 5 — Giao hàng</w:t>
            </w:r>
          </w:p>
        </w:tc>
        <w:tc>
          <w:tcPr>
            <w:tcW w:w="3400" w:type="pct"/>
            <w:vAlign w:val="center"/>
          </w:tcPr>
          <w:p>
            <w:pPr>
              <w:jc w:val="both"/>
            </w:pPr>
            <w:r>
              <w:rPr>
                <w:sz w:val="22"/>
              </w:rPr>
              <w:t xml:space="preserve">{{Contract.DeliveryTerms}}</w:t>
            </w:r>
          </w:p>
        </w:tc>
      </w:tr>
      <w:tr>
        <w:tc>
          <w:tcPr>
            <w:tcW w:w="1600" w:type="pct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 xml:space="preserve">ĐKC 6 — Thanh toán</w:t>
            </w:r>
          </w:p>
        </w:tc>
        <w:tc>
          <w:tcPr>
            <w:tcW w:w="3400" w:type="pct"/>
            <w:vAlign w:val="center"/>
          </w:tcPr>
          <w:p>
            <w:pPr>
              <w:jc w:val="both"/>
            </w:pPr>
            <w:r>
              <w:rPr>
                <w:sz w:val="22"/>
              </w:rPr>
              <w:t xml:space="preserve">{{Contract.PaymentTerms}}</w:t>
            </w:r>
          </w:p>
        </w:tc>
      </w:tr>
      <w:tr>
        <w:tc>
          <w:tcPr>
            <w:tcW w:w="1600" w:type="pct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 xml:space="preserve">ĐKC 6 — Bảo hành, hạn dùng</w:t>
            </w:r>
          </w:p>
        </w:tc>
        <w:tc>
          <w:tcPr>
            <w:tcW w:w="3400" w:type="pct"/>
            <w:vAlign w:val="center"/>
          </w:tcPr>
          <w:p>
            <w:pPr>
              <w:jc w:val="both"/>
            </w:pPr>
            <w:r>
              <w:rPr>
                <w:sz w:val="22"/>
              </w:rPr>
              <w:t xml:space="preserve">{{Contract.WarrantyTerms}}</w:t>
            </w:r>
          </w:p>
        </w:tc>
      </w:tr>
      <w:tr>
        <w:tc>
          <w:tcPr>
            <w:tcW w:w="1600" w:type="pct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 xml:space="preserve">Nguồn vốn</w:t>
            </w:r>
          </w:p>
        </w:tc>
        <w:tc>
          <w:tcPr>
            <w:tcW w:w="3400" w:type="pct"/>
            <w:vAlign w:val="center"/>
          </w:tcPr>
          <w:p>
            <w:pPr>
              <w:jc w:val="both"/>
            </w:pPr>
            <w:r>
              <w:rPr>
                <w:sz w:val="22"/>
              </w:rPr>
              <w:t xml:space="preserve">{{Contract.FundingSource}}</w:t>
            </w:r>
          </w:p>
        </w:tc>
      </w:tr>
      <w:tr>
        <w:tc>
          <w:tcPr>
            <w:tcW w:w="1600" w:type="pct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 xml:space="preserve">Loại hợp đồng</w:t>
            </w:r>
          </w:p>
        </w:tc>
        <w:tc>
          <w:tcPr>
            <w:tcW w:w="3400" w:type="pct"/>
            <w:vAlign w:val="center"/>
          </w:tcPr>
          <w:p>
            <w:pPr>
              <w:jc w:val="both"/>
            </w:pPr>
            <w:r>
              <w:rPr>
                <w:sz w:val="22"/>
              </w:rPr>
              <w:t xml:space="preserve">Hợp đồng theo đơn giá cố định</w:t>
            </w:r>
          </w:p>
        </w:tc>
      </w:tr>
      <w:tr>
        <w:tc>
          <w:tcPr>
            <w:tcW w:w="1600" w:type="pct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 xml:space="preserve">ĐKC 8 — Phạt vi phạm</w:t>
            </w:r>
          </w:p>
        </w:tc>
        <w:tc>
          <w:tcPr>
            <w:tcW w:w="3400" w:type="pct"/>
            <w:vAlign w:val="center"/>
          </w:tcPr>
          <w:p>
            <w:pPr>
              <w:jc w:val="both"/>
            </w:pPr>
            <w:r>
              <w:rPr>
                <w:sz w:val="22"/>
              </w:rPr>
              <w:t xml:space="preserve">8% giá trị phần nghĩa vụ hợp đồng bị vi phạm</w:t>
            </w:r>
          </w:p>
        </w:tc>
      </w:tr>
    </w:tbl>
    <w:p>
      <w:pPr>
        <w:jc w:val="both"/>
      </w:pPr>
    </w:p>
    <w:p>
      <w:pPr>
        <w:jc w:val="center"/>
        <w:spacing w:before="120"/>
      </w:pPr>
      <w:r>
        <w:rPr>
          <w:b/>
          <w:sz w:val="28"/>
        </w:rPr>
        <w:t xml:space="preserve">PHẦN III. BẢNG GIÁ HỢP ĐỒNG</w:t>
      </w:r>
    </w:p>
    <w:p>
      <w:pPr>
        <w:jc w:val="both"/>
      </w:pP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40" w:type="dxa"/>
          <w:bottom w:w="40" w:type="dxa"/>
        </w:tblCellMar>
      </w:tblPr>
      <w:tblGrid>
        <w:gridCol w:w="450"/>
        <w:gridCol w:w="1440"/>
        <w:gridCol w:w="1170"/>
        <w:gridCol w:w="1080"/>
        <w:gridCol w:w="540"/>
        <w:gridCol w:w="1080"/>
        <w:gridCol w:w="810"/>
        <w:gridCol w:w="720"/>
        <w:gridCol w:w="720"/>
        <w:gridCol w:w="990"/>
      </w:tblGrid>
      <w:tr>
        <w:trPr>
          <w:tblHeader/>
        </w:trPr>
        <w:tc>
          <w:tcPr>
            <w:tcW w:w="25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STT</w:t>
            </w:r>
          </w:p>
        </w:tc>
        <w:tc>
          <w:tcPr>
            <w:tcW w:w="8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Tên thuốc</w:t>
            </w:r>
          </w:p>
        </w:tc>
        <w:tc>
          <w:tcPr>
            <w:tcW w:w="65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Hoạt chất</w:t>
            </w:r>
          </w:p>
        </w:tc>
        <w:tc>
          <w:tcPr>
            <w:tcW w:w="6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Quy cách</w:t>
            </w:r>
          </w:p>
        </w:tc>
        <w:tc>
          <w:tcPr>
            <w:tcW w:w="3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ĐVT</w:t>
            </w:r>
          </w:p>
        </w:tc>
        <w:tc>
          <w:tcPr>
            <w:tcW w:w="6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Hãng, nước SX</w:t>
            </w:r>
          </w:p>
        </w:tc>
        <w:tc>
          <w:tcPr>
            <w:tcW w:w="45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SĐK/GPNK</w:t>
            </w:r>
          </w:p>
        </w:tc>
        <w:tc>
          <w:tcPr>
            <w:tcW w:w="4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Số lượng</w:t>
            </w:r>
          </w:p>
        </w:tc>
        <w:tc>
          <w:tcPr>
            <w:tcW w:w="4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Đơn giá</w:t>
            </w:r>
          </w:p>
        </w:tc>
        <w:tc>
          <w:tcPr>
            <w:tcW w:w="55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Thành tiền</w:t>
            </w:r>
          </w:p>
        </w:tc>
      </w:tr>
      <w:tr>
        <w:tc>
          <w:tcPr>
            <w:tcW w:w="250" w:type="pct"/>
            <w:vAlign w:val="center"/>
          </w:tcPr>
          <w:p>
            <w:pPr>
              <w:jc w:val="center"/>
            </w:pPr>
            <w:r>
              <w:rPr>
                <w:sz w:val="22"/>
              </w:rPr>
              <w:t xml:space="preserve">{{#Items}}{{@index}}</w:t>
            </w:r>
          </w:p>
        </w:tc>
        <w:tc>
          <w:tcPr>
            <w:tcW w:w="800" w:type="pct"/>
            <w:vAlign w:val="center"/>
          </w:tcPr>
          <w:p>
            <w:pPr>
              <w:jc w:val="left"/>
            </w:pPr>
            <w:r>
              <w:rPr>
                <w:sz w:val="22"/>
              </w:rPr>
              <w:t xml:space="preserve">{{Name}}</w:t>
            </w:r>
          </w:p>
        </w:tc>
        <w:tc>
          <w:tcPr>
            <w:tcW w:w="650" w:type="pct"/>
            <w:vAlign w:val="center"/>
          </w:tcPr>
          <w:p>
            <w:pPr>
              <w:jc w:val="left"/>
            </w:pPr>
            <w:r>
              <w:rPr>
                <w:sz w:val="22"/>
              </w:rPr>
              <w:t xml:space="preserve">{{ActiveIngredient}}</w:t>
            </w:r>
          </w:p>
        </w:tc>
        <w:tc>
          <w:tcPr>
            <w:tcW w:w="600" w:type="pct"/>
            <w:vAlign w:val="center"/>
          </w:tcPr>
          <w:p>
            <w:pPr>
              <w:jc w:val="left"/>
            </w:pPr>
            <w:r>
              <w:rPr>
                <w:sz w:val="22"/>
              </w:rPr>
              <w:t xml:space="preserve">{{Specification}}</w:t>
            </w:r>
          </w:p>
        </w:tc>
        <w:tc>
          <w:tcPr>
            <w:tcW w:w="300" w:type="pct"/>
            <w:vAlign w:val="center"/>
          </w:tcPr>
          <w:p>
            <w:pPr>
              <w:jc w:val="center"/>
            </w:pPr>
            <w:r>
              <w:rPr>
                <w:sz w:val="22"/>
              </w:rPr>
              <w:t xml:space="preserve">{{Unit}}</w:t>
            </w:r>
          </w:p>
        </w:tc>
        <w:tc>
          <w:tcPr>
            <w:tcW w:w="600" w:type="pct"/>
            <w:vAlign w:val="center"/>
          </w:tcPr>
          <w:p>
            <w:pPr>
              <w:jc w:val="left"/>
            </w:pPr>
            <w:r>
              <w:rPr>
                <w:sz w:val="22"/>
              </w:rPr>
              <w:t xml:space="preserve">{{Manufacturer}}, {{Country}}</w:t>
            </w:r>
          </w:p>
        </w:tc>
        <w:tc>
          <w:tcPr>
            <w:tcW w:w="450" w:type="pct"/>
            <w:vAlign w:val="center"/>
          </w:tcPr>
          <w:p>
            <w:pPr>
              <w:jc w:val="left"/>
            </w:pPr>
            <w:r>
              <w:rPr>
                <w:sz w:val="22"/>
              </w:rPr>
              <w:t xml:space="preserve">{{RegistrationNumber}}</w:t>
            </w:r>
          </w:p>
        </w:tc>
        <w:tc>
          <w:tcPr>
            <w:tcW w:w="40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{{Quantity | number}}</w:t>
            </w:r>
          </w:p>
        </w:tc>
        <w:tc>
          <w:tcPr>
            <w:tcW w:w="40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{{UnitPrice | money}}</w:t>
            </w:r>
          </w:p>
        </w:tc>
        <w:tc>
          <w:tcPr>
            <w:tcW w:w="55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{{Amount | money}}{{/Items}}</w:t>
            </w:r>
          </w:p>
        </w:tc>
      </w:tr>
      <w:tr>
        <w:tc>
          <w:tcPr>
            <w:tcW w:w="4450" w:type="pct"/>
            <w:vAlign w:val="center"/>
            <w:gridSpan w:val="9"/>
          </w:tcPr>
          <w:p>
            <w:pPr>
              <w:jc w:val="center"/>
            </w:pPr>
            <w:r>
              <w:rPr>
                <w:b/>
                <w:sz w:val="22"/>
              </w:rPr>
              <w:t xml:space="preserve">Tổng cộng (đã bao gồm thuế GTGT)</w:t>
            </w:r>
          </w:p>
        </w:tc>
        <w:tc>
          <w:tcPr>
            <w:tcW w:w="550" w:type="pct"/>
            <w:vAlign w:val="center"/>
          </w:tcPr>
          <w:p>
            <w:pPr>
              <w:jc w:val="right"/>
            </w:pPr>
            <w:r>
              <w:rPr>
                <w:b/>
                <w:sz w:val="22"/>
              </w:rPr>
              <w:t xml:space="preserve">{{Contract.TotalAmount | money}}</w:t>
            </w:r>
          </w:p>
        </w:tc>
      </w:tr>
    </w:tbl>
    <w:p>
      <w:pPr>
        <w:jc w:val="both"/>
      </w:pPr>
    </w:p>
    <w:p>
      <w:pPr>
        <w:jc w:val="both"/>
        <w:ind w:firstLine="567"/>
      </w:pPr>
      <w:r>
        <w:rPr>
          <w:i/>
        </w:rPr>
        <w:t xml:space="preserve">Bằng chữ: {{Contract.TotalAmount | words}}.</w:t>
      </w:r>
    </w:p>
    <w:p>
      <w:pPr>
        <w:jc w:val="both"/>
      </w:pPr>
    </w:p>
    <w:tbl>
      <w:tblPr>
        <w:tblW w:w="5000" w:type="pct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500"/>
        <w:gridCol w:w="4500"/>
      </w:tblGrid>
      <w:tr>
        <w:trPr>
          <w:cantSplit/>
        </w:trPr>
        <w:tc>
          <w:tcPr>
            <w:tcW w:w="2500" w:type="pct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ĐẠI DIỆN BÊN B</w:t>
            </w:r>
          </w:p>
          <w:p>
            <w:pPr>
              <w:jc w:val="center"/>
            </w:pPr>
            <w:r>
              <w:rPr>
                <w:i/>
              </w:rPr>
              <w:t xml:space="preserve">(Ký số, ghi rõ họ tên)</w:t>
            </w:r>
          </w:p>
          <w:p>
            <w:pPr>
              <w:jc w:val="center"/>
            </w:pPr>
            <w:r>
              <w:rPr/>
              <w:t xml:space="preserve">{{SIG_SUPPLIER}}</w:t>
            </w: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center"/>
            </w:pPr>
            <w:r>
              <w:rPr>
                <w:b/>
              </w:rPr>
              <w:t xml:space="preserve">{{Supplier.RepresentativeName}}</w:t>
            </w:r>
          </w:p>
        </w:tc>
        <w:tc>
          <w:tcPr>
            <w:tcW w:w="2500" w:type="pct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ĐẠI DIỆN BÊN A</w:t>
            </w:r>
          </w:p>
          <w:p>
            <w:pPr>
              <w:jc w:val="center"/>
            </w:pPr>
            <w:r>
              <w:rPr>
                <w:i/>
              </w:rPr>
              <w:t xml:space="preserve">(Ký số, đóng dấu điện tử)</w:t>
            </w:r>
          </w:p>
          <w:p>
            <w:pPr>
              <w:jc w:val="center"/>
            </w:pPr>
            <w:r>
              <w:rPr/>
              <w:t xml:space="preserve">{{SIG_DIRECTOR}}</w:t>
            </w: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center"/>
            </w:pPr>
            <w:r>
              <w:rPr>
                <w:b/>
              </w:rPr>
              <w:t xml:space="preserve">{{Organization.RepresentativeName}}</w:t>
            </w:r>
          </w:p>
        </w:tc>
      </w:tr>
    </w:tbl>
    <w:p>
      <w:pPr>
        <w:jc w:val="right"/>
      </w:pPr>
      <w:r>
        <w:rPr/>
        <w:t xml:space="preserve">{{SIG_CLERK_SEAL}}</w:t>
      </w:r>
    </w:p>
    <w:p>
      <w:pPr>
        <w:jc w:val="left"/>
      </w:pPr>
      <w:r>
        <w:rPr>
          <w:i/>
        </w:rPr>
        <w:t xml:space="preserve">Kế toán (ký nháy): {{SIG_ACCOUNTANT_INITIAL}}</w:t>
      </w:r>
    </w:p>
    <w:p>
      <w:pPr>
        <w:jc w:val="both"/>
      </w:pPr>
    </w:p>
    <w:sectPr>
      <w:pgSz w:w="11906" w:h="16838"/>
      <w:pgMar w:top="1134" w:right="851" w:bottom="1134" w:left="1701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6"/>
        <w:szCs w:val="26"/>
        <w:lang w:val="vi-VN"/>
      </w:rPr>
    </w:rPrDefault>
    <w:pPrDefault>
      <w:pPr>
        <w:spacing w:after="60" w:line="276" w:lineRule="auto"/>
      </w:pPr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292020ee6bd4be0" /></Relationships>
</file>