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C14" w:rsidRDefault="00BF1699">
      <w:r>
        <w:t>Mr. Bradlaugh, who with Mrs. Besant, was lately committed for trial at the Central Criminal Court on a charge of having published a book with aa</w:t>
      </w:r>
      <w:bookmarkStart w:id="0" w:name="_GoBack"/>
      <w:bookmarkEnd w:id="0"/>
      <w:r>
        <w:t xml:space="preserve"> immoral tendency, on Friday applied to the Judges of the Queen’s Bench for a writ of certiorari to remove the case into that division. Their lordships reserved judgement.   </w:t>
      </w:r>
    </w:p>
    <w:sectPr w:rsidR="00801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CE2"/>
    <w:rsid w:val="005C7CE2"/>
    <w:rsid w:val="00801C14"/>
    <w:rsid w:val="00B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Iqbal</dc:creator>
  <cp:keywords/>
  <dc:description/>
  <cp:lastModifiedBy>Asif Iqbal</cp:lastModifiedBy>
  <cp:revision>2</cp:revision>
  <dcterms:created xsi:type="dcterms:W3CDTF">2019-01-07T22:40:00Z</dcterms:created>
  <dcterms:modified xsi:type="dcterms:W3CDTF">2019-01-07T22:44:00Z</dcterms:modified>
</cp:coreProperties>
</file>