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1AD" w:rsidRDefault="00DA1825" w:rsidP="00DA1825">
      <w:pPr>
        <w:jc w:val="center"/>
        <w:rPr>
          <w:rFonts w:ascii="Times New Roman" w:hAnsi="Times New Roman" w:cs="Times New Roman"/>
          <w:b/>
          <w:sz w:val="24"/>
          <w:szCs w:val="24"/>
        </w:rPr>
      </w:pPr>
      <w:proofErr w:type="gramStart"/>
      <w:r w:rsidRPr="00DA1825">
        <w:rPr>
          <w:rFonts w:ascii="Times New Roman" w:hAnsi="Times New Roman" w:cs="Times New Roman"/>
          <w:b/>
          <w:sz w:val="24"/>
          <w:szCs w:val="24"/>
        </w:rPr>
        <w:t>THE BRADLAUGH-BESANT CASE.</w:t>
      </w:r>
      <w:proofErr w:type="gramEnd"/>
    </w:p>
    <w:p w:rsidR="00DA1825" w:rsidRPr="00DA1825" w:rsidRDefault="00DA1825" w:rsidP="00DA1825">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last week,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accompanied by Mrs. Besant, applied for a rule calling on the prosecution to show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why the judgment roll in the recent prosecution should not be amended in a number of technical points. The Lord Chief Justice, while observing that the points </w:t>
      </w:r>
      <w:proofErr w:type="gramStart"/>
      <w:r>
        <w:rPr>
          <w:rFonts w:ascii="Times New Roman" w:hAnsi="Times New Roman" w:cs="Times New Roman"/>
          <w:sz w:val="24"/>
          <w:szCs w:val="24"/>
        </w:rPr>
        <w:t>raised</w:t>
      </w:r>
      <w:proofErr w:type="gramEnd"/>
      <w:r>
        <w:rPr>
          <w:rFonts w:ascii="Times New Roman" w:hAnsi="Times New Roman" w:cs="Times New Roman"/>
          <w:sz w:val="24"/>
          <w:szCs w:val="24"/>
        </w:rPr>
        <w:t xml:space="preserve"> appeared to him mere cobwebs, granted the rule. In the same court, Alfred Thomas Wilson, charged under the Extradition Treaty with extensive robbery of bonds in Switzerland, was discharged, on the ground that he was a British subject. </w:t>
      </w:r>
    </w:p>
    <w:sectPr w:rsidR="00DA1825" w:rsidRPr="00DA1825" w:rsidSect="00FE3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79CD"/>
    <w:rsid w:val="003379CD"/>
    <w:rsid w:val="00DA1825"/>
    <w:rsid w:val="00FE3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2019-02-09T09:32:00Z</dcterms:created>
  <dcterms:modified xsi:type="dcterms:W3CDTF">2019-02-09T09:36:00Z</dcterms:modified>
</cp:coreProperties>
</file>