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F9" w:rsidRPr="00E24E19" w:rsidRDefault="00E24E19" w:rsidP="00E24E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E19">
        <w:rPr>
          <w:rFonts w:ascii="Times New Roman" w:hAnsi="Times New Roman" w:cs="Times New Roman"/>
          <w:b/>
          <w:sz w:val="24"/>
          <w:szCs w:val="24"/>
        </w:rPr>
        <w:t>THE CHARGE AGAINST MR BRADLAUGH</w:t>
      </w:r>
    </w:p>
    <w:p w:rsidR="00E24E19" w:rsidRPr="00E24E19" w:rsidRDefault="00E24E19" w:rsidP="00E24E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applied to the Queen’s Bench for a division on behalf of himself and Mrs. Besant today (Friday), that any indictment which might be found against them should be removed to that court, and tried by a special jury, on the ground of the prejudice which had been excited. The Lord Chief Justice said they would examine the book and give their decision. </w:t>
      </w:r>
    </w:p>
    <w:sectPr w:rsidR="00E24E19" w:rsidRPr="00E24E19" w:rsidSect="0066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3EC"/>
    <w:rsid w:val="000563EC"/>
    <w:rsid w:val="006624F9"/>
    <w:rsid w:val="00E2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2018-12-28T15:05:00Z</dcterms:created>
  <dcterms:modified xsi:type="dcterms:W3CDTF">2018-12-28T15:08:00Z</dcterms:modified>
</cp:coreProperties>
</file>