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9398" w14:textId="0FF6E45D" w:rsidR="004C0F76" w:rsidRPr="00E82AC5" w:rsidRDefault="00E82AC5" w:rsidP="00E82AC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AN UNPROMISING PROSPECT.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moved in the Queen’s Bench Division, on the 2</w:t>
      </w:r>
      <w:r w:rsidRPr="00E82AC5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inst., on behalf of himself and Mrs. Besant, for a rule </w:t>
      </w:r>
      <w:proofErr w:type="gramStart"/>
      <w:r>
        <w:rPr>
          <w:rFonts w:ascii="Times New Roman" w:hAnsi="Times New Roman"/>
          <w:sz w:val="24"/>
          <w:szCs w:val="24"/>
        </w:rPr>
        <w:t>in regard to</w:t>
      </w:r>
      <w:proofErr w:type="gramEnd"/>
      <w:r>
        <w:rPr>
          <w:rFonts w:ascii="Times New Roman" w:hAnsi="Times New Roman"/>
          <w:sz w:val="24"/>
          <w:szCs w:val="24"/>
        </w:rPr>
        <w:t xml:space="preserve"> certain irregularities in their trial and sentence. The Lord Chief Justice said that if it turned out that there had been irregularity as to which they would hear the Solicitor-General they could set aside the proceedings, have everything done regularly, and pass sentence again, if the defendants thought it worth while that that course should be ado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pted. A rule nisi was granted.</w:t>
      </w:r>
    </w:p>
    <w:sectPr w:rsidR="004C0F76" w:rsidRPr="00E82AC5" w:rsidSect="00E82AC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76"/>
    <w:rsid w:val="004C0F76"/>
    <w:rsid w:val="00E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354D"/>
  <w15:chartTrackingRefBased/>
  <w15:docId w15:val="{DA24AE99-650F-4B8C-B720-F278B933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2019-01-16T08:21:00Z</dcterms:created>
  <dcterms:modified xsi:type="dcterms:W3CDTF">2019-01-16T08:26:00Z</dcterms:modified>
</cp:coreProperties>
</file>