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67A" w:rsidRDefault="00F64C46" w:rsidP="00F64C4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CHARGE AGAI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NST MR. BRADLAUGH.</w:t>
      </w:r>
    </w:p>
    <w:p w:rsidR="00F64C46" w:rsidRPr="00F64C46" w:rsidRDefault="00F64C46" w:rsidP="00F64C46">
      <w:pPr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ab/>
        <w:t xml:space="preserve">In the Court of Queen’s Bench yesterday, Lord Chief Justice Cockburn stated that in the case of the Queen v.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Besant a writ of certiorari would be granted for its removal from the Central Criminal Court into the Queen’s Bench with a special jury.</w:t>
      </w:r>
    </w:p>
    <w:sectPr w:rsidR="00F64C46" w:rsidRPr="00F6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7A"/>
    <w:rsid w:val="00D0667A"/>
    <w:rsid w:val="00F6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4C03"/>
  <w15:chartTrackingRefBased/>
  <w15:docId w15:val="{E29361D9-691E-4CDB-9505-72CD1D07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2019-02-11T09:02:00Z</dcterms:created>
  <dcterms:modified xsi:type="dcterms:W3CDTF">2019-02-11T09:04:00Z</dcterms:modified>
</cp:coreProperties>
</file>