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AD7" w:rsidRDefault="00F35BB5" w:rsidP="00F35B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BB5">
        <w:rPr>
          <w:rFonts w:ascii="Times New Roman" w:hAnsi="Times New Roman" w:cs="Times New Roman"/>
          <w:b/>
          <w:bCs/>
          <w:sz w:val="28"/>
          <w:szCs w:val="28"/>
        </w:rPr>
        <w:t>MR. BRADLAUGH’S CASE</w:t>
      </w:r>
    </w:p>
    <w:p w:rsidR="00F35BB5" w:rsidRDefault="00F35BB5" w:rsidP="00F35B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applied to the Queen’s Bench, on Wednesday, to fix a day for the trial of himself and Mrs. Besant. The court agreed to fix the earliest day after the 12</w:t>
      </w:r>
      <w:r w:rsidRPr="00F35B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June, when the Lord Chief Justice can preside.</w:t>
      </w:r>
    </w:p>
    <w:p w:rsidR="00F35BB5" w:rsidRPr="00F35BB5" w:rsidRDefault="00F35BB5" w:rsidP="00F35B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Thursday, the Solicitor-General applied in the Queen’s Bench Division, to call attention to the sale of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book, which might be doing serious injury to thousands. Their Lordships said they could not do anything, as the matter was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judice</w:t>
      </w:r>
      <w:proofErr w:type="spellEnd"/>
      <w:r>
        <w:rPr>
          <w:rFonts w:ascii="Times New Roman" w:hAnsi="Times New Roman" w:cs="Times New Roman"/>
          <w:sz w:val="24"/>
          <w:szCs w:val="24"/>
        </w:rPr>
        <w:t>, but the Lord Chief Justice would be prepared to hear it on the 18</w:t>
      </w:r>
      <w:r w:rsidRPr="00F35B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June, and if the Crown was successful, the conduct of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be considered </w:t>
      </w:r>
      <w:proofErr w:type="gramStart"/>
      <w:r>
        <w:rPr>
          <w:rFonts w:ascii="Times New Roman" w:hAnsi="Times New Roman" w:cs="Times New Roman"/>
          <w:sz w:val="24"/>
          <w:szCs w:val="24"/>
        </w:rPr>
        <w:t>in reference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sale of the book.</w:t>
      </w:r>
      <w:bookmarkStart w:id="0" w:name="_GoBack"/>
      <w:bookmarkEnd w:id="0"/>
    </w:p>
    <w:sectPr w:rsidR="00F35BB5" w:rsidRPr="00F3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D7"/>
    <w:rsid w:val="00AD5AD7"/>
    <w:rsid w:val="00F3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0075"/>
  <w15:chartTrackingRefBased/>
  <w15:docId w15:val="{E92087AE-501A-493C-96B0-1B3E2319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2019-02-11T09:09:00Z</dcterms:created>
  <dcterms:modified xsi:type="dcterms:W3CDTF">2019-02-11T09:13:00Z</dcterms:modified>
</cp:coreProperties>
</file>