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8F" w:rsidRPr="000B0876" w:rsidRDefault="00C719C3" w:rsidP="000B0876">
      <w:pPr>
        <w:jc w:val="center"/>
        <w:rPr>
          <w:rFonts w:ascii="Arial" w:hAnsi="Arial" w:cs="Arial"/>
          <w:sz w:val="32"/>
          <w:szCs w:val="32"/>
        </w:rPr>
      </w:pPr>
      <w:r w:rsidRPr="000B0876">
        <w:rPr>
          <w:rFonts w:ascii="Arial" w:hAnsi="Arial" w:cs="Arial"/>
          <w:sz w:val="32"/>
          <w:szCs w:val="32"/>
        </w:rPr>
        <w:t>THE BRADLAUGH AND BESANT PROSECUTION</w:t>
      </w:r>
    </w:p>
    <w:p w:rsidR="00C719C3" w:rsidRDefault="00C719C3">
      <w:r w:rsidRPr="000B0876">
        <w:rPr>
          <w:rFonts w:ascii="Arial" w:hAnsi="Arial" w:cs="Arial"/>
          <w:sz w:val="20"/>
          <w:szCs w:val="20"/>
        </w:rPr>
        <w:t xml:space="preserve">In the Court of Queen’s Bench, yesterday, Mr. Bradlaugh, accompanied by Mrs. Besant, applied for a rule calling on the prosecution to show cause why the judgement roll. In the recent prosecution should not be amended in a number of technical points. The Lord Chief Justice, while observing that the points raised appeared to him more </w:t>
      </w:r>
      <w:r w:rsidR="00D261D8" w:rsidRPr="000B0876">
        <w:rPr>
          <w:rFonts w:ascii="Arial" w:hAnsi="Arial" w:cs="Arial"/>
          <w:sz w:val="20"/>
          <w:szCs w:val="20"/>
        </w:rPr>
        <w:t>cobwebs</w:t>
      </w:r>
      <w:r w:rsidRPr="000B0876">
        <w:rPr>
          <w:rFonts w:ascii="Arial" w:hAnsi="Arial" w:cs="Arial"/>
          <w:sz w:val="20"/>
          <w:szCs w:val="20"/>
        </w:rPr>
        <w:t>, granted the rule</w:t>
      </w:r>
      <w:r>
        <w:t xml:space="preserve">. </w:t>
      </w:r>
      <w:bookmarkStart w:id="0" w:name="_GoBack"/>
      <w:bookmarkEnd w:id="0"/>
    </w:p>
    <w:sectPr w:rsidR="00C7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4B"/>
    <w:rsid w:val="0004744B"/>
    <w:rsid w:val="000B0876"/>
    <w:rsid w:val="00550D8F"/>
    <w:rsid w:val="00C719C3"/>
    <w:rsid w:val="00D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6</cp:revision>
  <dcterms:created xsi:type="dcterms:W3CDTF">2019-01-10T13:18:00Z</dcterms:created>
  <dcterms:modified xsi:type="dcterms:W3CDTF">2019-01-10T13:22:00Z</dcterms:modified>
</cp:coreProperties>
</file>