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0C4" w:rsidRPr="004A20B5" w:rsidRDefault="00B63593" w:rsidP="004A20B5">
      <w:pPr>
        <w:jc w:val="both"/>
        <w:rPr>
          <w:rFonts w:ascii="Arial" w:hAnsi="Arial" w:cs="Arial"/>
        </w:rPr>
      </w:pPr>
      <w:r w:rsidRPr="004A20B5">
        <w:rPr>
          <w:rFonts w:ascii="Arial" w:hAnsi="Arial" w:cs="Arial"/>
        </w:rPr>
        <w:t>“Fairplay” thinks that after the prosecution of Mr. Bradlaugh and Mrs</w:t>
      </w:r>
      <w:r w:rsidR="00926CA2">
        <w:rPr>
          <w:rFonts w:ascii="Arial" w:hAnsi="Arial" w:cs="Arial"/>
        </w:rPr>
        <w:t>.</w:t>
      </w:r>
      <w:bookmarkStart w:id="0" w:name="_GoBack"/>
      <w:bookmarkEnd w:id="0"/>
      <w:r w:rsidRPr="004A20B5">
        <w:rPr>
          <w:rFonts w:ascii="Arial" w:hAnsi="Arial" w:cs="Arial"/>
        </w:rPr>
        <w:t xml:space="preserve"> Besant, a failure to prosecute the authors or publishers of “The Priest in Absolution” would be equivalent to having one law for the rich and another for the poor.</w:t>
      </w:r>
    </w:p>
    <w:sectPr w:rsidR="004410C4" w:rsidRPr="004A20B5" w:rsidSect="00B50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63593"/>
    <w:rsid w:val="004410C4"/>
    <w:rsid w:val="004A20B5"/>
    <w:rsid w:val="00926CA2"/>
    <w:rsid w:val="00B5079D"/>
    <w:rsid w:val="00B6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29650"/>
  <w15:docId w15:val="{13A79253-70E2-4F40-A1FC-2175EE3FC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Imran</cp:lastModifiedBy>
  <cp:revision>4</cp:revision>
  <dcterms:created xsi:type="dcterms:W3CDTF">2018-12-31T23:32:00Z</dcterms:created>
  <dcterms:modified xsi:type="dcterms:W3CDTF">2019-01-03T18:50:00Z</dcterms:modified>
</cp:coreProperties>
</file>