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497" w:rsidRDefault="00317B7E" w:rsidP="00317B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7B7E">
        <w:rPr>
          <w:rFonts w:ascii="Times New Roman" w:hAnsi="Times New Roman" w:cs="Times New Roman"/>
          <w:b/>
          <w:bCs/>
          <w:sz w:val="24"/>
          <w:szCs w:val="24"/>
        </w:rPr>
        <w:t>THE TRIAL OF MR. BRADLAUGH AND MRS. BESANT.</w:t>
      </w:r>
    </w:p>
    <w:p w:rsidR="00317B7E" w:rsidRPr="00317B7E" w:rsidRDefault="00317B7E" w:rsidP="00317B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In the Court of Queen’s Bench </w:t>
      </w:r>
      <w:proofErr w:type="gramStart"/>
      <w:r>
        <w:rPr>
          <w:rFonts w:ascii="Times New Roman" w:hAnsi="Times New Roman" w:cs="Times New Roman"/>
          <w:sz w:val="24"/>
          <w:szCs w:val="24"/>
        </w:rPr>
        <w:t>today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Lord Chief Justice Cockburn stated that in the case of the Queen v.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Besant a writ of certiorari would be granted for its removal from the Central Criminal Court into the Queen’s Bench with a special jury. </w:t>
      </w:r>
      <w:bookmarkEnd w:id="0"/>
    </w:p>
    <w:sectPr w:rsidR="00317B7E" w:rsidRPr="00317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97"/>
    <w:rsid w:val="000E2497"/>
    <w:rsid w:val="0031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5449B"/>
  <w15:chartTrackingRefBased/>
  <w15:docId w15:val="{F73C7181-0B23-4FFD-9EA7-72A4778C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Lakmali</dc:creator>
  <cp:keywords/>
  <dc:description/>
  <cp:lastModifiedBy>Anuja Lakmali</cp:lastModifiedBy>
  <cp:revision>2</cp:revision>
  <dcterms:created xsi:type="dcterms:W3CDTF">2019-02-11T10:49:00Z</dcterms:created>
  <dcterms:modified xsi:type="dcterms:W3CDTF">2019-02-11T10:52:00Z</dcterms:modified>
</cp:coreProperties>
</file>