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161" w:rsidRDefault="00B05062" w:rsidP="00B05062">
      <w:pPr>
        <w:jc w:val="center"/>
        <w:rPr>
          <w:rFonts w:ascii="Times New Roman" w:hAnsi="Times New Roman" w:cs="Times New Roman"/>
          <w:b/>
          <w:sz w:val="32"/>
          <w:szCs w:val="24"/>
        </w:rPr>
      </w:pPr>
      <w:proofErr w:type="gramStart"/>
      <w:r w:rsidRPr="00B05062">
        <w:rPr>
          <w:rFonts w:ascii="Times New Roman" w:hAnsi="Times New Roman" w:cs="Times New Roman"/>
          <w:b/>
          <w:sz w:val="32"/>
          <w:szCs w:val="24"/>
        </w:rPr>
        <w:t xml:space="preserve">The </w:t>
      </w:r>
      <w:proofErr w:type="spellStart"/>
      <w:r w:rsidRPr="00B05062">
        <w:rPr>
          <w:rFonts w:ascii="Times New Roman" w:hAnsi="Times New Roman" w:cs="Times New Roman"/>
          <w:b/>
          <w:sz w:val="32"/>
          <w:szCs w:val="24"/>
        </w:rPr>
        <w:t>Bradlaugh</w:t>
      </w:r>
      <w:proofErr w:type="spellEnd"/>
      <w:r w:rsidRPr="00B05062">
        <w:rPr>
          <w:rFonts w:ascii="Times New Roman" w:hAnsi="Times New Roman" w:cs="Times New Roman"/>
          <w:b/>
          <w:sz w:val="32"/>
          <w:szCs w:val="24"/>
        </w:rPr>
        <w:t xml:space="preserve"> Case.</w:t>
      </w:r>
      <w:proofErr w:type="gramEnd"/>
      <w:r w:rsidRPr="00B05062">
        <w:rPr>
          <w:rFonts w:ascii="Times New Roman" w:hAnsi="Times New Roman" w:cs="Times New Roman"/>
          <w:b/>
          <w:sz w:val="32"/>
          <w:szCs w:val="24"/>
        </w:rPr>
        <w:t xml:space="preserve"> </w:t>
      </w:r>
    </w:p>
    <w:p w:rsidR="00B05062" w:rsidRPr="00B05062" w:rsidRDefault="00B05062" w:rsidP="00B05062">
      <w:pPr>
        <w:jc w:val="both"/>
        <w:rPr>
          <w:rFonts w:ascii="Times New Roman" w:hAnsi="Times New Roman" w:cs="Times New Roman"/>
          <w:sz w:val="24"/>
          <w:szCs w:val="24"/>
        </w:rPr>
      </w:pPr>
      <w:r>
        <w:rPr>
          <w:rFonts w:ascii="Times New Roman" w:hAnsi="Times New Roman" w:cs="Times New Roman"/>
          <w:sz w:val="24"/>
          <w:szCs w:val="24"/>
        </w:rPr>
        <w:tab/>
        <w:t xml:space="preserve">The case of The Queen v.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Besant came before the Court of Queen’s Bench this morning. The defendants urged that there had been some informalities and errors on the part of the prosecution. The Court decided that the proceedings were regular. </w:t>
      </w:r>
    </w:p>
    <w:sectPr w:rsidR="00B05062" w:rsidRPr="00B05062" w:rsidSect="001101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5D85"/>
    <w:rsid w:val="00110161"/>
    <w:rsid w:val="00B05062"/>
    <w:rsid w:val="00B35D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1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41</Words>
  <Characters>237</Characters>
  <Application>Microsoft Office Word</Application>
  <DocSecurity>0</DocSecurity>
  <Lines>1</Lines>
  <Paragraphs>1</Paragraphs>
  <ScaleCrop>false</ScaleCrop>
  <Company/>
  <LinksUpToDate>false</LinksUpToDate>
  <CharactersWithSpaces>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2019-02-17T11:01:00Z</dcterms:created>
  <dcterms:modified xsi:type="dcterms:W3CDTF">2019-02-17T11:03:00Z</dcterms:modified>
</cp:coreProperties>
</file>