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4C" w:rsidRPr="0092669C" w:rsidRDefault="0092669C" w:rsidP="0092669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92669C">
        <w:rPr>
          <w:rFonts w:ascii="Times New Roman" w:hAnsi="Times New Roman" w:cs="Times New Roman"/>
          <w:b/>
          <w:sz w:val="28"/>
          <w:szCs w:val="24"/>
        </w:rPr>
        <w:t>THE PROSECUTION OF MR. BRADLAUGH.</w:t>
      </w:r>
      <w:proofErr w:type="gramEnd"/>
    </w:p>
    <w:p w:rsidR="0092669C" w:rsidRPr="0092669C" w:rsidRDefault="0092669C" w:rsidP="00926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again appeared at the Guildhall police-court on Thursday to answer the charge of having published an indecent book. Both prisoners were committed for trial, and were formally bound over in their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recognisances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appear at the Central Criminal Court. </w:t>
      </w:r>
    </w:p>
    <w:sectPr w:rsidR="0092669C" w:rsidRPr="0092669C" w:rsidSect="00ED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EAA"/>
    <w:rsid w:val="0092669C"/>
    <w:rsid w:val="00AC6EAA"/>
    <w:rsid w:val="00ED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2019-02-16T14:25:00Z</dcterms:created>
  <dcterms:modified xsi:type="dcterms:W3CDTF">2019-02-16T14:27:00Z</dcterms:modified>
</cp:coreProperties>
</file>