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TRƯỜNG ĐẠI HỌC MẪU</w:t>
      </w:r>
    </w:p>
    <w:p>
      <w:pPr>
        <w:spacing w:after="120"/>
        <w:jc w:val="center"/>
      </w:pPr>
      <w:r>
        <w:rPr>
          <w:b/>
          <w:bCs/>
          <w:sz w:val="30"/>
          <w:szCs w:val="30"/>
        </w:rPr>
        <w:t xml:space="preserve">QUY CHẾ ĐÀO TẠO TRÌNH ĐỘ ĐẠI HỌC</w:t>
      </w:r>
    </w:p>
    <w:p>
      <w:pPr>
        <w:spacing w:after="240"/>
        <w:jc w:val="center"/>
      </w:pPr>
      <w:r>
        <w:rPr>
          <w:i/>
          <w:iCs/>
          <w:sz w:val="20"/>
          <w:szCs w:val="20"/>
        </w:rPr>
        <w:t xml:space="preserve">(Bản mẫu giả lập dùng để thử nghiệm hệ thống RAG - nội dung và số liệu không phải quy định thật của bất kỳ trường nào)</w:t>
      </w:r>
    </w:p>
    <w:p>
      <w:pPr>
        <w:spacing w:after="120" w:before="240"/>
        <w:jc w:val="center"/>
      </w:pPr>
      <w:r>
        <w:rPr>
          <w:b/>
          <w:bCs/>
          <w:sz w:val="26"/>
          <w:szCs w:val="26"/>
        </w:rPr>
        <w:t xml:space="preserve">Chương I. QUY ĐỊNH CHUNG</w:t>
      </w:r>
    </w:p>
    <w:p>
      <w:pPr>
        <w:spacing w:after="80" w:before="160"/>
      </w:pPr>
      <w:r>
        <w:rPr>
          <w:b/>
          <w:bCs/>
          <w:sz w:val="24"/>
          <w:szCs w:val="24"/>
        </w:rPr>
        <w:t xml:space="preserve">Điều 1. Phạm vi và đối tượng áp dụng</w:t>
      </w:r>
    </w:p>
    <w:p>
      <w:pPr>
        <w:spacing w:after="80"/>
      </w:pPr>
      <w:r>
        <w:rPr>
          <w:sz w:val="24"/>
          <w:szCs w:val="24"/>
        </w:rPr>
        <w:t xml:space="preserve">Quy chế này quy định về tổ chức đào tạo, đăng ký học phần, đánh giá kết quả học tập, xét tốt nghiệp và xử lý học vụ đối với sinh viên trình độ đại học hệ chính quy của Trường Đại học Mẫu.</w:t>
      </w:r>
    </w:p>
    <w:p>
      <w:pPr>
        <w:spacing w:after="80" w:before="160"/>
      </w:pPr>
      <w:r>
        <w:rPr>
          <w:b/>
          <w:bCs/>
          <w:sz w:val="24"/>
          <w:szCs w:val="24"/>
        </w:rPr>
        <w:t xml:space="preserve">Điều 2. Học phần và tín chỉ</w:t>
      </w:r>
    </w:p>
    <w:p>
      <w:pPr>
        <w:spacing w:after="80"/>
      </w:pPr>
      <w:r>
        <w:rPr>
          <w:sz w:val="24"/>
          <w:szCs w:val="24"/>
        </w:rPr>
        <w:t xml:space="preserve">1. Học phần là khối lượng kiến thức tương đối trọn vẹn, thuận tiện cho sinh viên tích lũy trong quá trình học tập. Mỗi học phần có khối lượng từ 2 đến 4 tín chỉ.</w:t>
      </w:r>
    </w:p>
    <w:p>
      <w:pPr>
        <w:spacing w:after="80"/>
      </w:pPr>
      <w:r>
        <w:rPr>
          <w:sz w:val="24"/>
          <w:szCs w:val="24"/>
        </w:rPr>
        <w:t xml:space="preserve">2. Một tín chỉ được quy định bằng 15 tiết học lý thuyết hoặc 30 tiết thực hành, thí nghiệm, thảo luận.</w:t>
      </w:r>
    </w:p>
    <w:p>
      <w:pPr>
        <w:spacing w:after="80"/>
      </w:pPr>
      <w:r>
        <w:rPr>
          <w:sz w:val="24"/>
          <w:szCs w:val="24"/>
        </w:rPr>
        <w:t xml:space="preserve">3. Học phần bắt buộc là học phần chứa đựng những nội dung kiến thức chính yếu của mỗi chương trình đào tạo, sinh viên phải hoàn thành.</w:t>
      </w:r>
    </w:p>
    <w:p>
      <w:pPr>
        <w:spacing w:after="80"/>
      </w:pPr>
      <w:r>
        <w:rPr>
          <w:sz w:val="24"/>
          <w:szCs w:val="24"/>
        </w:rPr>
        <w:t xml:space="preserve">4. Học phần tự chọn là học phần chứa đựng những nội dung kiến thức cần thiết, sinh viên được tự chọn theo hướng dẫn của khoa.</w:t>
      </w:r>
    </w:p>
    <w:p>
      <w:pPr>
        <w:spacing w:after="80" w:before="160"/>
      </w:pPr>
      <w:r>
        <w:rPr>
          <w:b/>
          <w:bCs/>
          <w:sz w:val="24"/>
          <w:szCs w:val="24"/>
        </w:rPr>
        <w:t xml:space="preserve">Điều 3. Thời gian học tập</w:t>
      </w:r>
    </w:p>
    <w:p>
      <w:pPr>
        <w:spacing w:after="80"/>
      </w:pPr>
      <w:r>
        <w:rPr>
          <w:sz w:val="24"/>
          <w:szCs w:val="24"/>
        </w:rPr>
        <w:t xml:space="preserve">1. Thời gian thiết kế toàn khóa học là 4 năm, chia thành 8 học kỳ chính. Mỗi năm học có 2 học kỳ chính và 1 học kỳ hè.</w:t>
      </w:r>
    </w:p>
    <w:p>
      <w:pPr>
        <w:spacing w:after="80"/>
      </w:pPr>
      <w:r>
        <w:rPr>
          <w:sz w:val="24"/>
          <w:szCs w:val="24"/>
        </w:rPr>
        <w:t xml:space="preserve">2. Thời gian tối đa để sinh viên hoàn thành khóa học không vượt quá 2 lần thời gian thiết kế, không kể thời gian bảo lưu.</w:t>
      </w:r>
    </w:p>
    <w:p>
      <w:pPr>
        <w:spacing w:after="120" w:before="240"/>
        <w:jc w:val="center"/>
      </w:pPr>
      <w:r>
        <w:rPr>
          <w:b/>
          <w:bCs/>
          <w:sz w:val="26"/>
          <w:szCs w:val="26"/>
        </w:rPr>
        <w:t xml:space="preserve">Chương II. ĐĂNG KÝ HỌC PHẦN</w:t>
      </w:r>
    </w:p>
    <w:p>
      <w:pPr>
        <w:spacing w:after="80" w:before="160"/>
      </w:pPr>
      <w:r>
        <w:rPr>
          <w:b/>
          <w:bCs/>
          <w:sz w:val="24"/>
          <w:szCs w:val="24"/>
        </w:rPr>
        <w:t xml:space="preserve">Điều 4. Đăng ký học phần</w:t>
      </w:r>
    </w:p>
    <w:p>
      <w:pPr>
        <w:spacing w:after="80"/>
      </w:pPr>
      <w:r>
        <w:rPr>
          <w:sz w:val="24"/>
          <w:szCs w:val="24"/>
        </w:rPr>
        <w:t xml:space="preserve">1. Đầu mỗi học kỳ, sinh viên đăng ký học phần trực tuyến trên hệ thống quản lý đào tạo của Trường trong thời hạn do Phòng Đào tạo thông báo.</w:t>
      </w:r>
    </w:p>
    <w:p>
      <w:pPr>
        <w:spacing w:after="80"/>
      </w:pPr>
      <w:r>
        <w:rPr>
          <w:sz w:val="24"/>
          <w:szCs w:val="24"/>
        </w:rPr>
        <w:t xml:space="preserve">2. Khối lượng đăng ký tối thiểu của một học kỳ chính là 14 tín chỉ, tối đa là 25 tín chỉ, trừ học kỳ cuối khóa.</w:t>
      </w:r>
    </w:p>
    <w:p>
      <w:pPr>
        <w:spacing w:after="80"/>
      </w:pPr>
      <w:r>
        <w:rPr>
          <w:sz w:val="24"/>
          <w:szCs w:val="24"/>
        </w:rPr>
        <w:t xml:space="preserve">3. Sinh viên bị cảnh báo học vụ chỉ được đăng ký tối đa 14 tín chỉ trong học kỳ tiếp theo.</w:t>
      </w:r>
    </w:p>
    <w:p>
      <w:pPr>
        <w:spacing w:after="80"/>
      </w:pPr>
      <w:r>
        <w:rPr>
          <w:sz w:val="24"/>
          <w:szCs w:val="24"/>
        </w:rPr>
        <w:t xml:space="preserve">4. Trong học kỳ hè, sinh viên được đăng ký tối đa 10 tín chỉ.</w:t>
      </w:r>
    </w:p>
    <w:p>
      <w:pPr>
        <w:spacing w:after="80" w:before="160"/>
      </w:pPr>
      <w:r>
        <w:rPr>
          <w:b/>
          <w:bCs/>
          <w:sz w:val="24"/>
          <w:szCs w:val="24"/>
        </w:rPr>
        <w:t xml:space="preserve">Điều 5. Rút bớt học phần đã đăng ký</w:t>
      </w:r>
    </w:p>
    <w:p>
      <w:pPr>
        <w:spacing w:after="80"/>
      </w:pPr>
      <w:r>
        <w:rPr>
          <w:sz w:val="24"/>
          <w:szCs w:val="24"/>
        </w:rPr>
        <w:t xml:space="preserve">1. Sinh viên được rút bớt học phần đã đăng ký trong vòng 2 tuần kể từ ngày bắt đầu học kỳ.</w:t>
      </w:r>
    </w:p>
    <w:p>
      <w:pPr>
        <w:spacing w:after="80"/>
      </w:pPr>
      <w:r>
        <w:rPr>
          <w:sz w:val="24"/>
          <w:szCs w:val="24"/>
        </w:rPr>
        <w:t xml:space="preserve">2. Học phần được rút không bị tính điểm và không phải nộp thêm học phí đối với học phần đó.</w:t>
      </w:r>
    </w:p>
    <w:p>
      <w:pPr>
        <w:spacing w:after="80"/>
      </w:pPr>
      <w:r>
        <w:rPr>
          <w:sz w:val="24"/>
          <w:szCs w:val="24"/>
        </w:rPr>
        <w:t xml:space="preserve">3. Sau thời hạn trên, sinh viên không được rút học phần. Nếu bỏ học, học phần đó sẽ bị tính điểm 0.</w:t>
      </w:r>
    </w:p>
    <w:p>
      <w:pPr>
        <w:spacing w:after="80" w:before="160"/>
      </w:pPr>
      <w:r>
        <w:rPr>
          <w:b/>
          <w:bCs/>
          <w:sz w:val="24"/>
          <w:szCs w:val="24"/>
        </w:rPr>
        <w:t xml:space="preserve">Điều 6. Học lại và học cải thiện điểm</w:t>
      </w:r>
    </w:p>
    <w:p>
      <w:pPr>
        <w:spacing w:after="80"/>
      </w:pPr>
      <w:r>
        <w:rPr>
          <w:sz w:val="24"/>
          <w:szCs w:val="24"/>
        </w:rPr>
        <w:t xml:space="preserve">1. Sinh viên có học phần bắt buộc bị điểm F phải đăng ký học lại học phần đó ở học kỳ tiếp theo có tổ chức giảng dạy.</w:t>
      </w:r>
    </w:p>
    <w:p>
      <w:pPr>
        <w:spacing w:after="80"/>
      </w:pPr>
      <w:r>
        <w:rPr>
          <w:sz w:val="24"/>
          <w:szCs w:val="24"/>
        </w:rPr>
        <w:t xml:space="preserve">2. Sinh viên có học phần đạt điểm D hoặc D+ được quyền đăng ký học lại để cải thiện điểm. Điểm cao nhất trong các lần học được dùng để tính điểm trung bình tích lũy.</w:t>
      </w:r>
    </w:p>
    <w:p>
      <w:pPr>
        <w:spacing w:after="80"/>
      </w:pPr>
      <w:r>
        <w:rPr>
          <w:sz w:val="24"/>
          <w:szCs w:val="24"/>
        </w:rPr>
        <w:t xml:space="preserve">3. Học phần tự chọn bị điểm F có thể học lại hoặc đăng ký học học phần tự chọn khác thay thế.</w:t>
      </w:r>
    </w:p>
    <w:p>
      <w:pPr>
        <w:spacing w:after="120" w:before="240"/>
        <w:jc w:val="center"/>
      </w:pPr>
      <w:r>
        <w:rPr>
          <w:b/>
          <w:bCs/>
          <w:sz w:val="26"/>
          <w:szCs w:val="26"/>
        </w:rPr>
        <w:t xml:space="preserve">Chương III. ĐÁNH GIÁ KẾT QUẢ HỌC TẬP</w:t>
      </w:r>
    </w:p>
    <w:p>
      <w:pPr>
        <w:spacing w:after="80" w:before="160"/>
      </w:pPr>
      <w:r>
        <w:rPr>
          <w:b/>
          <w:bCs/>
          <w:sz w:val="24"/>
          <w:szCs w:val="24"/>
        </w:rPr>
        <w:t xml:space="preserve">Điều 7. Thang điểm</w:t>
      </w:r>
    </w:p>
    <w:p>
      <w:pPr>
        <w:spacing w:after="80"/>
      </w:pPr>
      <w:r>
        <w:rPr>
          <w:sz w:val="24"/>
          <w:szCs w:val="24"/>
        </w:rPr>
        <w:t xml:space="preserve">1. Điểm đánh giá bộ phận và điểm thi kết thúc học phần được chấm theo thang điểm 10, làm tròn đến một chữ số thập phân.</w:t>
      </w:r>
    </w:p>
    <w:p>
      <w:pPr>
        <w:spacing w:after="80"/>
      </w:pPr>
      <w:r>
        <w:rPr>
          <w:sz w:val="24"/>
          <w:szCs w:val="24"/>
        </w:rPr>
        <w:t xml:space="preserve">2. Điểm học phần được quy đổi sang thang điểm chữ và thang điểm 4 như sau: từ 8,5 đến 10 là A (4,0); từ 7,0 đến 8,4 là B (3,0); từ 5,5 đến 6,9 là C (2,0); từ 4,0 đến 5,4 là D (1,0); dưới 4,0 là F (0).</w:t>
      </w:r>
    </w:p>
    <w:p>
      <w:pPr>
        <w:spacing w:after="80" w:before="160"/>
      </w:pPr>
      <w:r>
        <w:rPr>
          <w:b/>
          <w:bCs/>
          <w:sz w:val="24"/>
          <w:szCs w:val="24"/>
        </w:rPr>
        <w:t xml:space="preserve">Điều 8. Cách tính điểm học phần</w:t>
      </w:r>
    </w:p>
    <w:p>
      <w:pPr>
        <w:spacing w:after="80"/>
      </w:pPr>
      <w:r>
        <w:rPr>
          <w:sz w:val="24"/>
          <w:szCs w:val="24"/>
        </w:rPr>
        <w:t xml:space="preserve">1. Điểm học phần gồm điểm chuyên cần chiếm 10%, điểm kiểm tra giữa kỳ chiếm 30% và điểm thi kết thúc học phần chiếm 60%.</w:t>
      </w:r>
    </w:p>
    <w:p>
      <w:pPr>
        <w:spacing w:after="80"/>
      </w:pPr>
      <w:r>
        <w:rPr>
          <w:sz w:val="24"/>
          <w:szCs w:val="24"/>
        </w:rPr>
        <w:t xml:space="preserve">2. Sinh viên vắng mặt quá 20% số tiết của học phần không được dự thi kết thúc học phần và nhận điểm 0 cho học phần đó.</w:t>
      </w:r>
    </w:p>
    <w:p>
      <w:pPr>
        <w:spacing w:after="80"/>
      </w:pPr>
      <w:r>
        <w:rPr>
          <w:sz w:val="24"/>
          <w:szCs w:val="24"/>
        </w:rPr>
        <w:t xml:space="preserve">3. Học phần được coi là đạt khi điểm học phần từ 4,0 trở lên.</w:t>
      </w:r>
    </w:p>
    <w:p>
      <w:pPr>
        <w:spacing w:after="80" w:before="160"/>
      </w:pPr>
      <w:r>
        <w:rPr>
          <w:b/>
          <w:bCs/>
          <w:sz w:val="24"/>
          <w:szCs w:val="24"/>
        </w:rPr>
        <w:t xml:space="preserve">Điều 9. Điểm trung bình học kỳ và điểm trung bình tích lũy</w:t>
      </w:r>
    </w:p>
    <w:p>
      <w:pPr>
        <w:spacing w:after="80"/>
      </w:pPr>
      <w:r>
        <w:rPr>
          <w:sz w:val="24"/>
          <w:szCs w:val="24"/>
        </w:rPr>
        <w:t xml:space="preserve">1. Điểm trung bình học kỳ là trung bình có trọng số theo số tín chỉ của các học phần sinh viên đã đăng ký trong học kỳ, tính theo thang điểm 4.</w:t>
      </w:r>
    </w:p>
    <w:p>
      <w:pPr>
        <w:spacing w:after="80"/>
      </w:pPr>
      <w:r>
        <w:rPr>
          <w:sz w:val="24"/>
          <w:szCs w:val="24"/>
        </w:rPr>
        <w:t xml:space="preserve">2. Điểm trung bình tích lũy là trung bình có trọng số theo số tín chỉ của các học phần đạt, tính từ đầu khóa học đến thời điểm xét, theo thang điểm 4.</w:t>
      </w:r>
    </w:p>
    <w:p>
      <w:pPr>
        <w:spacing w:after="80" w:before="160"/>
      </w:pPr>
      <w:r>
        <w:rPr>
          <w:b/>
          <w:bCs/>
          <w:sz w:val="24"/>
          <w:szCs w:val="24"/>
        </w:rPr>
        <w:t xml:space="preserve">Điều 10. Xếp loại học lực</w:t>
      </w:r>
    </w:p>
    <w:p>
      <w:pPr>
        <w:spacing w:after="80"/>
      </w:pPr>
      <w:r>
        <w:rPr>
          <w:sz w:val="24"/>
          <w:szCs w:val="24"/>
        </w:rPr>
        <w:t xml:space="preserve">Xếp loại học lực theo điểm trung bình tích lũy thang điểm 4: từ 3,6 đến 4,0 là Xuất sắc; từ 3,2 đến dưới 3,6 là Giỏi; từ 2,5 đến dưới 3,2 là Khá; từ 2,0 đến dưới 2,5 là Trung bình; dưới 2,0 là Yếu.</w:t>
      </w:r>
    </w:p>
    <w:p>
      <w:pPr>
        <w:spacing w:after="80" w:before="160"/>
      </w:pPr>
      <w:r>
        <w:rPr>
          <w:b/>
          <w:bCs/>
          <w:sz w:val="24"/>
          <w:szCs w:val="24"/>
        </w:rPr>
        <w:t xml:space="preserve">Điều 11. Cảnh báo học vụ và buộc thôi học</w:t>
      </w:r>
    </w:p>
    <w:p>
      <w:pPr>
        <w:spacing w:after="80"/>
      </w:pPr>
      <w:r>
        <w:rPr>
          <w:sz w:val="24"/>
          <w:szCs w:val="24"/>
        </w:rPr>
        <w:t xml:space="preserve">1. Sinh viên bị cảnh báo học vụ khi thuộc một trong các trường hợp sau: điểm trung bình học kỳ dưới 1,0 đối với học kỳ đầu của khóa học; dưới 1,2 đối với các học kỳ tiếp theo; hoặc điểm trung bình tích lũy dưới 1,6 đối với sinh viên năm thứ nhất, dưới 1,8 đối với năm thứ hai, dưới 1,9 đối với năm thứ ba và dưới 2,0 đối với các năm tiếp theo.</w:t>
      </w:r>
    </w:p>
    <w:p>
      <w:pPr>
        <w:spacing w:after="80"/>
      </w:pPr>
      <w:r>
        <w:rPr>
          <w:sz w:val="24"/>
          <w:szCs w:val="24"/>
        </w:rPr>
        <w:t xml:space="preserve">2. Sinh viên bị buộc thôi học nếu bị cảnh báo học vụ liên tiếp 2 học kỳ, hoặc vượt quá thời gian tối đa được phép học quy định tại Điều 3 của Quy chế này.</w:t>
      </w:r>
    </w:p>
    <w:p>
      <w:pPr>
        <w:spacing w:after="80"/>
      </w:pPr>
      <w:r>
        <w:rPr>
          <w:sz w:val="24"/>
          <w:szCs w:val="24"/>
        </w:rPr>
        <w:t xml:space="preserve">3. Sinh viên bị buộc thôi học được quyền xin bảo lưu kết quả học tập đã tích lũy và được cấp giấy chứng nhận khối lượng học tập đã hoàn thành.</w:t>
      </w:r>
    </w:p>
    <w:p>
      <w:pPr>
        <w:spacing w:after="120" w:before="240"/>
        <w:jc w:val="center"/>
      </w:pPr>
      <w:r>
        <w:rPr>
          <w:b/>
          <w:bCs/>
          <w:sz w:val="26"/>
          <w:szCs w:val="26"/>
        </w:rPr>
        <w:t xml:space="preserve">Chương IV. XÉT VÀ CÔNG NHẬN TỐT NGHIỆP</w:t>
      </w:r>
    </w:p>
    <w:p>
      <w:pPr>
        <w:spacing w:after="80" w:before="160"/>
      </w:pPr>
      <w:r>
        <w:rPr>
          <w:b/>
          <w:bCs/>
          <w:sz w:val="24"/>
          <w:szCs w:val="24"/>
        </w:rPr>
        <w:t xml:space="preserve">Điều 12. Điều kiện xét tốt nghiệp</w:t>
      </w:r>
    </w:p>
    <w:p>
      <w:pPr>
        <w:spacing w:after="80"/>
      </w:pPr>
      <w:r>
        <w:rPr>
          <w:sz w:val="24"/>
          <w:szCs w:val="24"/>
        </w:rPr>
        <w:t xml:space="preserve">Sinh viên được xét công nhận tốt nghiệp khi có đủ các điều kiện sau:</w:t>
      </w:r>
    </w:p>
    <w:p>
      <w:pPr>
        <w:spacing w:after="80"/>
      </w:pPr>
      <w:r>
        <w:rPr>
          <w:sz w:val="24"/>
          <w:szCs w:val="24"/>
        </w:rPr>
        <w:t xml:space="preserve">1. Tích lũy đủ số học phần và khối lượng tín chỉ quy định của chương trình đào tạo.</w:t>
      </w:r>
    </w:p>
    <w:p>
      <w:pPr>
        <w:spacing w:after="80"/>
      </w:pPr>
      <w:r>
        <w:rPr>
          <w:sz w:val="24"/>
          <w:szCs w:val="24"/>
        </w:rPr>
        <w:t xml:space="preserve">2. Điểm trung bình tích lũy toàn khóa đạt từ 2,0 trở lên.</w:t>
      </w:r>
    </w:p>
    <w:p>
      <w:pPr>
        <w:spacing w:after="80"/>
      </w:pPr>
      <w:r>
        <w:rPr>
          <w:sz w:val="24"/>
          <w:szCs w:val="24"/>
        </w:rPr>
        <w:t xml:space="preserve">3. Đạt chuẩn đầu ra ngoại ngữ theo quy định của Trường và có chứng chỉ giáo dục quốc phòng - an ninh, giáo dục thể chất.</w:t>
      </w:r>
    </w:p>
    <w:p>
      <w:pPr>
        <w:spacing w:after="80"/>
      </w:pPr>
      <w:r>
        <w:rPr>
          <w:sz w:val="24"/>
          <w:szCs w:val="24"/>
        </w:rPr>
        <w:t xml:space="preserve">4. Tại thời điểm xét tốt nghiệp, sinh viên không đang trong thời gian bị truy cứu trách nhiệm hình sự hoặc bị kỷ luật ở mức đình chỉ học tập.</w:t>
      </w:r>
    </w:p>
    <w:p>
      <w:pPr>
        <w:spacing w:after="80" w:before="160"/>
      </w:pPr>
      <w:r>
        <w:rPr>
          <w:b/>
          <w:bCs/>
          <w:sz w:val="24"/>
          <w:szCs w:val="24"/>
        </w:rPr>
        <w:t xml:space="preserve">Điều 13. Hạng tốt nghiệp</w:t>
      </w:r>
    </w:p>
    <w:p>
      <w:pPr>
        <w:spacing w:after="80"/>
      </w:pPr>
      <w:r>
        <w:rPr>
          <w:sz w:val="24"/>
          <w:szCs w:val="24"/>
        </w:rPr>
        <w:t xml:space="preserve">1. Hạng tốt nghiệp được xác định theo điểm trung bình tích lũy toàn khóa: Xuất sắc từ 3,6 đến 4,0; Giỏi từ 3,2 đến dưới 3,6; Khá từ 2,5 đến dưới 3,2; Trung bình từ 2,0 đến dưới 2,5.</w:t>
      </w:r>
    </w:p>
    <w:p>
      <w:pPr>
        <w:spacing w:after="80"/>
      </w:pPr>
      <w:r>
        <w:rPr>
          <w:sz w:val="24"/>
          <w:szCs w:val="24"/>
        </w:rPr>
        <w:t xml:space="preserve">2. Hạng tốt nghiệp của sinh viên đạt loại Xuất sắc hoặc Giỏi sẽ bị giảm một hạng nếu sinh viên đã bị kỷ luật từ mức cảnh cáo trở lên trong thời gian học, hoặc có khối lượng học phần phải học lại vượt quá 5% tổng số tín chỉ của chương trình.</w:t>
      </w:r>
    </w:p>
    <w:p>
      <w:pPr>
        <w:spacing w:after="120" w:before="240"/>
        <w:jc w:val="center"/>
      </w:pPr>
      <w:r>
        <w:rPr>
          <w:b/>
          <w:bCs/>
          <w:sz w:val="26"/>
          <w:szCs w:val="26"/>
        </w:rPr>
        <w:t xml:space="preserve">Chương V. BẢO LƯU VÀ KỶ LUẬT</w:t>
      </w:r>
    </w:p>
    <w:p>
      <w:pPr>
        <w:spacing w:after="80" w:before="160"/>
      </w:pPr>
      <w:r>
        <w:rPr>
          <w:b/>
          <w:bCs/>
          <w:sz w:val="24"/>
          <w:szCs w:val="24"/>
        </w:rPr>
        <w:t xml:space="preserve">Điều 14. Bảo lưu và nghỉ học tạm thời</w:t>
      </w:r>
    </w:p>
    <w:p>
      <w:pPr>
        <w:spacing w:after="80"/>
      </w:pPr>
      <w:r>
        <w:rPr>
          <w:sz w:val="24"/>
          <w:szCs w:val="24"/>
        </w:rPr>
        <w:t xml:space="preserve">1. Sinh viên được xin nghỉ học tạm thời và bảo lưu kết quả đã học trong các trường hợp: được điều động đi nghĩa vụ quân sự; bị ốm hoặc tai nạn phải điều trị thời gian dài có giấy xác nhận của cơ sở y tế; hoặc vì nhu cầu cá nhân nhưng đã học ít nhất một học kỳ và không thuộc diện bị buộc thôi học.</w:t>
      </w:r>
    </w:p>
    <w:p>
      <w:pPr>
        <w:spacing w:after="80"/>
      </w:pPr>
      <w:r>
        <w:rPr>
          <w:sz w:val="24"/>
          <w:szCs w:val="24"/>
        </w:rPr>
        <w:t xml:space="preserve">2. Thời gian nghỉ học tạm thời tối đa là 2 học kỳ liên tiếp và không được tính vào thời gian tối đa hoàn thành khóa học, trừ trường hợp nghỉ vì nhu cầu cá nhân.</w:t>
      </w:r>
    </w:p>
    <w:p>
      <w:pPr>
        <w:spacing w:after="80"/>
      </w:pPr>
      <w:r>
        <w:rPr>
          <w:sz w:val="24"/>
          <w:szCs w:val="24"/>
        </w:rPr>
        <w:t xml:space="preserve">3. Khi muốn trở lại học, sinh viên phải nộp đơn xin học tiếp tại Phòng Đào tạo ít nhất 2 tuần trước khi bắt đầu học kỳ.</w:t>
      </w:r>
    </w:p>
    <w:p>
      <w:pPr>
        <w:spacing w:after="80" w:before="160"/>
      </w:pPr>
      <w:r>
        <w:rPr>
          <w:b/>
          <w:bCs/>
          <w:sz w:val="24"/>
          <w:szCs w:val="24"/>
        </w:rPr>
        <w:t xml:space="preserve">Điều 15. Xử lý vi phạm quy chế thi</w:t>
      </w:r>
    </w:p>
    <w:p>
      <w:pPr>
        <w:spacing w:after="80"/>
      </w:pPr>
      <w:r>
        <w:rPr>
          <w:sz w:val="24"/>
          <w:szCs w:val="24"/>
        </w:rPr>
        <w:t xml:space="preserve">1. Sinh viên có hành vi vi phạm quy chế thi bị xử lý kỷ luật theo các mức: khiển trách, cảnh cáo, đình chỉ thi và đình chỉ học tập.</w:t>
      </w:r>
    </w:p>
    <w:p>
      <w:pPr>
        <w:spacing w:after="80"/>
      </w:pPr>
      <w:r>
        <w:rPr>
          <w:sz w:val="24"/>
          <w:szCs w:val="24"/>
        </w:rPr>
        <w:t xml:space="preserve">2. Sinh viên bị khiển trách nếu nhìn bài hoặc trao đổi bài với người khác trong phòng thi. Học phần đó bị trừ 25% số điểm bài thi.</w:t>
      </w:r>
    </w:p>
    <w:p>
      <w:pPr>
        <w:spacing w:after="80"/>
      </w:pPr>
      <w:r>
        <w:rPr>
          <w:sz w:val="24"/>
          <w:szCs w:val="24"/>
        </w:rPr>
        <w:t xml:space="preserve">3. Sinh viên bị cảnh cáo nếu đã bị khiển trách một lần nhưng tiếp tục vi phạm hoặc mang tài liệu trái phép vào phòng thi. Học phần đó bị trừ 50% số điểm bài thi.</w:t>
      </w:r>
    </w:p>
    <w:p>
      <w:pPr>
        <w:spacing w:after="80"/>
      </w:pPr>
      <w:r>
        <w:rPr>
          <w:sz w:val="24"/>
          <w:szCs w:val="24"/>
        </w:rPr>
        <w:t xml:space="preserve">4. Sinh viên bị đình chỉ thi và nhận điểm 0 cho học phần đó nếu sử dụng điện thoại, thiết bị liên lạc hoặc có hành vi nhờ người thi hộ, thi hộ người khác.</w:t>
      </w:r>
    </w:p>
    <w:p>
      <w:pPr>
        <w:spacing w:after="80"/>
      </w:pPr>
      <w:r>
        <w:rPr>
          <w:sz w:val="24"/>
          <w:szCs w:val="24"/>
        </w:rPr>
        <w:t xml:space="preserve">5. Sinh viên bị đình chỉ học tập 1 năm nếu thi hộ hoặc nhờ người thi hộ; làm giả hồ sơ, bằng cấp; hoặc có hành vi nghiêm trọng khác ảnh hưởng đến uy tín của Trường.</w:t>
      </w:r>
    </w:p>
    <w:p>
      <w:pPr>
        <w:spacing w:after="80" w:before="160"/>
      </w:pPr>
      <w:r>
        <w:rPr>
          <w:b/>
          <w:bCs/>
          <w:sz w:val="24"/>
          <w:szCs w:val="24"/>
        </w:rPr>
        <w:t xml:space="preserve">Điều 16. Điều khoản thi hành</w:t>
      </w:r>
    </w:p>
    <w:p>
      <w:pPr>
        <w:spacing w:after="80"/>
      </w:pPr>
      <w:r>
        <w:rPr>
          <w:sz w:val="24"/>
          <w:szCs w:val="24"/>
        </w:rPr>
        <w:t xml:space="preserve">Quy chế này có hiệu lực từ năm học 2026 - 2027. Phòng Đào tạo chịu trách nhiệm hướng dẫn thi hành Quy chế này.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2026-10-11T16:42:44.710Z</dcterms:created>
  <dcterms:modified xsi:type="dcterms:W3CDTF">2026-10-11T16:42:44.715Z</dcterms:modified>
</cp:coreProperties>
</file>

<file path=docProps/custom.xml><?xml version="1.0" encoding="utf-8"?>
<Properties xmlns="http://schemas.openxmlformats.org/officeDocument/2006/custom-properties" xmlns:vt="http://schemas.openxmlformats.org/officeDocument/2006/docPropsVTypes"/>
</file>