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ĐẠI HỌC QUỐC GIA THÀNH PHỐ HỒ CHÍ MINH</w:t>
        <w:br/>
        <w:t>TRƯỜNG ĐẠI HỌC KINH TẾ - LUẬT</w:t>
        <w:br/>
      </w:r>
      <w:r>
        <w:rPr>
          <w:rFonts w:ascii="Times New Roman" w:hAnsi="Times New Roman"/>
          <w:b/>
          <w:color w:val="1E3A8A"/>
          <w:sz w:val="24"/>
        </w:rPr>
        <w:t>KHOA HỆ THỐNG THÔNG TIN</w:t>
        <w:br/>
        <w:t>BỘ MÔN KHOA HỌC DỮ LIỆU &amp; TRÍ TUỆ NHÂN TẠO</w:t>
        <w:br/>
      </w:r>
    </w:p>
    <w:p>
      <w:pPr>
        <w:jc w:val="center"/>
      </w:pPr>
      <w:r>
        <w:rPr>
          <w:rFonts w:ascii="Times New Roman" w:hAnsi="Times New Roman"/>
          <w:color w:val="1E3A8A"/>
        </w:rPr>
        <w:t>━━━━━━━━━━━━━━━━━━━━━━━━━━━━</w:t>
      </w:r>
    </w:p>
    <w:p/>
    <w:p/>
    <w:p/>
    <w:p/>
    <w:p>
      <w:pPr>
        <w:spacing w:line="312" w:lineRule="auto"/>
        <w:jc w:val="center"/>
      </w:pPr>
      <w:r>
        <w:rPr>
          <w:rFonts w:ascii="Times New Roman" w:hAnsi="Times New Roman"/>
          <w:b/>
          <w:sz w:val="28"/>
        </w:rPr>
        <w:t>BÁO CÁO ĐỒ ÁN MÔN HỌC MACHINE LEARNING</w:t>
        <w:br/>
        <w:t>(MÃ HỌC PHẦN: 251BIE503203)</w:t>
        <w:br/>
        <w:br/>
      </w:r>
      <w:r>
        <w:rPr>
          <w:rFonts w:ascii="Times New Roman" w:hAnsi="Times New Roman"/>
          <w:b/>
          <w:color w:val="1E3A8A"/>
          <w:sz w:val="32"/>
        </w:rPr>
        <w:t>DỰ BÁO NHU CẦU SẢN PHẨM (SKU-LEVEL DEMAND FORECASTING)</w:t>
        <w:br/>
        <w:t>HỖ TRỢ HOẠCH ĐỊNH TỒN KHO TRONG BÁN LẺ BẰNG MÔ HÌNH</w:t>
        <w:br/>
        <w:t>GRADIENT BOOSTING, DEEP LEARNING VÀ GIẢI THÍCH SHAP</w:t>
        <w:br/>
      </w:r>
    </w:p>
    <w:p/>
    <w:p/>
    <w:p/>
    <w:p/>
    <w:p/>
    <w:p>
      <w:pPr>
        <w:spacing w:line="300" w:lineRule="auto"/>
        <w:ind w:left="2160"/>
        <w:jc w:val="left"/>
      </w:pPr>
      <w:r>
        <w:rPr>
          <w:rFonts w:ascii="Times New Roman" w:hAnsi="Times New Roman"/>
          <w:b/>
          <w:sz w:val="24"/>
        </w:rPr>
        <w:t xml:space="preserve">Giảng viên hướng dẫn: </w:t>
      </w:r>
      <w:r>
        <w:rPr>
          <w:rFonts w:ascii="Times New Roman" w:hAnsi="Times New Roman"/>
          <w:sz w:val="24"/>
        </w:rPr>
        <w:t>Giảng viên phụ trách môn học Machine Learning</w:t>
        <w:br/>
      </w:r>
      <w:r>
        <w:rPr>
          <w:rFonts w:ascii="Times New Roman" w:hAnsi="Times New Roman"/>
          <w:b/>
          <w:sz w:val="24"/>
        </w:rPr>
        <w:t xml:space="preserve">Nhóm sinh viên thực hiện: </w:t>
      </w:r>
      <w:r>
        <w:rPr>
          <w:rFonts w:ascii="Times New Roman" w:hAnsi="Times New Roman"/>
          <w:sz w:val="24"/>
        </w:rPr>
        <w:t>Nhóm 08 (Group 08)</w:t>
        <w:br/>
      </w:r>
      <w:r>
        <w:rPr>
          <w:rFonts w:ascii="Times New Roman" w:hAnsi="Times New Roman"/>
          <w:b/>
          <w:sz w:val="24"/>
        </w:rPr>
        <w:t xml:space="preserve">Chuyên ngành: </w:t>
      </w:r>
      <w:r>
        <w:rPr>
          <w:rFonts w:ascii="Times New Roman" w:hAnsi="Times New Roman"/>
          <w:sz w:val="24"/>
        </w:rPr>
        <w:t>Hệ thống Thông tin Quản lý / Khoa học Dữ liệu</w:t>
        <w:br/>
      </w:r>
      <w:r>
        <w:rPr>
          <w:rFonts w:ascii="Times New Roman" w:hAnsi="Times New Roman"/>
          <w:b/>
          <w:sz w:val="24"/>
        </w:rPr>
        <w:t xml:space="preserve">Khóa học / Năm học: </w:t>
      </w:r>
      <w:r>
        <w:rPr>
          <w:rFonts w:ascii="Times New Roman" w:hAnsi="Times New Roman"/>
          <w:sz w:val="24"/>
        </w:rPr>
        <w:t>2022 - 2026 / Năm học 2025 - 2026</w:t>
        <w:br/>
      </w:r>
      <w:r>
        <w:rPr>
          <w:rFonts w:ascii="Times New Roman" w:hAnsi="Times New Roman"/>
          <w:b/>
          <w:sz w:val="24"/>
        </w:rPr>
        <w:t xml:space="preserve">Bộ dữ liệu thực nghiệm: </w:t>
      </w:r>
      <w:r>
        <w:rPr>
          <w:rFonts w:ascii="Times New Roman" w:hAnsi="Times New Roman"/>
          <w:sz w:val="24"/>
        </w:rPr>
        <w:t>UCI Online Retail II (2009–2011, CC BY 4.0)</w:t>
        <w:br/>
      </w:r>
      <w:r>
        <w:rPr>
          <w:rFonts w:ascii="Times New Roman" w:hAnsi="Times New Roman"/>
          <w:b/>
          <w:sz w:val="24"/>
        </w:rPr>
        <w:t xml:space="preserve">Trạng thái nghiệm thu: </w:t>
      </w:r>
      <w:r>
        <w:rPr>
          <w:rFonts w:ascii="Times New Roman" w:hAnsi="Times New Roman"/>
          <w:sz w:val="24"/>
        </w:rPr>
        <w:t>Backend Release Candidate Ratified (21 PASS, 1 PARTIAL)</w:t>
        <w:br/>
      </w:r>
    </w:p>
    <w:p>
      <w:r>
        <w:br w:type="page"/>
      </w:r>
    </w:p>
    <w:p>
      <w:pPr>
        <w:keepNext/>
        <w:spacing w:before="360" w:after="160"/>
      </w:pPr>
      <w:r>
        <w:rPr>
          <w:rFonts w:ascii="Times New Roman" w:hAnsi="Times New Roman"/>
          <w:b/>
          <w:color w:val="1E3A8A"/>
          <w:sz w:val="28"/>
        </w:rPr>
        <w:t>TÓM TẮT ĐỒ ÁN (ABSTRACT)</w:t>
      </w:r>
    </w:p>
    <w:p>
      <w:pPr>
        <w:spacing w:before="0" w:after="120" w:line="300" w:lineRule="auto"/>
        <w:jc w:val="both"/>
      </w:pPr>
      <w:r>
        <w:rPr>
          <w:rFonts w:ascii="Times New Roman" w:hAnsi="Times New Roman"/>
          <w:color w:val="0F172A"/>
          <w:sz w:val="23"/>
        </w:rPr>
        <w:t>Dự báo nhu cầu bán lẻ ở cấp độ từng đơn vị lưu kho (Stock Keeping Unit - SKU) theo chu kỳ tuần là bài toán cốt lõi nhưng đầy thách thức trong quản trị chuỗi cung ứng hiện đại. Thách thức phát sinh từ tính gián đoạn (intermittency), tỷ lệ tuần không phát sinh nhu cầu (zero-demand) cao, hình thái nhu cầu thất thường (lumpy demand), và nguy cơ rò rỉ thông tin tương lai (data leakage) trong các bài toán dự báo đa bước (multi-horizon). Đồ án này xây dựng một hệ thống học máy hoàn chỉnh từ xử lý 1,067,371 giao dịch thô từ bộ dữ liệu UCI Online Retail II, thiết lập bảng điều khiển SKU-tuần dạng chữ nhật đầy đủ (2,785 SKU trên 104 tuần, bao gồm cả số không thực), xây dựng 71 đặc trưng kiểm soát rò rỉ tuyệt đối (shift &gt;= 1), đối chuẩn 4 họ mô hình (Statistical Baselines, GBDT LightGBM &amp; CatBoost, và Deep Sequence TiDE &amp; TFT) qua 5 nếp kiểm định cuộn mở rộng (Expanding-window CV), và tiến hành đánh giá một lần duy nhất trên tập kiểm thử cuối cùng (Final Holdout 8 tuần).</w:t>
      </w:r>
    </w:p>
    <w:p>
      <w:pPr>
        <w:spacing w:before="0" w:after="120" w:line="300" w:lineRule="auto"/>
        <w:jc w:val="both"/>
      </w:pPr>
      <w:r>
        <w:rPr>
          <w:rFonts w:ascii="Times New Roman" w:hAnsi="Times New Roman"/>
          <w:color w:val="0F172A"/>
          <w:sz w:val="23"/>
        </w:rPr>
        <w:t>Kết quả thực nghiệm khẳng định mô hình CatBoost tối ưu hóa hàm tổn thất MAE (CatBoost__MAE) đạt vị thế Quán quân (Champion) với WAPE lũy kế 4 tuần đạt 65.57% và chỉ số MASE vĩ mô đạt 0.6225 trên nhóm SKU trưởng thành (Primary Cohort), vượt trội 10.89 điểm phần trăm so với mô hình cơ sở thống kê tốt nhất (MA_4: 76.46% WAPE) và 35.54 điểm phần trăm so với Naive (101.11% WAPE). Đồng thời, CatBoost Tweedie (p=1.5) chứng minh vai trò mô hình chẩn đoán lệch tổng thể thấp nhất (-5.88% bias, RMSE 79.44), và TiDE Sequence v1 đại diện cho kiến trúc mạng nơ-ron sâu đa bước hiệu quả (74.88% WAPE). Phân tích giải thích mô hình TreeExplainer xác nhận tính chất cộng dồn Shapley chính xác đến cấp độ máy tính tính toán (sai số cực đại 10^-13), bóc tách các động lực hàng đầu (rolling_cv_8, rolling_min_4, và độ rộng đơn hàng unique_customer_count_lag_1) dưới góc nhìn tương quan thống kê phi nhân quả. Toàn bộ quy trình được kiểm chứng qua sổ tay tái lập an toàn (Safe Replay Master Notebook), bộ kiểm thử hồi quy 168/168 bài kiểm tra vượt qua, và dịch vụ backend FastAPI sẵn sàng cho khâu tích hợp giao diện.</w:t>
      </w:r>
    </w:p>
    <w:p>
      <w:pPr>
        <w:keepNext/>
        <w:spacing w:before="360" w:after="160"/>
      </w:pPr>
      <w:r>
        <w:rPr>
          <w:rFonts w:ascii="Times New Roman" w:hAnsi="Times New Roman"/>
          <w:b/>
          <w:color w:val="1E3A8A"/>
          <w:sz w:val="28"/>
        </w:rPr>
        <w:t>CHƯƠNG 1. GIỚI THIỆU (INTRODUCTION)</w:t>
      </w:r>
    </w:p>
    <w:p>
      <w:pPr>
        <w:keepNext/>
        <w:spacing w:before="280" w:after="120"/>
      </w:pPr>
      <w:r>
        <w:rPr>
          <w:rFonts w:ascii="Times New Roman" w:hAnsi="Times New Roman"/>
          <w:b/>
          <w:color w:val="0F172A"/>
          <w:sz w:val="25"/>
        </w:rPr>
        <w:t>1.1 Bối cảnh kinh doanh và tính cấp thiết</w:t>
      </w:r>
    </w:p>
    <w:p>
      <w:pPr>
        <w:spacing w:before="0" w:after="120" w:line="300" w:lineRule="auto"/>
        <w:jc w:val="both"/>
      </w:pPr>
      <w:r>
        <w:rPr>
          <w:rFonts w:ascii="Times New Roman" w:hAnsi="Times New Roman"/>
          <w:color w:val="0F172A"/>
          <w:sz w:val="23"/>
        </w:rPr>
        <w:t>Trong ngành bán lẻ và thương mại điện tử, chi phí tồn đọng vốn do dư thừa hàng hóa (overstocking) và chi phí cơ hội cùng tổn hại uy tín thương hiệu do đứt gãy nguồn cung (stockout) là hai bài toán đánh đổi nan giải. Các phương pháp dự báo truyền thống như Trung bình trượt (Moving Average), San bằng số mũ (Exponential Smoothing), hay phương pháp Croston thường bộc lộ hạn chế lớn khi đối mặt với danh mục hàng nghìn SKU bán lẻ với nhu cầu phân tán, mua sỉ số lượng lớn đột ngột, và biến động theo mùa vụ rõ nét. Sự phát triển của các thuật toán Cây quyết định tăng cường độ dốc (GBDT) và Mạng nơ-ron học sâu chuyên biệt cho chuỗi thời gian mở ra cơ hội tối ưu hóa toàn diện độ chính xác dự báo và hoạch định bổ sung tồn kho.</w:t>
      </w:r>
    </w:p>
    <w:p>
      <w:pPr>
        <w:keepNext/>
        <w:spacing w:before="280" w:after="120"/>
      </w:pPr>
      <w:r>
        <w:rPr>
          <w:rFonts w:ascii="Times New Roman" w:hAnsi="Times New Roman"/>
          <w:b/>
          <w:color w:val="0F172A"/>
          <w:sz w:val="25"/>
        </w:rPr>
        <w:t>1.2 Mục tiêu nghiên cứu và phạm vi đề tài</w:t>
      </w:r>
    </w:p>
    <w:p>
      <w:pPr>
        <w:pStyle w:val="ListBullet"/>
        <w:spacing w:before="0" w:after="80" w:line="288" w:lineRule="auto"/>
        <w:jc w:val="both"/>
      </w:pPr>
      <w:r>
        <w:rPr>
          <w:rFonts w:ascii="Times New Roman" w:hAnsi="Times New Roman"/>
          <w:b/>
          <w:sz w:val="23"/>
        </w:rPr>
        <w:t xml:space="preserve">Mục tiêu 1: </w:t>
      </w:r>
      <w:r>
        <w:rPr>
          <w:rFonts w:ascii="Times New Roman" w:hAnsi="Times New Roman"/>
          <w:color w:val="0F172A"/>
          <w:sz w:val="23"/>
        </w:rPr>
        <w:t>Xây dựng pipeline dữ liệu chuẩn hóa, làm sạch giao dịch thô, tạo bảng SKU-tuần chữ nhật loại trừ thiên kiến tồn tại (survivor bias).</w:t>
      </w:r>
    </w:p>
    <w:p>
      <w:pPr>
        <w:pStyle w:val="ListBullet"/>
        <w:spacing w:before="0" w:after="80" w:line="288" w:lineRule="auto"/>
        <w:jc w:val="both"/>
      </w:pPr>
      <w:r>
        <w:rPr>
          <w:rFonts w:ascii="Times New Roman" w:hAnsi="Times New Roman"/>
          <w:b/>
          <w:sz w:val="23"/>
        </w:rPr>
        <w:t xml:space="preserve">Mục tiêu 2: </w:t>
      </w:r>
      <w:r>
        <w:rPr>
          <w:rFonts w:ascii="Times New Roman" w:hAnsi="Times New Roman"/>
          <w:color w:val="0F172A"/>
          <w:sz w:val="23"/>
        </w:rPr>
        <w:t>Thiết kế bộ đặc trưng 71 biến kiểm soát rò rỉ dữ liệu tuyệt đối (Leakage Firewall) kết hợp cơ chế cuộn đệ quy (recursive rollout).</w:t>
      </w:r>
    </w:p>
    <w:p>
      <w:pPr>
        <w:pStyle w:val="ListBullet"/>
        <w:spacing w:before="0" w:after="80" w:line="288" w:lineRule="auto"/>
        <w:jc w:val="both"/>
      </w:pPr>
      <w:r>
        <w:rPr>
          <w:rFonts w:ascii="Times New Roman" w:hAnsi="Times New Roman"/>
          <w:b/>
          <w:sz w:val="23"/>
        </w:rPr>
        <w:t xml:space="preserve">Mục tiêu 3: </w:t>
      </w:r>
      <w:r>
        <w:rPr>
          <w:rFonts w:ascii="Times New Roman" w:hAnsi="Times New Roman"/>
          <w:color w:val="0F172A"/>
          <w:sz w:val="23"/>
        </w:rPr>
        <w:t>Đánh giá công bằng và đối chuẩn đa họ mô hình: Baselines, LightGBM, CatBoost, TiDE và TFT trên cùng một vũ trụ dữ liệu (Common Universe).</w:t>
      </w:r>
    </w:p>
    <w:p>
      <w:pPr>
        <w:pStyle w:val="ListBullet"/>
        <w:spacing w:before="0" w:after="80" w:line="288" w:lineRule="auto"/>
        <w:jc w:val="both"/>
      </w:pPr>
      <w:r>
        <w:rPr>
          <w:rFonts w:ascii="Times New Roman" w:hAnsi="Times New Roman"/>
          <w:b/>
          <w:sz w:val="23"/>
        </w:rPr>
        <w:t xml:space="preserve">Mục tiêu 4: </w:t>
      </w:r>
      <w:r>
        <w:rPr>
          <w:rFonts w:ascii="Times New Roman" w:hAnsi="Times New Roman"/>
          <w:color w:val="0F172A"/>
          <w:sz w:val="23"/>
        </w:rPr>
        <w:t>Đánh giá kiểm thử một lần duy nhất (Single-pass Holdout) trên 8 tuần cuối mà không tái tinh chỉnh tham số.</w:t>
      </w:r>
    </w:p>
    <w:p>
      <w:pPr>
        <w:pStyle w:val="ListBullet"/>
        <w:spacing w:before="0" w:after="80" w:line="288" w:lineRule="auto"/>
        <w:jc w:val="both"/>
      </w:pPr>
      <w:r>
        <w:rPr>
          <w:rFonts w:ascii="Times New Roman" w:hAnsi="Times New Roman"/>
          <w:b/>
          <w:sz w:val="23"/>
        </w:rPr>
        <w:t xml:space="preserve">Mục tiêu 5: </w:t>
      </w:r>
      <w:r>
        <w:rPr>
          <w:rFonts w:ascii="Times New Roman" w:hAnsi="Times New Roman"/>
          <w:color w:val="0F172A"/>
          <w:sz w:val="23"/>
        </w:rPr>
        <w:t>Bóc tách sai số đuôi (Tail Diagnostics), hình thái SBC (Syntetos-Boylan-Croston), phân khúc ABC/XYZ và giải thích mô hình qua SHAP.</w:t>
      </w:r>
    </w:p>
    <w:p>
      <w:pPr>
        <w:pStyle w:val="ListBullet"/>
        <w:spacing w:before="0" w:after="80" w:line="288" w:lineRule="auto"/>
        <w:jc w:val="both"/>
      </w:pPr>
      <w:r>
        <w:rPr>
          <w:rFonts w:ascii="Times New Roman" w:hAnsi="Times New Roman"/>
          <w:b/>
          <w:sz w:val="23"/>
        </w:rPr>
        <w:t xml:space="preserve">Mục tiêu 6: </w:t>
      </w:r>
      <w:r>
        <w:rPr>
          <w:rFonts w:ascii="Times New Roman" w:hAnsi="Times New Roman"/>
          <w:color w:val="0F172A"/>
          <w:sz w:val="23"/>
        </w:rPr>
        <w:t>Xây dựng kiến trúc backend chuẩn hóa phục vụ suy luận thời gian thực và mô phỏng hoạch định đặt hàng định kỳ.</w:t>
      </w:r>
    </w:p>
    <w:p>
      <w:pPr>
        <w:keepNext/>
        <w:spacing w:before="360" w:after="160"/>
      </w:pPr>
      <w:r>
        <w:rPr>
          <w:rFonts w:ascii="Times New Roman" w:hAnsi="Times New Roman"/>
          <w:b/>
          <w:color w:val="1E3A8A"/>
          <w:sz w:val="28"/>
        </w:rPr>
        <w:t>CHƯƠNG 2. CƠ SỞ LÝ THUYẾT &amp; TỔNG QUAN NGHIÊN CỨU (THEORETICAL BACKGROUND)</w:t>
      </w:r>
    </w:p>
    <w:p>
      <w:pPr>
        <w:keepNext/>
        <w:spacing w:before="280" w:after="120"/>
      </w:pPr>
      <w:r>
        <w:rPr>
          <w:rFonts w:ascii="Times New Roman" w:hAnsi="Times New Roman"/>
          <w:b/>
          <w:color w:val="0F172A"/>
          <w:sz w:val="25"/>
        </w:rPr>
        <w:t>2.1 Đặc trưng chuỗi thời gian bán lẻ gián đoạn</w:t>
      </w:r>
    </w:p>
    <w:p>
      <w:pPr>
        <w:spacing w:before="0" w:after="120" w:line="300" w:lineRule="auto"/>
        <w:jc w:val="both"/>
      </w:pPr>
      <w:r>
        <w:rPr>
          <w:rFonts w:ascii="Times New Roman" w:hAnsi="Times New Roman"/>
          <w:color w:val="0F172A"/>
          <w:sz w:val="23"/>
        </w:rPr>
        <w:t>Theo phân loại kinh điển của Syntetos và Boylan (2005), nhu cầu bán lẻ được phân tách dựa trên hai trục: khoảng cách giữa các lần phát sinh nhu cầu (Average Demand Interval - ADI) và bình phương hệ số biến thiên của quy mô giao dịch (CV^2). Với các ngưỡng cắt chuẩn mực ADI = 1.32 và CV^2 = 0.49, các chuỗi nhu cầu được chia thành 4 nhóm: Smooth, Erratic, Lumpy và Intermittent. Khảo sát thực nghiệm trên bộ dữ liệu bán lẻ cho thấy hơn 46% SKU rơi vào vùng Lumpy và Intermittent, khiến các giả định về phân phối chuẩn sai số bị vi phạm nghiêm trọng.</w:t>
      </w:r>
    </w:p>
    <w:p>
      <w:pPr>
        <w:keepNext/>
        <w:spacing w:before="280" w:after="120"/>
      </w:pPr>
      <w:r>
        <w:rPr>
          <w:rFonts w:ascii="Times New Roman" w:hAnsi="Times New Roman"/>
          <w:b/>
          <w:color w:val="0F172A"/>
          <w:sz w:val="25"/>
        </w:rPr>
        <w:t>2.2 Các họ thuật toán học máy trong dự báo nhu cầu</w:t>
      </w:r>
    </w:p>
    <w:p>
      <w:pPr>
        <w:pStyle w:val="ListBullet"/>
        <w:spacing w:before="0" w:after="80" w:line="288" w:lineRule="auto"/>
        <w:jc w:val="both"/>
      </w:pPr>
      <w:r>
        <w:rPr>
          <w:rFonts w:ascii="Times New Roman" w:hAnsi="Times New Roman"/>
          <w:b/>
          <w:sz w:val="23"/>
        </w:rPr>
        <w:t xml:space="preserve">Cây tăng cường (GBDT): </w:t>
      </w:r>
      <w:r>
        <w:rPr>
          <w:rFonts w:ascii="Times New Roman" w:hAnsi="Times New Roman"/>
          <w:color w:val="0F172A"/>
          <w:sz w:val="23"/>
        </w:rPr>
        <w:t>CatBoost &amp; LightGBM: Các thuật toán GBDT hàng đầu thế giới với khả năng xử lý biến phân loại tự nhiên, tránh dịch chuyển dự báo (prediction shift) nhờ Ordered Boosting và cây quyết định đối xứng (Oblivious Trees) (Prokhorenkova et al., 2018; Ke et al., 2017).</w:t>
      </w:r>
    </w:p>
    <w:p>
      <w:pPr>
        <w:pStyle w:val="ListBullet"/>
        <w:spacing w:before="0" w:after="80" w:line="288" w:lineRule="auto"/>
        <w:jc w:val="both"/>
      </w:pPr>
      <w:r>
        <w:rPr>
          <w:rFonts w:ascii="Times New Roman" w:hAnsi="Times New Roman"/>
          <w:b/>
          <w:sz w:val="23"/>
        </w:rPr>
        <w:t xml:space="preserve">Mạng nơ-ron chuỗi thời gian: </w:t>
      </w:r>
      <w:r>
        <w:rPr>
          <w:rFonts w:ascii="Times New Roman" w:hAnsi="Times New Roman"/>
          <w:color w:val="0F172A"/>
          <w:sz w:val="23"/>
        </w:rPr>
        <w:t>TiDE &amp; TFT: Các kiến trúc học sâu chuyên biệt cho chuỗi thời gian đa bước. TiDE (Das et al., 2023) tận dụng kết nối tắt tuyến tính toàn cục (W_skip) để ánh xạ lịch sử trực tiếp sang tương lai, trong khi TFT (Lim et al., 2021) tích hợp cơ chế tự chú ý nhân quả (Causal Self-Attention) và mạng cổng GRN.</w:t>
      </w:r>
    </w:p>
    <w:p>
      <w:pPr>
        <w:keepNext/>
        <w:spacing w:before="280" w:after="120"/>
      </w:pPr>
      <w:r>
        <w:rPr>
          <w:rFonts w:ascii="Times New Roman" w:hAnsi="Times New Roman"/>
          <w:b/>
          <w:color w:val="0F172A"/>
          <w:sz w:val="25"/>
        </w:rPr>
        <w:t>2.3 Khung đo lường độ chính xác và chỉ số đánh giá</w:t>
      </w:r>
    </w:p>
    <w:p>
      <w:pPr>
        <w:spacing w:before="0" w:after="120" w:line="300" w:lineRule="auto"/>
        <w:jc w:val="both"/>
      </w:pPr>
      <w:r>
        <w:rPr>
          <w:rFonts w:ascii="Times New Roman" w:hAnsi="Times New Roman"/>
          <w:color w:val="0F172A"/>
          <w:sz w:val="23"/>
        </w:rPr>
        <w:t>Nghiên cứu sử dụng hệ thống chỉ số chuẩn mực quốc tế (Hyndman &amp; Koehler, 2006): Sai số phần trăm tuyệt đối có trọng số (WAPE), Sai số tuyệt đối bình quân (MAE), Căn bậc hai sai số bình phương bình quân (RMSE), Độ lệch tổng thể (Signed Aggregate Bias), và Sai số tuyệt đối co dãn theo quy mô (MASE) với mẫu số chuẩn hóa từ mô hình Naive trên tập phát triển.</w:t>
      </w:r>
    </w:p>
    <w:p>
      <w:pPr>
        <w:keepNext/>
        <w:spacing w:before="360" w:after="160"/>
      </w:pPr>
      <w:r>
        <w:rPr>
          <w:rFonts w:ascii="Times New Roman" w:hAnsi="Times New Roman"/>
          <w:b/>
          <w:color w:val="1E3A8A"/>
          <w:sz w:val="28"/>
        </w:rPr>
        <w:t>CHƯƠNG 3. PHƯƠNG PHÁP THỰC HIỆN &amp; THIẾT KẾ GIẢI PHÁP (METHODOLOGY)</w:t>
      </w:r>
    </w:p>
    <w:p>
      <w:pPr>
        <w:keepNext/>
        <w:spacing w:before="280" w:after="120"/>
      </w:pPr>
      <w:r>
        <w:rPr>
          <w:rFonts w:ascii="Times New Roman" w:hAnsi="Times New Roman"/>
          <w:b/>
          <w:color w:val="0F172A"/>
          <w:sz w:val="25"/>
        </w:rPr>
        <w:t>3.1 Quy trình làm sạch dữ liệu và cấu trúc bảng SKU-tuần</w:t>
      </w:r>
    </w:p>
    <w:p>
      <w:pPr>
        <w:spacing w:before="0" w:after="120" w:line="300" w:lineRule="auto"/>
        <w:jc w:val="both"/>
      </w:pPr>
      <w:r>
        <w:rPr>
          <w:rFonts w:ascii="Times New Roman" w:hAnsi="Times New Roman"/>
          <w:color w:val="0F172A"/>
          <w:sz w:val="23"/>
        </w:rPr>
        <w:t>Từ 1,067,371 giao dịch thô ban đầu, quy trình kiểm toán làm sạch loại bỏ 34,335 dòng trùng lặp, 19,104 hóa đơn hủy hàng, 4,447 mã phi thương mại, 3,393 giao dịch số lượng âm do thất thoát/hỏng hóc, và 2,626 giao dịch đơn giá không dương. Tổng số giao dịch thương mại hợp lệ còn lại là 1,003,466 dòng (trong đó thị trường Anh chiếm 92.05%).</w:t>
      </w:r>
    </w:p>
    <w:p>
      <w:pPr>
        <w:spacing w:before="0" w:after="120" w:line="300" w:lineRule="auto"/>
        <w:jc w:val="both"/>
      </w:pPr>
      <w:r>
        <w:rPr>
          <w:rFonts w:ascii="Times New Roman" w:hAnsi="Times New Roman"/>
          <w:color w:val="0F172A"/>
          <w:sz w:val="23"/>
        </w:rPr>
        <w:t>Bảng điều khiển nhu cầu được chuẩn hóa theo tuần lịch bắt đầu từ thứ Hai (W-MON). Để loại trừ thiên kiến tồn tại, toàn bộ 2,785 SKU đủ điều kiện được điền số 0 rõ ràng vào các tuần không phát sinh giao dịch, tạo thành bảng dữ liệu chữ nhật 289,640 bản ghi (96 tuần phát triển + 8 tuần kiểm thử cuối cùng).</w:t>
      </w:r>
    </w:p>
    <w:p>
      <w:pPr>
        <w:keepNext/>
        <w:spacing w:before="280" w:after="120"/>
      </w:pPr>
      <w:r>
        <w:rPr>
          <w:rFonts w:ascii="Times New Roman" w:hAnsi="Times New Roman"/>
          <w:b/>
          <w:color w:val="0F172A"/>
          <w:sz w:val="25"/>
        </w:rPr>
        <w:t>3.2 Phân đoạn Cohort và kiểm soát rò rỉ dữ liệu (Leakage Firewall)</w:t>
      </w:r>
    </w:p>
    <w:p>
      <w:pPr>
        <w:spacing w:before="0" w:after="120" w:line="300" w:lineRule="auto"/>
        <w:jc w:val="both"/>
      </w:pPr>
      <w:r>
        <w:rPr>
          <w:rFonts w:ascii="Times New Roman" w:hAnsi="Times New Roman"/>
          <w:color w:val="0F172A"/>
          <w:sz w:val="23"/>
        </w:rPr>
        <w:t>Danh mục 2,785 SKU được chia thành hai nhóm riêng biệt: (1) Primary Mature Cohort (1,717 SKU có giao dịch trong 52 tuần đầu) và (2) Secondary Late-Maturing Cohort (1,068 SKU gia nhập trong năm thứ hai). Mỗi nhóm được xây dựng mô hình riêng biệt nhằm đảm bảo tính công bằng về độ dài lịch sử.</w:t>
      </w:r>
    </w:p>
    <w:p>
      <w:pPr>
        <w:spacing w:before="0" w:after="120" w:line="300" w:lineRule="auto"/>
        <w:jc w:val="both"/>
      </w:pPr>
      <w:r>
        <w:rPr>
          <w:rFonts w:ascii="Times New Roman" w:hAnsi="Times New Roman"/>
          <w:color w:val="0F172A"/>
          <w:sz w:val="23"/>
        </w:rPr>
        <w:t>Bộ đặc trưng 71 biến gồm 5 nhóm chính: Lags (nhu cầu trễ 1..8 tuần), Rolling statistics (trung bình trượt, độ lệch chuẩn, hệ số biến thiên CV, min, max trên cửa sổ 2..12 tuần), EWMA (trung bình trượt số mũ alpha=0.1, 0.3, 0.5), Customer breadth (số khách hàng duy nhất và số giao dịch trễ), Calendar cyclical (sin/cos của tuần và tháng), và Price statistics. Mọi biến đều tuân thủ nguyên tắc trễ tối thiểu shift(1), triệt tiêu hoàn toàn rò rỉ thông tin tương lai.</w:t>
      </w:r>
    </w:p>
    <w:p>
      <w:pPr>
        <w:keepNext/>
        <w:spacing w:before="280" w:after="120"/>
      </w:pPr>
      <w:r>
        <w:rPr>
          <w:rFonts w:ascii="Times New Roman" w:hAnsi="Times New Roman"/>
          <w:b/>
          <w:color w:val="0F172A"/>
          <w:sz w:val="25"/>
        </w:rPr>
        <w:t>3.3 Chiến lược kiểm định Expanding-Window và Đóng băng Holdout</w:t>
      </w:r>
    </w:p>
    <w:p>
      <w:pPr>
        <w:spacing w:before="0" w:after="120" w:line="300" w:lineRule="auto"/>
        <w:jc w:val="both"/>
      </w:pPr>
      <w:r>
        <w:rPr>
          <w:rFonts w:ascii="Times New Roman" w:hAnsi="Times New Roman"/>
          <w:color w:val="0F172A"/>
          <w:sz w:val="23"/>
        </w:rPr>
        <w:t>Chiến lược kiểm định chéo sử dụng 5 nếp cuộn mở rộng (Expanding-window Cross Validation) với độ dài dự báo 8 tuần (H=8), cung cấp 40 tuần kiểm định độc lập trên tập phát triển. Tập kiểm thử cuối cùng gồm 8 tuần (2011-10-10 đến 2011-11-28) được niêm phong hoàn toàn và chỉ mở để chấm điểm một lần duy nhất sau khi đã đóng băng toàn bộ trọng số mô hình ứng viên.</w:t>
      </w:r>
    </w:p>
    <w:p>
      <w:pPr>
        <w:keepNext/>
        <w:spacing w:before="360" w:after="160"/>
      </w:pPr>
      <w:r>
        <w:rPr>
          <w:rFonts w:ascii="Times New Roman" w:hAnsi="Times New Roman"/>
          <w:b/>
          <w:color w:val="1E3A8A"/>
          <w:sz w:val="28"/>
        </w:rPr>
        <w:t>CHƯƠNG 4. KẾT QUẢ THỰC NGHIỆM VÀ PHÂN TÍCH (RESULTS AND ANALYSIS)</w:t>
      </w:r>
    </w:p>
    <w:p>
      <w:pPr>
        <w:keepNext/>
        <w:spacing w:before="280" w:after="120"/>
      </w:pPr>
      <w:r>
        <w:rPr>
          <w:rFonts w:ascii="Times New Roman" w:hAnsi="Times New Roman"/>
          <w:b/>
          <w:color w:val="0F172A"/>
          <w:sz w:val="25"/>
        </w:rPr>
        <w:t>4.1 Khám phá dữ liệu và hình thái nhu cầu bán lẻ</w:t>
      </w:r>
    </w:p>
    <w:p>
      <w:pPr>
        <w:spacing w:before="0" w:after="120" w:line="300" w:lineRule="auto"/>
        <w:jc w:val="both"/>
      </w:pPr>
      <w:r>
        <w:rPr>
          <w:rFonts w:ascii="Times New Roman" w:hAnsi="Times New Roman"/>
          <w:color w:val="0F172A"/>
          <w:sz w:val="23"/>
        </w:rPr>
        <w:t>Phân tích dữ liệu giao dịch sạch ghi nhận các phát hiện kinh doanh nổi bật:</w:t>
      </w:r>
    </w:p>
    <w:p>
      <w:pPr>
        <w:pStyle w:val="ListBullet"/>
        <w:spacing w:before="0" w:after="80" w:line="288" w:lineRule="auto"/>
        <w:jc w:val="both"/>
      </w:pPr>
      <w:r>
        <w:rPr>
          <w:rFonts w:ascii="Times New Roman" w:hAnsi="Times New Roman"/>
          <w:b/>
          <w:sz w:val="23"/>
        </w:rPr>
        <w:t xml:space="preserve">Cơ cấu địa lý: </w:t>
      </w:r>
      <w:r>
        <w:rPr>
          <w:rFonts w:ascii="Times New Roman" w:hAnsi="Times New Roman"/>
          <w:color w:val="0F172A"/>
          <w:sz w:val="23"/>
        </w:rPr>
        <w:t>Vương quốc Anh (United Kingdom) chiếm hơn 92.05% tổng số lượng giao dịch, tiếp theo là Đức (Germany ~2.1%) và Pháp (France ~1.8%).</w:t>
      </w:r>
    </w:p>
    <w:p>
      <w:pPr>
        <w:pStyle w:val="ListBullet"/>
        <w:spacing w:before="0" w:after="80" w:line="288" w:lineRule="auto"/>
        <w:jc w:val="both"/>
      </w:pPr>
      <w:r>
        <w:rPr>
          <w:rFonts w:ascii="Times New Roman" w:hAnsi="Times New Roman"/>
          <w:b/>
          <w:sz w:val="23"/>
        </w:rPr>
        <w:t xml:space="preserve">Tính mùa vụ: </w:t>
      </w:r>
      <w:r>
        <w:rPr>
          <w:rFonts w:ascii="Times New Roman" w:hAnsi="Times New Roman"/>
          <w:color w:val="0F172A"/>
          <w:sz w:val="23"/>
        </w:rPr>
        <w:t>Tổng lượng cầu tăng vọt mạnh mẽ vào quý 4 (tháng 10 - tháng 12) hàng năm, cao gấp 2.8 lần so với các quý đầu năm do mùa lễ hội Giáng sinh.</w:t>
      </w:r>
    </w:p>
    <w:p>
      <w:pPr>
        <w:pStyle w:val="ListBullet"/>
        <w:spacing w:before="0" w:after="80" w:line="288" w:lineRule="auto"/>
        <w:jc w:val="both"/>
      </w:pPr>
      <w:r>
        <w:rPr>
          <w:rFonts w:ascii="Times New Roman" w:hAnsi="Times New Roman"/>
          <w:b/>
          <w:sz w:val="23"/>
        </w:rPr>
        <w:t xml:space="preserve">Hình thái SBC: </w:t>
      </w:r>
      <w:r>
        <w:rPr>
          <w:rFonts w:ascii="Times New Roman" w:hAnsi="Times New Roman"/>
          <w:color w:val="0F172A"/>
          <w:sz w:val="23"/>
        </w:rPr>
        <w:t>Hơn 46.2% các SKU thuộc nhóm Lumpy và Intermittent (nhu cầu gián đoạn thất thường theo khung Syntetos-Boylan).</w:t>
      </w:r>
    </w:p>
    <w:p>
      <w:pPr>
        <w:pStyle w:val="ListBullet"/>
        <w:spacing w:before="0" w:after="80" w:line="288" w:lineRule="auto"/>
        <w:jc w:val="both"/>
      </w:pPr>
      <w:r>
        <w:rPr>
          <w:rFonts w:ascii="Times New Roman" w:hAnsi="Times New Roman"/>
          <w:b/>
          <w:sz w:val="23"/>
        </w:rPr>
        <w:t xml:space="preserve">Phân loại ABC: </w:t>
      </w:r>
      <w:r>
        <w:rPr>
          <w:rFonts w:ascii="Times New Roman" w:hAnsi="Times New Roman"/>
          <w:color w:val="0F172A"/>
          <w:sz w:val="23"/>
        </w:rPr>
        <w:t>20% số lượng SKU hàng đầu (Class A) đóng góp tới 80.3% tổng sản lượng tiêu thụ theo phân tích Pareto.</w:t>
      </w:r>
    </w:p>
    <w:p>
      <w:pPr>
        <w:spacing w:before="160" w:after="60"/>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da_country_distribution.png"/>
                    <pic:cNvPicPr/>
                  </pic:nvPicPr>
                  <pic:blipFill>
                    <a:blip r:embed="rId9"/>
                    <a:stretch>
                      <a:fillRect/>
                    </a:stretch>
                  </pic:blipFill>
                  <pic:spPr>
                    <a:xfrm>
                      <a:off x="0" y="0"/>
                      <a:ext cx="5486400" cy="3048000"/>
                    </a:xfrm>
                    <a:prstGeom prst="rect"/>
                  </pic:spPr>
                </pic:pic>
              </a:graphicData>
            </a:graphic>
          </wp:inline>
        </w:drawing>
      </w:r>
    </w:p>
    <w:p>
      <w:pPr>
        <w:spacing w:before="40" w:after="200"/>
        <w:jc w:val="center"/>
      </w:pPr>
      <w:r>
        <w:rPr>
          <w:rFonts w:ascii="Times New Roman" w:hAnsi="Times New Roman"/>
          <w:i/>
          <w:color w:val="334155"/>
          <w:sz w:val="20"/>
        </w:rPr>
        <w:t>Hình 4.1. Cơ cấu thị trường giao dịch theo quốc gia (Top 10)</w:t>
      </w:r>
    </w:p>
    <w:p>
      <w:pPr>
        <w:spacing w:before="160" w:after="60"/>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eda_weekly_trend.png"/>
                    <pic:cNvPicPr/>
                  </pic:nvPicPr>
                  <pic:blipFill>
                    <a:blip r:embed="rId10"/>
                    <a:stretch>
                      <a:fillRect/>
                    </a:stretch>
                  </pic:blipFill>
                  <pic:spPr>
                    <a:xfrm>
                      <a:off x="0" y="0"/>
                      <a:ext cx="5486400" cy="2286000"/>
                    </a:xfrm>
                    <a:prstGeom prst="rect"/>
                  </pic:spPr>
                </pic:pic>
              </a:graphicData>
            </a:graphic>
          </wp:inline>
        </w:drawing>
      </w:r>
    </w:p>
    <w:p>
      <w:pPr>
        <w:spacing w:before="40" w:after="200"/>
        <w:jc w:val="center"/>
      </w:pPr>
      <w:r>
        <w:rPr>
          <w:rFonts w:ascii="Times New Roman" w:hAnsi="Times New Roman"/>
          <w:i/>
          <w:color w:val="334155"/>
          <w:sz w:val="20"/>
        </w:rPr>
        <w:t>Hình 4.2. Xu hướng tổng nhu cầu bán lẻ theo tuần giai đoạn 2009 - 2011</w:t>
      </w:r>
    </w:p>
    <w:p>
      <w:pPr>
        <w:spacing w:before="160" w:after="6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eda_abc_pareto.png"/>
                    <pic:cNvPicPr/>
                  </pic:nvPicPr>
                  <pic:blipFill>
                    <a:blip r:embed="rId11"/>
                    <a:stretch>
                      <a:fillRect/>
                    </a:stretch>
                  </pic:blipFill>
                  <pic:spPr>
                    <a:xfrm>
                      <a:off x="0" y="0"/>
                      <a:ext cx="5486400" cy="3429000"/>
                    </a:xfrm>
                    <a:prstGeom prst="rect"/>
                  </pic:spPr>
                </pic:pic>
              </a:graphicData>
            </a:graphic>
          </wp:inline>
        </w:drawing>
      </w:r>
    </w:p>
    <w:p>
      <w:pPr>
        <w:spacing w:before="40" w:after="200"/>
        <w:jc w:val="center"/>
      </w:pPr>
      <w:r>
        <w:rPr>
          <w:rFonts w:ascii="Times New Roman" w:hAnsi="Times New Roman"/>
          <w:i/>
          <w:color w:val="334155"/>
          <w:sz w:val="20"/>
        </w:rPr>
        <w:t>Hình 4.3. Đường cong Pareto và phân loại nhóm SKU ABC theo sản lượng</w:t>
      </w:r>
    </w:p>
    <w:p>
      <w:pPr>
        <w:spacing w:before="160" w:after="60"/>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eda_intermittency_sbc.png"/>
                    <pic:cNvPicPr/>
                  </pic:nvPicPr>
                  <pic:blipFill>
                    <a:blip r:embed="rId12"/>
                    <a:stretch>
                      <a:fillRect/>
                    </a:stretch>
                  </pic:blipFill>
                  <pic:spPr>
                    <a:xfrm>
                      <a:off x="0" y="0"/>
                      <a:ext cx="5486400" cy="3918857"/>
                    </a:xfrm>
                    <a:prstGeom prst="rect"/>
                  </pic:spPr>
                </pic:pic>
              </a:graphicData>
            </a:graphic>
          </wp:inline>
        </w:drawing>
      </w:r>
    </w:p>
    <w:p>
      <w:pPr>
        <w:spacing w:before="40" w:after="200"/>
        <w:jc w:val="center"/>
      </w:pPr>
      <w:r>
        <w:rPr>
          <w:rFonts w:ascii="Times New Roman" w:hAnsi="Times New Roman"/>
          <w:i/>
          <w:color w:val="334155"/>
          <w:sz w:val="20"/>
        </w:rPr>
        <w:t>Hình 4.4. Phân loại hình thái nhu cầu bán lẻ theo khung Syntetos-Boylan (SBC)</w:t>
      </w:r>
    </w:p>
    <w:p>
      <w:pPr>
        <w:keepNext/>
        <w:spacing w:before="280" w:after="120"/>
      </w:pPr>
      <w:r>
        <w:rPr>
          <w:rFonts w:ascii="Times New Roman" w:hAnsi="Times New Roman"/>
          <w:b/>
          <w:color w:val="0F172A"/>
          <w:sz w:val="25"/>
        </w:rPr>
        <w:t>4.2 Đối chuẩn đa mô hình trên tập phát triển (Phase 7 Cross-Validation)</w:t>
      </w:r>
    </w:p>
    <w:p>
      <w:pPr>
        <w:spacing w:before="0" w:after="120" w:line="300" w:lineRule="auto"/>
        <w:jc w:val="both"/>
      </w:pPr>
      <w:r>
        <w:rPr>
          <w:rFonts w:ascii="Times New Roman" w:hAnsi="Times New Roman"/>
          <w:color w:val="0F172A"/>
          <w:sz w:val="23"/>
        </w:rPr>
        <w:t>Bảng 4.1 tổng hợp hiệu năng OOF (Out-Of-Fold) của các họ mô hình trên 5 nếp kiểm định mở rộng với cùng một vũ trụ dữ liệu (Common Universe 68,680 quan sát Primary và 42,720 quan sát Secondary ở các bước dự báo H=1, 4, 8).</w:t>
      </w:r>
    </w:p>
    <w:p>
      <w:pPr>
        <w:spacing w:before="200" w:after="80"/>
        <w:jc w:val="left"/>
      </w:pPr>
      <w:r>
        <w:rPr>
          <w:rFonts w:ascii="Times New Roman" w:hAnsi="Times New Roman"/>
          <w:b/>
          <w:color w:val="1E293B"/>
          <w:sz w:val="22"/>
        </w:rPr>
        <w:t>Bảng 4.1. So sánh hiệu năng đối chuẩn đa họ mô hình trên 5 nếp kiểm định mở rộng (H=4)</w:t>
      </w:r>
    </w:p>
    <w:tbl>
      <w:tblPr>
        <w:tblW w:type="auto" w:w="0"/>
        <w:jc w:val="center"/>
        <w:tblLayout w:type="autofit"/>
        <w:tblLook w:firstColumn="1" w:firstRow="1" w:lastColumn="0" w:lastRow="0" w:noHBand="0" w:noVBand="1" w:val="04A0"/>
      </w:tblPr>
      <w:tblGrid>
        <w:gridCol w:w="1175"/>
        <w:gridCol w:w="1175"/>
        <w:gridCol w:w="1175"/>
        <w:gridCol w:w="1175"/>
        <w:gridCol w:w="1175"/>
        <w:gridCol w:w="1175"/>
        <w:gridCol w:w="1175"/>
        <w:gridCol w:w="1175"/>
      </w:tblGrid>
      <w:tr>
        <w:tc>
          <w:tcPr>
            <w:tcW w:type="dxa" w:w="1175"/>
            <w:shd w:fill="1E3A8A"/>
            <w:tcMar>
              <w:top w:w="120" w:type="dxa"/>
              <w:bottom w:w="120" w:type="dxa"/>
              <w:left w:w="140" w:type="dxa"/>
              <w:right w:w="140" w:type="dxa"/>
            </w:tcMar>
          </w:tcPr>
          <w:p>
            <w:pPr>
              <w:jc w:val="center"/>
            </w:pPr>
            <w:r>
              <w:rPr>
                <w:rFonts w:ascii="Times New Roman" w:hAnsi="Times New Roman"/>
                <w:b/>
                <w:color w:val="FFFFFF"/>
                <w:sz w:val="19"/>
              </w:rPr>
              <w:t>Model_Family</w:t>
            </w:r>
          </w:p>
        </w:tc>
        <w:tc>
          <w:tcPr>
            <w:tcW w:type="dxa" w:w="1175"/>
            <w:shd w:fill="1E3A8A"/>
            <w:tcMar>
              <w:top w:w="120" w:type="dxa"/>
              <w:bottom w:w="120" w:type="dxa"/>
              <w:left w:w="140" w:type="dxa"/>
              <w:right w:w="140" w:type="dxa"/>
            </w:tcMar>
          </w:tcPr>
          <w:p>
            <w:pPr>
              <w:jc w:val="center"/>
            </w:pPr>
            <w:r>
              <w:rPr>
                <w:rFonts w:ascii="Times New Roman" w:hAnsi="Times New Roman"/>
                <w:b/>
                <w:color w:val="FFFFFF"/>
                <w:sz w:val="19"/>
              </w:rPr>
              <w:t>Candidate_Stream</w:t>
            </w:r>
          </w:p>
        </w:tc>
        <w:tc>
          <w:tcPr>
            <w:tcW w:type="dxa" w:w="1175"/>
            <w:shd w:fill="1E3A8A"/>
            <w:tcMar>
              <w:top w:w="120" w:type="dxa"/>
              <w:bottom w:w="120" w:type="dxa"/>
              <w:left w:w="140" w:type="dxa"/>
              <w:right w:w="140" w:type="dxa"/>
            </w:tcMar>
          </w:tcPr>
          <w:p>
            <w:pPr>
              <w:jc w:val="center"/>
            </w:pPr>
            <w:r>
              <w:rPr>
                <w:rFonts w:ascii="Times New Roman" w:hAnsi="Times New Roman"/>
                <w:b/>
                <w:color w:val="FFFFFF"/>
                <w:sz w:val="19"/>
              </w:rPr>
              <w:t>Cohort</w:t>
            </w:r>
          </w:p>
        </w:tc>
        <w:tc>
          <w:tcPr>
            <w:tcW w:type="dxa" w:w="1175"/>
            <w:shd w:fill="1E3A8A"/>
            <w:tcMar>
              <w:top w:w="120" w:type="dxa"/>
              <w:bottom w:w="120" w:type="dxa"/>
              <w:left w:w="140" w:type="dxa"/>
              <w:right w:w="140" w:type="dxa"/>
            </w:tcMar>
          </w:tcPr>
          <w:p>
            <w:pPr>
              <w:jc w:val="center"/>
            </w:pPr>
            <w:r>
              <w:rPr>
                <w:rFonts w:ascii="Times New Roman" w:hAnsi="Times New Roman"/>
                <w:b/>
                <w:color w:val="FFFFFF"/>
                <w:sz w:val="19"/>
              </w:rPr>
              <w:t>Horizon</w:t>
            </w:r>
          </w:p>
        </w:tc>
        <w:tc>
          <w:tcPr>
            <w:tcW w:type="dxa" w:w="1175"/>
            <w:shd w:fill="1E3A8A"/>
            <w:tcMar>
              <w:top w:w="120" w:type="dxa"/>
              <w:bottom w:w="120" w:type="dxa"/>
              <w:left w:w="140" w:type="dxa"/>
              <w:right w:w="140" w:type="dxa"/>
            </w:tcMar>
          </w:tcPr>
          <w:p>
            <w:pPr>
              <w:jc w:val="center"/>
            </w:pPr>
            <w:r>
              <w:rPr>
                <w:rFonts w:ascii="Times New Roman" w:hAnsi="Times New Roman"/>
                <w:b/>
                <w:color w:val="FFFFFF"/>
                <w:sz w:val="19"/>
              </w:rPr>
              <w:t>WAPE_Pct</w:t>
            </w:r>
          </w:p>
        </w:tc>
        <w:tc>
          <w:tcPr>
            <w:tcW w:type="dxa" w:w="1175"/>
            <w:shd w:fill="1E3A8A"/>
            <w:tcMar>
              <w:top w:w="120" w:type="dxa"/>
              <w:bottom w:w="120" w:type="dxa"/>
              <w:left w:w="140" w:type="dxa"/>
              <w:right w:w="140" w:type="dxa"/>
            </w:tcMar>
          </w:tcPr>
          <w:p>
            <w:pPr>
              <w:jc w:val="center"/>
            </w:pPr>
            <w:r>
              <w:rPr>
                <w:rFonts w:ascii="Times New Roman" w:hAnsi="Times New Roman"/>
                <w:b/>
                <w:color w:val="FFFFFF"/>
                <w:sz w:val="19"/>
              </w:rPr>
              <w:t>RMSE</w:t>
            </w:r>
          </w:p>
        </w:tc>
        <w:tc>
          <w:tcPr>
            <w:tcW w:type="dxa" w:w="1175"/>
            <w:shd w:fill="1E3A8A"/>
            <w:tcMar>
              <w:top w:w="120" w:type="dxa"/>
              <w:bottom w:w="120" w:type="dxa"/>
              <w:left w:w="140" w:type="dxa"/>
              <w:right w:w="140" w:type="dxa"/>
            </w:tcMar>
          </w:tcPr>
          <w:p>
            <w:pPr>
              <w:jc w:val="center"/>
            </w:pPr>
            <w:r>
              <w:rPr>
                <w:rFonts w:ascii="Times New Roman" w:hAnsi="Times New Roman"/>
                <w:b/>
                <w:color w:val="FFFFFF"/>
                <w:sz w:val="19"/>
              </w:rPr>
              <w:t>Bias_Pct</w:t>
            </w:r>
          </w:p>
        </w:tc>
        <w:tc>
          <w:tcPr>
            <w:tcW w:type="dxa" w:w="1175"/>
            <w:shd w:fill="1E3A8A"/>
            <w:tcMar>
              <w:top w:w="120" w:type="dxa"/>
              <w:bottom w:w="120" w:type="dxa"/>
              <w:left w:w="140" w:type="dxa"/>
              <w:right w:w="140" w:type="dxa"/>
            </w:tcMar>
          </w:tcPr>
          <w:p>
            <w:pPr>
              <w:jc w:val="center"/>
            </w:pPr>
            <w:r>
              <w:rPr>
                <w:rFonts w:ascii="Times New Roman" w:hAnsi="Times New Roman"/>
                <w:b/>
                <w:color w:val="FFFFFF"/>
                <w:sz w:val="19"/>
              </w:rPr>
              <w:t>MASE</w:t>
            </w:r>
          </w:p>
        </w:tc>
      </w:tr>
      <w:tr>
        <w:tc>
          <w:tcPr>
            <w:tcW w:type="dxa" w:w="1175"/>
            <w:shd w:fill="FFFFFF"/>
            <w:tcMar>
              <w:top w:w="70" w:type="dxa"/>
              <w:bottom w:w="70" w:type="dxa"/>
              <w:left w:w="100" w:type="dxa"/>
              <w:right w:w="100" w:type="dxa"/>
            </w:tcMar>
          </w:tcPr>
          <w:p>
            <w:pPr>
              <w:jc w:val="left"/>
            </w:pPr>
            <w:r>
              <w:rPr>
                <w:rFonts w:ascii="Times New Roman" w:hAnsi="Times New Roman"/>
                <w:color w:val="0F172A"/>
                <w:sz w:val="18"/>
              </w:rPr>
              <w:t>GBDT (Champion)</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CatBoost__MAE</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Primary</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H=4</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66.16</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78.42</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-14.20</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0.6350</w:t>
            </w:r>
          </w:p>
        </w:tc>
      </w:tr>
      <w:tr>
        <w:tc>
          <w:tcPr>
            <w:tcW w:type="dxa" w:w="1175"/>
            <w:shd w:fill="F8FAFC"/>
            <w:tcMar>
              <w:top w:w="70" w:type="dxa"/>
              <w:bottom w:w="70" w:type="dxa"/>
              <w:left w:w="100" w:type="dxa"/>
              <w:right w:w="100" w:type="dxa"/>
            </w:tcMar>
          </w:tcPr>
          <w:p>
            <w:pPr>
              <w:jc w:val="left"/>
            </w:pPr>
            <w:r>
              <w:rPr>
                <w:rFonts w:ascii="Times New Roman" w:hAnsi="Times New Roman"/>
                <w:color w:val="0F172A"/>
                <w:sz w:val="18"/>
              </w:rPr>
              <w:t>GBDT (Low Bias)</w:t>
            </w:r>
          </w:p>
        </w:tc>
        <w:tc>
          <w:tcPr>
            <w:tcW w:type="dxa" w:w="1175"/>
            <w:shd w:fill="F8FAFC"/>
            <w:tcMar>
              <w:top w:w="70" w:type="dxa"/>
              <w:bottom w:w="70" w:type="dxa"/>
              <w:left w:w="100" w:type="dxa"/>
              <w:right w:w="100" w:type="dxa"/>
            </w:tcMar>
          </w:tcPr>
          <w:p>
            <w:pPr>
              <w:jc w:val="center"/>
            </w:pPr>
            <w:r>
              <w:rPr>
                <w:rFonts w:ascii="Times New Roman" w:hAnsi="Times New Roman"/>
                <w:color w:val="0F172A"/>
                <w:sz w:val="18"/>
              </w:rPr>
              <w:t>CatBoost__Tweedie_p15</w:t>
            </w:r>
          </w:p>
        </w:tc>
        <w:tc>
          <w:tcPr>
            <w:tcW w:type="dxa" w:w="1175"/>
            <w:shd w:fill="F8FAFC"/>
            <w:tcMar>
              <w:top w:w="70" w:type="dxa"/>
              <w:bottom w:w="70" w:type="dxa"/>
              <w:left w:w="100" w:type="dxa"/>
              <w:right w:w="100" w:type="dxa"/>
            </w:tcMar>
          </w:tcPr>
          <w:p>
            <w:pPr>
              <w:jc w:val="center"/>
            </w:pPr>
            <w:r>
              <w:rPr>
                <w:rFonts w:ascii="Times New Roman" w:hAnsi="Times New Roman"/>
                <w:color w:val="0F172A"/>
                <w:sz w:val="18"/>
              </w:rPr>
              <w:t>Primary</w:t>
            </w:r>
          </w:p>
        </w:tc>
        <w:tc>
          <w:tcPr>
            <w:tcW w:type="dxa" w:w="1175"/>
            <w:shd w:fill="F8FAFC"/>
            <w:tcMar>
              <w:top w:w="70" w:type="dxa"/>
              <w:bottom w:w="70" w:type="dxa"/>
              <w:left w:w="100" w:type="dxa"/>
              <w:right w:w="100" w:type="dxa"/>
            </w:tcMar>
          </w:tcPr>
          <w:p>
            <w:pPr>
              <w:jc w:val="center"/>
            </w:pPr>
            <w:r>
              <w:rPr>
                <w:rFonts w:ascii="Times New Roman" w:hAnsi="Times New Roman"/>
                <w:color w:val="0F172A"/>
                <w:sz w:val="18"/>
              </w:rPr>
              <w:t>H=4</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68.45</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77.73</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-5.0200</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0.6580</w:t>
            </w:r>
          </w:p>
        </w:tc>
      </w:tr>
      <w:tr>
        <w:tc>
          <w:tcPr>
            <w:tcW w:type="dxa" w:w="1175"/>
            <w:shd w:fill="FFFFFF"/>
            <w:tcMar>
              <w:top w:w="70" w:type="dxa"/>
              <w:bottom w:w="70" w:type="dxa"/>
              <w:left w:w="100" w:type="dxa"/>
              <w:right w:w="100" w:type="dxa"/>
            </w:tcMar>
          </w:tcPr>
          <w:p>
            <w:pPr>
              <w:jc w:val="left"/>
            </w:pPr>
            <w:r>
              <w:rPr>
                <w:rFonts w:ascii="Times New Roman" w:hAnsi="Times New Roman"/>
                <w:color w:val="0F172A"/>
                <w:sz w:val="18"/>
              </w:rPr>
              <w:t>GBDT</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LightGBM__L1</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Primary</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H=4</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66.29</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79.15</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-15.10</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0.6380</w:t>
            </w:r>
          </w:p>
        </w:tc>
      </w:tr>
      <w:tr>
        <w:tc>
          <w:tcPr>
            <w:tcW w:type="dxa" w:w="1175"/>
            <w:shd w:fill="F8FAFC"/>
            <w:tcMar>
              <w:top w:w="70" w:type="dxa"/>
              <w:bottom w:w="70" w:type="dxa"/>
              <w:left w:w="100" w:type="dxa"/>
              <w:right w:w="100" w:type="dxa"/>
            </w:tcMar>
          </w:tcPr>
          <w:p>
            <w:pPr>
              <w:jc w:val="left"/>
            </w:pPr>
            <w:r>
              <w:rPr>
                <w:rFonts w:ascii="Times New Roman" w:hAnsi="Times New Roman"/>
                <w:color w:val="0F172A"/>
                <w:sz w:val="18"/>
              </w:rPr>
              <w:t>Deep Sequence</w:t>
            </w:r>
          </w:p>
        </w:tc>
        <w:tc>
          <w:tcPr>
            <w:tcW w:type="dxa" w:w="1175"/>
            <w:shd w:fill="F8FAFC"/>
            <w:tcMar>
              <w:top w:w="70" w:type="dxa"/>
              <w:bottom w:w="70" w:type="dxa"/>
              <w:left w:w="100" w:type="dxa"/>
              <w:right w:w="100" w:type="dxa"/>
            </w:tcMar>
          </w:tcPr>
          <w:p>
            <w:pPr>
              <w:jc w:val="center"/>
            </w:pPr>
            <w:r>
              <w:rPr>
                <w:rFonts w:ascii="Times New Roman" w:hAnsi="Times New Roman"/>
                <w:color w:val="0F172A"/>
                <w:sz w:val="18"/>
              </w:rPr>
              <w:t>TiDE_Sequence_v1</w:t>
            </w:r>
          </w:p>
        </w:tc>
        <w:tc>
          <w:tcPr>
            <w:tcW w:type="dxa" w:w="1175"/>
            <w:shd w:fill="F8FAFC"/>
            <w:tcMar>
              <w:top w:w="70" w:type="dxa"/>
              <w:bottom w:w="70" w:type="dxa"/>
              <w:left w:w="100" w:type="dxa"/>
              <w:right w:w="100" w:type="dxa"/>
            </w:tcMar>
          </w:tcPr>
          <w:p>
            <w:pPr>
              <w:jc w:val="center"/>
            </w:pPr>
            <w:r>
              <w:rPr>
                <w:rFonts w:ascii="Times New Roman" w:hAnsi="Times New Roman"/>
                <w:color w:val="0F172A"/>
                <w:sz w:val="18"/>
              </w:rPr>
              <w:t>Primary</w:t>
            </w:r>
          </w:p>
        </w:tc>
        <w:tc>
          <w:tcPr>
            <w:tcW w:type="dxa" w:w="1175"/>
            <w:shd w:fill="F8FAFC"/>
            <w:tcMar>
              <w:top w:w="70" w:type="dxa"/>
              <w:bottom w:w="70" w:type="dxa"/>
              <w:left w:w="100" w:type="dxa"/>
              <w:right w:w="100" w:type="dxa"/>
            </w:tcMar>
          </w:tcPr>
          <w:p>
            <w:pPr>
              <w:jc w:val="center"/>
            </w:pPr>
            <w:r>
              <w:rPr>
                <w:rFonts w:ascii="Times New Roman" w:hAnsi="Times New Roman"/>
                <w:color w:val="0F172A"/>
                <w:sz w:val="18"/>
              </w:rPr>
              <w:t>H=4</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75.04</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88.60</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-12.40</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0.7180</w:t>
            </w:r>
          </w:p>
        </w:tc>
      </w:tr>
      <w:tr>
        <w:tc>
          <w:tcPr>
            <w:tcW w:type="dxa" w:w="1175"/>
            <w:shd w:fill="FFFFFF"/>
            <w:tcMar>
              <w:top w:w="70" w:type="dxa"/>
              <w:bottom w:w="70" w:type="dxa"/>
              <w:left w:w="100" w:type="dxa"/>
              <w:right w:w="100" w:type="dxa"/>
            </w:tcMar>
          </w:tcPr>
          <w:p>
            <w:pPr>
              <w:jc w:val="left"/>
            </w:pPr>
            <w:r>
              <w:rPr>
                <w:rFonts w:ascii="Times New Roman" w:hAnsi="Times New Roman"/>
                <w:color w:val="0F172A"/>
                <w:sz w:val="18"/>
              </w:rPr>
              <w:t>Deep Sequence</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TFT_Sequence_v1</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Primary</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H=4</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78.90</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92.40</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-18.90</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0.7490</w:t>
            </w:r>
          </w:p>
        </w:tc>
      </w:tr>
      <w:tr>
        <w:tc>
          <w:tcPr>
            <w:tcW w:type="dxa" w:w="1175"/>
            <w:shd w:fill="F8FAFC"/>
            <w:tcMar>
              <w:top w:w="70" w:type="dxa"/>
              <w:bottom w:w="70" w:type="dxa"/>
              <w:left w:w="100" w:type="dxa"/>
              <w:right w:w="100" w:type="dxa"/>
            </w:tcMar>
          </w:tcPr>
          <w:p>
            <w:pPr>
              <w:jc w:val="left"/>
            </w:pPr>
            <w:r>
              <w:rPr>
                <w:rFonts w:ascii="Times New Roman" w:hAnsi="Times New Roman"/>
                <w:color w:val="0F172A"/>
                <w:sz w:val="18"/>
              </w:rPr>
              <w:t>Baseline</w:t>
            </w:r>
          </w:p>
        </w:tc>
        <w:tc>
          <w:tcPr>
            <w:tcW w:type="dxa" w:w="1175"/>
            <w:shd w:fill="F8FAFC"/>
            <w:tcMar>
              <w:top w:w="70" w:type="dxa"/>
              <w:bottom w:w="70" w:type="dxa"/>
              <w:left w:w="100" w:type="dxa"/>
              <w:right w:w="100" w:type="dxa"/>
            </w:tcMar>
          </w:tcPr>
          <w:p>
            <w:pPr>
              <w:jc w:val="center"/>
            </w:pPr>
            <w:r>
              <w:rPr>
                <w:rFonts w:ascii="Times New Roman" w:hAnsi="Times New Roman"/>
                <w:color w:val="0F172A"/>
                <w:sz w:val="18"/>
              </w:rPr>
              <w:t>MA_4</w:t>
            </w:r>
          </w:p>
        </w:tc>
        <w:tc>
          <w:tcPr>
            <w:tcW w:type="dxa" w:w="1175"/>
            <w:shd w:fill="F8FAFC"/>
            <w:tcMar>
              <w:top w:w="70" w:type="dxa"/>
              <w:bottom w:w="70" w:type="dxa"/>
              <w:left w:w="100" w:type="dxa"/>
              <w:right w:w="100" w:type="dxa"/>
            </w:tcMar>
          </w:tcPr>
          <w:p>
            <w:pPr>
              <w:jc w:val="center"/>
            </w:pPr>
            <w:r>
              <w:rPr>
                <w:rFonts w:ascii="Times New Roman" w:hAnsi="Times New Roman"/>
                <w:color w:val="0F172A"/>
                <w:sz w:val="18"/>
              </w:rPr>
              <w:t>Primary</w:t>
            </w:r>
          </w:p>
        </w:tc>
        <w:tc>
          <w:tcPr>
            <w:tcW w:type="dxa" w:w="1175"/>
            <w:shd w:fill="F8FAFC"/>
            <w:tcMar>
              <w:top w:w="70" w:type="dxa"/>
              <w:bottom w:w="70" w:type="dxa"/>
              <w:left w:w="100" w:type="dxa"/>
              <w:right w:w="100" w:type="dxa"/>
            </w:tcMar>
          </w:tcPr>
          <w:p>
            <w:pPr>
              <w:jc w:val="center"/>
            </w:pPr>
            <w:r>
              <w:rPr>
                <w:rFonts w:ascii="Times New Roman" w:hAnsi="Times New Roman"/>
                <w:color w:val="0F172A"/>
                <w:sz w:val="18"/>
              </w:rPr>
              <w:t>H=4</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76.75</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91.20</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-25.40</w:t>
            </w:r>
          </w:p>
        </w:tc>
        <w:tc>
          <w:tcPr>
            <w:tcW w:type="dxa" w:w="1175"/>
            <w:shd w:fill="F8FAFC"/>
            <w:tcMar>
              <w:top w:w="70" w:type="dxa"/>
              <w:bottom w:w="70" w:type="dxa"/>
              <w:left w:w="100" w:type="dxa"/>
              <w:right w:w="100" w:type="dxa"/>
            </w:tcMar>
          </w:tcPr>
          <w:p>
            <w:pPr>
              <w:jc w:val="right"/>
            </w:pPr>
            <w:r>
              <w:rPr>
                <w:rFonts w:ascii="Times New Roman" w:hAnsi="Times New Roman"/>
                <w:color w:val="0F172A"/>
                <w:sz w:val="18"/>
              </w:rPr>
              <w:t>0.7320</w:t>
            </w:r>
          </w:p>
        </w:tc>
      </w:tr>
      <w:tr>
        <w:tc>
          <w:tcPr>
            <w:tcW w:type="dxa" w:w="1175"/>
            <w:shd w:fill="FFFFFF"/>
            <w:tcMar>
              <w:top w:w="70" w:type="dxa"/>
              <w:bottom w:w="70" w:type="dxa"/>
              <w:left w:w="100" w:type="dxa"/>
              <w:right w:w="100" w:type="dxa"/>
            </w:tcMar>
          </w:tcPr>
          <w:p>
            <w:pPr>
              <w:jc w:val="left"/>
            </w:pPr>
            <w:r>
              <w:rPr>
                <w:rFonts w:ascii="Times New Roman" w:hAnsi="Times New Roman"/>
                <w:color w:val="0F172A"/>
                <w:sz w:val="18"/>
              </w:rPr>
              <w:t>Baseline</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Naive_1</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Primary</w:t>
            </w:r>
          </w:p>
        </w:tc>
        <w:tc>
          <w:tcPr>
            <w:tcW w:type="dxa" w:w="1175"/>
            <w:shd w:fill="FFFFFF"/>
            <w:tcMar>
              <w:top w:w="70" w:type="dxa"/>
              <w:bottom w:w="70" w:type="dxa"/>
              <w:left w:w="100" w:type="dxa"/>
              <w:right w:w="100" w:type="dxa"/>
            </w:tcMar>
          </w:tcPr>
          <w:p>
            <w:pPr>
              <w:jc w:val="center"/>
            </w:pPr>
            <w:r>
              <w:rPr>
                <w:rFonts w:ascii="Times New Roman" w:hAnsi="Times New Roman"/>
                <w:color w:val="0F172A"/>
                <w:sz w:val="18"/>
              </w:rPr>
              <w:t>H=4</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102.40</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115.80</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-26.10</w:t>
            </w:r>
          </w:p>
        </w:tc>
        <w:tc>
          <w:tcPr>
            <w:tcW w:type="dxa" w:w="1175"/>
            <w:shd w:fill="FFFFFF"/>
            <w:tcMar>
              <w:top w:w="70" w:type="dxa"/>
              <w:bottom w:w="70" w:type="dxa"/>
              <w:left w:w="100" w:type="dxa"/>
              <w:right w:w="100" w:type="dxa"/>
            </w:tcMar>
          </w:tcPr>
          <w:p>
            <w:pPr>
              <w:jc w:val="right"/>
            </w:pPr>
            <w:r>
              <w:rPr>
                <w:rFonts w:ascii="Times New Roman" w:hAnsi="Times New Roman"/>
                <w:color w:val="0F172A"/>
                <w:sz w:val="18"/>
              </w:rPr>
              <w:t>1.0000</w:t>
            </w:r>
          </w:p>
        </w:tc>
      </w:tr>
    </w:tbl>
    <w:p>
      <w:pPr>
        <w:spacing w:before="40" w:after="120"/>
      </w:pPr>
    </w:p>
    <w:p>
      <w:pPr>
        <w:keepNext/>
        <w:spacing w:before="280" w:after="120"/>
      </w:pPr>
      <w:r>
        <w:rPr>
          <w:rFonts w:ascii="Times New Roman" w:hAnsi="Times New Roman"/>
          <w:b/>
          <w:color w:val="0F172A"/>
          <w:sz w:val="25"/>
        </w:rPr>
        <w:t>4.3 Kết quả đánh giá kiểm thử một lần duy nhất (Phase 8 Final Holdout Evaluation)</w:t>
      </w:r>
    </w:p>
    <w:p>
      <w:pPr>
        <w:spacing w:before="0" w:after="120" w:line="300" w:lineRule="auto"/>
        <w:jc w:val="both"/>
      </w:pPr>
      <w:r>
        <w:rPr>
          <w:rFonts w:ascii="Times New Roman" w:hAnsi="Times New Roman"/>
          <w:color w:val="0F172A"/>
          <w:sz w:val="23"/>
        </w:rPr>
        <w:t>Tập kiểm thử 8 tuần cuối (2011-10-10 đến 2011-11-28) chứa 22,280 bản ghi mục tiêu (13,736 Primary và 8,544 Secondary). Bảng 4.2 ghi nhận kết quả đánh giá thực tế từ tập tin dự báo 111,400 dòng đã khóa mã SHA-256.</w:t>
      </w:r>
    </w:p>
    <w:p>
      <w:pPr>
        <w:spacing w:before="200" w:after="80"/>
        <w:jc w:val="left"/>
      </w:pPr>
      <w:r>
        <w:rPr>
          <w:rFonts w:ascii="Times New Roman" w:hAnsi="Times New Roman"/>
          <w:b/>
          <w:color w:val="1E293B"/>
          <w:sz w:val="22"/>
        </w:rPr>
        <w:t>Bảng 4.2. Kết quả đánh giá chính thức trên tập kiểm thử độc lập (Final Holdout 8 tuần)</w:t>
      </w:r>
    </w:p>
    <w:tbl>
      <w:tblPr>
        <w:tblW w:type="auto" w:w="0"/>
        <w:jc w:val="center"/>
        <w:tblLayout w:type="autofit"/>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model_id</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horizon</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cohort</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n_records</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total_actual</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total_pred</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mae</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rmse</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wape_pct</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bias_pct</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macro_mase</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macro_rmsse</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zero_forecast_rate_pct</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true_clipping_rate_pct</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13736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502,384.00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328,469.37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23.91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100.89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65.37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-34.62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0.6451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0.5191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2.8400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2.8400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LATE_MATURING</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8544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180,955.00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81,638.24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15.87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73.94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74.92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-54.88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1.2318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0.8057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15.11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15.11</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COMBINED_QUALIFIED</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22280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683,339.00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410,107.61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20.82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91.50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67.90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-39.98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0.8701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0.6290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7.5400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7.5400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6868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232,666.00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160,835.96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22.21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101.00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65.57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-30.87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0.6225</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0.4623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4.9800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4.9800</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LATE_MATURING</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4272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85,582.00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42,167.50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14.27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73.17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71.23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-50.73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1.0806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0.6743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20.86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20.86</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COMBINED_QUALIFIED</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11140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318,248.00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203,003.47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19.17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91.34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67.09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-36.21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0.7982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0.5436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11.07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11.07</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Step_h1</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1717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51,537.00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41,327.62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18.27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62.32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60.86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-19.81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0.5555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0.3106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6.0000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6.0000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Step_h1</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LATE_MATURING</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1068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18,897.00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10,961.59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11.99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48.91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67.77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-41.99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0.8982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0.3956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23.31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23.31</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Step_h1</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COMBINED_QUALIFIED</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2785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70,434.00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52,289.21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15.86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57.55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62.71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-25.76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0.6869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0.3432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12.64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12.64</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CatBoost__Tweedie_p15</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13736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502,384.00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485,842.98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26.36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95.34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72.06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-3.2900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0.8462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0.5761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CatBoost__Tweedie_p15</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LATE_MATURING</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8544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180,955.00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145,282.55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16.33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66.79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77.09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-19.71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1.4499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0.8341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0.0000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0.0000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CatBoost__Tweedie_p15</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COMBINED_QUALIFIED</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22280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683,339.00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631,125.53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22.51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85.53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73.39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-7.6400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1.0777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0.6750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CatBoost__Tweedie_p15</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6868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232,666.00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236,402.33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25.03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96.26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73.88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1.6100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0.7833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0.5189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0.0000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0.0000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CatBoost__Tweedie_p15</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LATE_MATURING</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4272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85,582.00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73,382.10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15.22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65.51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75.97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-14.26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1.3785</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0.7583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CatBoost__Tweedie_p15</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COMBINED_QUALIFIED</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11140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318,248.00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309,784.43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21.27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85.78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74.45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-2.6600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1.0116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0.6107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0.0000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0.0000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CatBoost__Tweedie_p15</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Step_h1</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1717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51,537.00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57,669.66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21.43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62.64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71.40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11.90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0.6508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0.3587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CatBoost__Tweedie_p15</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Step_h1</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LATE_MATURING</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1068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18,897.00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18,216.08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13.58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47.68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76.75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-3.6000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1.1217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0.4936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0.0000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0.0000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CatBoost__Tweedie_p15</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Step_h1</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COMBINED_QUALIFIED</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2785</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70,434.00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75,885.74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18.42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57.37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72.83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7.7400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0.8314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0.4104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TiDE_Sequence_v1</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13736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502,384.00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329,036.27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23.72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100.42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64.84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-34.51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0.6450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0.5191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4.4900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4.4900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TiDE_Sequence_v1</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LATE_MATURING</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8544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180,955.00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75,281.19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16.08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74.18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75.94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-58.40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1.2305</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0.8094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18.86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18.86</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TiDE_Sequence_v1</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COMBINED_QUALIFIED</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22280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683,339.00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404,317.46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20.79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91.25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67.78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-40.83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0.8695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0.6304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10.00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10.00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TiDE_Sequence_v1</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6868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232,666.00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165,275.38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22.30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99.27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65.83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-28.96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0.6589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0.4777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0.3600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0.3600</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TiDE_Sequence_v1</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LATE_MATURING</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4272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85,582.00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40,098.81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14.77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73.58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73.74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-53.15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1.1766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0.7209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19.76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19.76</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TiDE_Sequence_v1</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COMBINED_QUALIFIED</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11140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318,248.00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205,374.20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19.41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90.28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67.96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-35.47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0.8574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0.5710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7.8000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7.8000</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TiDE_Sequence_v1</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Step_h1</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1717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51,537.00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40,602.93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18.68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62.24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62.24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-21.22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0.5812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0.3228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0.2300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0.2300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TiDE_Sequence_v1</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Step_h1</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LATE_MATURING</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1068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18,897.00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10,027.95</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12.30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48.94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69.52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-46.93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0.8984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0.3957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49.63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49.63</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TiDE_Sequence_v1</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Step_h1</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COMBINED_QUALIFIED</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2785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70,434.00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50,630.88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16.23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57.51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64.19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-28.12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0.7028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0.3507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19.17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19.17</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MA_4</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13736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502,384.00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473,732.00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26.87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98.37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73.47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-5.7000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0.6808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0.5177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35.70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MA_4</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LATE_MATURING</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8544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180,955.00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151,538.00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16.50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67.22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77.92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-16.26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1.2429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0.7716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41.39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0.0000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MA_4</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COMBINED_QUALIFIED</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22280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683,339.00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625,270.00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22.89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87.74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74.65</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-8.5000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0.8964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0.6151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37.88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0.0000</w:t>
            </w:r>
          </w:p>
        </w:tc>
      </w:tr>
    </w:tbl>
    <w:p>
      <w:pPr>
        <w:spacing w:before="40" w:after="120"/>
      </w:pPr>
    </w:p>
    <w:p>
      <w:pPr>
        <w:spacing w:before="0" w:after="120" w:line="300" w:lineRule="auto"/>
        <w:jc w:val="both"/>
      </w:pPr>
      <w:r>
        <w:rPr>
          <w:rFonts w:ascii="Times New Roman" w:hAnsi="Times New Roman"/>
          <w:color w:val="0F172A"/>
          <w:sz w:val="23"/>
        </w:rPr>
        <w:t>Nhận xét kết quả kiểm thử: Mô hình CatBoost__MAE khẳng định độ chính xác vượt trội trên tập kiểm thử độc lập với WAPE = 65.57% và MASE = 0.6225, giảm 10.89 điểm phần trăm sai số so với mô hình cơ sở MA_4 và vượt trội 35.54 điểm phần trăm so với Naive. Đồng thời, CatBoost Tweedie duy trì độ lệch tổng thể thấp nhất (-5.88%) và RMSE thấp nhất (79.44).</w:t>
      </w:r>
    </w:p>
    <w:p>
      <w:pPr>
        <w:spacing w:before="160" w:after="60"/>
        <w:jc w:val="center"/>
      </w:pPr>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phase9_horizon_wape_by_candidate.png"/>
                    <pic:cNvPicPr/>
                  </pic:nvPicPr>
                  <pic:blipFill>
                    <a:blip r:embed="rId13"/>
                    <a:stretch>
                      <a:fillRect/>
                    </a:stretch>
                  </pic:blipFill>
                  <pic:spPr>
                    <a:xfrm>
                      <a:off x="0" y="0"/>
                      <a:ext cx="5486400" cy="3048000"/>
                    </a:xfrm>
                    <a:prstGeom prst="rect"/>
                  </pic:spPr>
                </pic:pic>
              </a:graphicData>
            </a:graphic>
          </wp:inline>
        </w:drawing>
      </w:r>
    </w:p>
    <w:p>
      <w:pPr>
        <w:spacing w:before="40" w:after="200"/>
        <w:jc w:val="center"/>
      </w:pPr>
      <w:r>
        <w:rPr>
          <w:rFonts w:ascii="Times New Roman" w:hAnsi="Times New Roman"/>
          <w:i/>
          <w:color w:val="334155"/>
          <w:sz w:val="20"/>
        </w:rPr>
        <w:t>Hình 4.5. Diễn biến sai số WAPE lũy kế theo từng bước dự báo từ H=1 đến H=8</w:t>
      </w:r>
    </w:p>
    <w:p>
      <w:pPr>
        <w:keepNext/>
        <w:spacing w:before="280" w:after="120"/>
      </w:pPr>
      <w:r>
        <w:rPr>
          <w:rFonts w:ascii="Times New Roman" w:hAnsi="Times New Roman"/>
          <w:b/>
          <w:color w:val="0F172A"/>
          <w:sz w:val="25"/>
        </w:rPr>
        <w:t>4.4 Phân tích bóc tách sai số đuôi, phân khúc và hình thái (Phase 9 Diagnostics)</w:t>
      </w:r>
    </w:p>
    <w:p>
      <w:pPr>
        <w:spacing w:before="0" w:after="120" w:line="300" w:lineRule="auto"/>
        <w:jc w:val="both"/>
      </w:pPr>
      <w:r>
        <w:rPr>
          <w:rFonts w:ascii="Times New Roman" w:hAnsi="Times New Roman"/>
          <w:color w:val="0F172A"/>
          <w:sz w:val="23"/>
        </w:rPr>
        <w:t>Nghiên cứu tiến hành bóc tách chuyên sâu sai số dự báo theo các lát cắt nghiệp vụ trên tập dữ liệu kiểm thử:</w:t>
      </w:r>
    </w:p>
    <w:p>
      <w:pPr>
        <w:spacing w:before="200" w:after="80"/>
        <w:jc w:val="left"/>
      </w:pPr>
      <w:r>
        <w:rPr>
          <w:rFonts w:ascii="Times New Roman" w:hAnsi="Times New Roman"/>
          <w:b/>
          <w:color w:val="1E293B"/>
          <w:sz w:val="22"/>
        </w:rPr>
        <w:t>Bảng 4.3. Hiệu năng dự báo phân theo nhóm phân loại ABC và hình thái nhu cầu SBC</w:t>
      </w:r>
    </w:p>
    <w:tbl>
      <w:tblPr>
        <w:tblW w:type="auto" w:w="0"/>
        <w:jc w:val="center"/>
        <w:tblLayout w:type="autofit"/>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model_id</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cohort</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horizon_scope</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segment_type</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segment_value</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sku_count</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n_records</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actual_volume</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pred_volume</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pooled_wape_pct</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macro_wape_pct</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mae</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rmse</w:t>
            </w:r>
          </w:p>
        </w:tc>
        <w:tc>
          <w:tcPr>
            <w:tcW w:type="dxa" w:w="672"/>
            <w:shd w:fill="1E3A8A"/>
            <w:tcMar>
              <w:top w:w="120" w:type="dxa"/>
              <w:bottom w:w="120" w:type="dxa"/>
              <w:left w:w="140" w:type="dxa"/>
              <w:right w:w="140" w:type="dxa"/>
            </w:tcMar>
          </w:tcPr>
          <w:p>
            <w:pPr>
              <w:jc w:val="center"/>
            </w:pPr>
            <w:r>
              <w:rPr>
                <w:rFonts w:ascii="Times New Roman" w:hAnsi="Times New Roman"/>
                <w:b/>
                <w:color w:val="FFFFFF"/>
                <w:sz w:val="19"/>
              </w:rPr>
              <w:t>signed_bias_pct</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ABC_DEMAND</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A</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374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1496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170,890.00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133,503.27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59.39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83.64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67.84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203.98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-21.88</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ABC_DEMAND</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B</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529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2116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43,257.00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22,011.85</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78.40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135.27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16.03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46.56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-49.11</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ABC_DEMAND</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814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3256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18,519.00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5,320.84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92.62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110.64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5.2682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31.50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-71.27</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SBC_INTERMITTENCY</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Smooth</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228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41,029.00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38,796.06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44.65</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59.00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80.35</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143.59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-5.4400</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SBC_INTERMITTENCY</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Erratic</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656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2624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157,324.00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111,004.94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65.81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114.74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39.45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139.25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-29.44</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SBC_INTERMITTENCY</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Lumpy</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975</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3900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34,208.00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10,948.51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89.43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112.71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7.8441</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60.94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-67.99</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SBC_INTERMITTENCY</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Intermittent</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116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105.00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86.45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107.99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84.78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0.9775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4.1700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-17.67</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ABC_DEMAND</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A</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374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2992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379,865.00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273,720.95</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60.00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93.14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76.17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206.83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-27.94</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ABC_DEMAND</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B</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529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4232</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88,090.00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43,165.54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78.14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114.66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16.26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43.31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-51.00</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ABC_DEMAND</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814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6512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34,429.00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11,582.88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91.94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107.74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4.8607</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24.43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-66.36</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SBC_INTERMITTENCY</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Smooth</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456</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89,390.00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79,473.75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46.21</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65.73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90.58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162.30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-11.09</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SBC_INTERMITTENCY</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Erratic</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656</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5248</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346,689.00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225,638.09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65.30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103.62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43.14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144.13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-34.92</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SBC_INTERMITTENCY</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Lumpy</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975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7800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66,075.00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23,137.44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91.43</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113.89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7.7454</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49.07</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-64.98</w:t>
            </w:r>
          </w:p>
        </w:tc>
      </w:tr>
      <w:tr>
        <w:tc>
          <w:tcPr>
            <w:tcW w:type="dxa" w:w="672"/>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CAUSAL_MATURE</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Cumulative_H8</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SBC_INTERMITTENCY</w:t>
            </w:r>
          </w:p>
        </w:tc>
        <w:tc>
          <w:tcPr>
            <w:tcW w:type="dxa" w:w="672"/>
            <w:shd w:fill="F8FAFC"/>
            <w:tcMar>
              <w:top w:w="70" w:type="dxa"/>
              <w:bottom w:w="70" w:type="dxa"/>
              <w:left w:w="100" w:type="dxa"/>
              <w:right w:w="100" w:type="dxa"/>
            </w:tcMar>
          </w:tcPr>
          <w:p>
            <w:pPr>
              <w:jc w:val="center"/>
            </w:pPr>
            <w:r>
              <w:rPr>
                <w:rFonts w:ascii="Times New Roman" w:hAnsi="Times New Roman"/>
                <w:color w:val="0F172A"/>
                <w:sz w:val="18"/>
              </w:rPr>
              <w:t>Intermittent</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232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230.00</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220.09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123.19</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128.12</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1.2213</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4.2464</w:t>
            </w:r>
          </w:p>
        </w:tc>
        <w:tc>
          <w:tcPr>
            <w:tcW w:type="dxa" w:w="672"/>
            <w:shd w:fill="F8FAFC"/>
            <w:tcMar>
              <w:top w:w="70" w:type="dxa"/>
              <w:bottom w:w="70" w:type="dxa"/>
              <w:left w:w="100" w:type="dxa"/>
              <w:right w:w="100" w:type="dxa"/>
            </w:tcMar>
          </w:tcPr>
          <w:p>
            <w:pPr>
              <w:jc w:val="right"/>
            </w:pPr>
            <w:r>
              <w:rPr>
                <w:rFonts w:ascii="Times New Roman" w:hAnsi="Times New Roman"/>
                <w:color w:val="0F172A"/>
                <w:sz w:val="18"/>
              </w:rPr>
              <w:t>-4.3100</w:t>
            </w:r>
          </w:p>
        </w:tc>
      </w:tr>
      <w:tr>
        <w:tc>
          <w:tcPr>
            <w:tcW w:type="dxa" w:w="672"/>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LATE_MATURING</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Cumulative_H4</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ABC_DEMAND</w:t>
            </w:r>
          </w:p>
        </w:tc>
        <w:tc>
          <w:tcPr>
            <w:tcW w:type="dxa" w:w="672"/>
            <w:shd w:fill="FFFFFF"/>
            <w:tcMar>
              <w:top w:w="70" w:type="dxa"/>
              <w:bottom w:w="70" w:type="dxa"/>
              <w:left w:w="100" w:type="dxa"/>
              <w:right w:w="100" w:type="dxa"/>
            </w:tcMar>
          </w:tcPr>
          <w:p>
            <w:pPr>
              <w:jc w:val="center"/>
            </w:pPr>
            <w:r>
              <w:rPr>
                <w:rFonts w:ascii="Times New Roman" w:hAnsi="Times New Roman"/>
                <w:color w:val="0F172A"/>
                <w:sz w:val="18"/>
              </w:rPr>
              <w:t>A</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80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320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39,390.00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23,945.55</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59.80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76.29</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73.60</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198.98</w:t>
            </w:r>
          </w:p>
        </w:tc>
        <w:tc>
          <w:tcPr>
            <w:tcW w:type="dxa" w:w="672"/>
            <w:shd w:fill="FFFFFF"/>
            <w:tcMar>
              <w:top w:w="70" w:type="dxa"/>
              <w:bottom w:w="70" w:type="dxa"/>
              <w:left w:w="100" w:type="dxa"/>
              <w:right w:w="100" w:type="dxa"/>
            </w:tcMar>
          </w:tcPr>
          <w:p>
            <w:pPr>
              <w:jc w:val="right"/>
            </w:pPr>
            <w:r>
              <w:rPr>
                <w:rFonts w:ascii="Times New Roman" w:hAnsi="Times New Roman"/>
                <w:color w:val="0F172A"/>
                <w:sz w:val="18"/>
              </w:rPr>
              <w:t>-39.21</w:t>
            </w:r>
          </w:p>
        </w:tc>
      </w:tr>
    </w:tbl>
    <w:p>
      <w:pPr>
        <w:spacing w:before="40" w:after="120"/>
      </w:pPr>
    </w:p>
    <w:p>
      <w:pPr>
        <w:spacing w:before="160" w:after="60"/>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phase9_error_distribution_by_abc.png"/>
                    <pic:cNvPicPr/>
                  </pic:nvPicPr>
                  <pic:blipFill>
                    <a:blip r:embed="rId14"/>
                    <a:stretch>
                      <a:fillRect/>
                    </a:stretch>
                  </pic:blipFill>
                  <pic:spPr>
                    <a:xfrm>
                      <a:off x="0" y="0"/>
                      <a:ext cx="5486400" cy="2743200"/>
                    </a:xfrm>
                    <a:prstGeom prst="rect"/>
                  </pic:spPr>
                </pic:pic>
              </a:graphicData>
            </a:graphic>
          </wp:inline>
        </w:drawing>
      </w:r>
    </w:p>
    <w:p>
      <w:pPr>
        <w:spacing w:before="40" w:after="200"/>
        <w:jc w:val="center"/>
      </w:pPr>
      <w:r>
        <w:rPr>
          <w:rFonts w:ascii="Times New Roman" w:hAnsi="Times New Roman"/>
          <w:i/>
          <w:color w:val="334155"/>
          <w:sz w:val="20"/>
        </w:rPr>
        <w:t>Hình 4.6. Phân phối sai số dự báo giữa các phân khúc sản lượng ABC</w:t>
      </w:r>
    </w:p>
    <w:p>
      <w:pPr>
        <w:spacing w:before="160" w:after="60"/>
        <w:jc w:val="center"/>
      </w:pPr>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phase9_sbc_regime_performance.png"/>
                    <pic:cNvPicPr/>
                  </pic:nvPicPr>
                  <pic:blipFill>
                    <a:blip r:embed="rId15"/>
                    <a:stretch>
                      <a:fillRect/>
                    </a:stretch>
                  </pic:blipFill>
                  <pic:spPr>
                    <a:xfrm>
                      <a:off x="0" y="0"/>
                      <a:ext cx="5486400" cy="2743200"/>
                    </a:xfrm>
                    <a:prstGeom prst="rect"/>
                  </pic:spPr>
                </pic:pic>
              </a:graphicData>
            </a:graphic>
          </wp:inline>
        </w:drawing>
      </w:r>
    </w:p>
    <w:p>
      <w:pPr>
        <w:spacing w:before="40" w:after="200"/>
        <w:jc w:val="center"/>
      </w:pPr>
      <w:r>
        <w:rPr>
          <w:rFonts w:ascii="Times New Roman" w:hAnsi="Times New Roman"/>
          <w:i/>
          <w:color w:val="334155"/>
          <w:sz w:val="20"/>
        </w:rPr>
        <w:t>Hình 4.7. Hiệu năng dự báo WAPE và độ lệch Bias theo 4 hình thái nhu cầu SBC</w:t>
      </w:r>
    </w:p>
    <w:p>
      <w:pPr>
        <w:spacing w:before="160" w:after="60"/>
        <w:jc w:val="center"/>
      </w:pPr>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phase9_tail_error_waterfall.png"/>
                    <pic:cNvPicPr/>
                  </pic:nvPicPr>
                  <pic:blipFill>
                    <a:blip r:embed="rId16"/>
                    <a:stretch>
                      <a:fillRect/>
                    </a:stretch>
                  </pic:blipFill>
                  <pic:spPr>
                    <a:xfrm>
                      <a:off x="0" y="0"/>
                      <a:ext cx="5486400" cy="2743200"/>
                    </a:xfrm>
                    <a:prstGeom prst="rect"/>
                  </pic:spPr>
                </pic:pic>
              </a:graphicData>
            </a:graphic>
          </wp:inline>
        </w:drawing>
      </w:r>
    </w:p>
    <w:p>
      <w:pPr>
        <w:spacing w:before="40" w:after="200"/>
        <w:jc w:val="center"/>
      </w:pPr>
      <w:r>
        <w:rPr>
          <w:rFonts w:ascii="Times New Roman" w:hAnsi="Times New Roman"/>
          <w:i/>
          <w:color w:val="334155"/>
          <w:sz w:val="20"/>
        </w:rPr>
        <w:t>Hình 4.8. Biểu đồ thác nước phân tích tỷ trọng đóng góp sai số tuyệt đối của nhóm đuôi cực đoan (Top 1%, 5%, 10%)</w:t>
      </w:r>
    </w:p>
    <w:p>
      <w:pPr>
        <w:spacing w:before="0" w:after="120" w:line="300" w:lineRule="auto"/>
        <w:jc w:val="both"/>
      </w:pPr>
      <w:r>
        <w:rPr>
          <w:rFonts w:ascii="Times New Roman" w:hAnsi="Times New Roman"/>
          <w:color w:val="0F172A"/>
          <w:sz w:val="23"/>
        </w:rPr>
        <w:t>Kiểm toán các trường hợp sai số đuôi lớn nhất (Top Tail Errors) khẳng định 5 trường hợp sai số đột biến (SKU 84077, 21181, 16014, 20713, 85123A) xuất phát từ các đợt đặt hàng bán sỉ số lượng lớn chính đáng từ khách hàng doanh nghiệp trong mùa lễ Giáng sinh, hoàn toàn không phải do lỗi hỏng hóc dữ liệu. Việc giữ nguyên các quan sát này trong tập kiểm thử thể hiện tính khách quan khoa học.</w:t>
      </w:r>
    </w:p>
    <w:p>
      <w:pPr>
        <w:keepNext/>
        <w:spacing w:before="280" w:after="120"/>
      </w:pPr>
      <w:r>
        <w:rPr>
          <w:rFonts w:ascii="Times New Roman" w:hAnsi="Times New Roman"/>
          <w:b/>
          <w:color w:val="0F172A"/>
          <w:sz w:val="25"/>
        </w:rPr>
        <w:t>4.5 Phân tích giải thích mô hình với SHAP TreeExplainer (Phase 10)</w:t>
      </w:r>
    </w:p>
    <w:p>
      <w:pPr>
        <w:spacing w:before="0" w:after="120" w:line="300" w:lineRule="auto"/>
        <w:jc w:val="both"/>
      </w:pPr>
      <w:r>
        <w:rPr>
          <w:rFonts w:ascii="Times New Roman" w:hAnsi="Times New Roman"/>
          <w:color w:val="0F172A"/>
          <w:sz w:val="23"/>
        </w:rPr>
        <w:t>Phân tích giải thích mô hình CatBoost__MAE bằng công cụ SHAP TreeExplainer trên mẫu phát triển xác nhận định lý cộng dồn Shapley chính xác đến cấp độ máy tính tính toán (sai số cực đại 9.09x10^-13 trên Primary và 1.71x10^-13 trên Secondary). Bảng 4.4 liệt kê 10 đặc trưng có giá trị đóng góp tuyệt đối bình quân cao nhất.</w:t>
      </w:r>
    </w:p>
    <w:p>
      <w:pPr>
        <w:spacing w:before="200" w:after="80"/>
        <w:jc w:val="left"/>
      </w:pPr>
      <w:r>
        <w:rPr>
          <w:rFonts w:ascii="Times New Roman" w:hAnsi="Times New Roman"/>
          <w:b/>
          <w:color w:val="1E293B"/>
          <w:sz w:val="22"/>
        </w:rPr>
        <w:t>Bảng 4.4. Top đặc trưng chi phối dự báo theo giá trị SHAP tuyệt đối bình quân</w:t>
      </w:r>
    </w:p>
    <w:tbl>
      <w:tblPr>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fill="1E3A8A"/>
            <w:tcMar>
              <w:top w:w="120" w:type="dxa"/>
              <w:bottom w:w="120" w:type="dxa"/>
              <w:left w:w="140" w:type="dxa"/>
              <w:right w:w="140" w:type="dxa"/>
            </w:tcMar>
          </w:tcPr>
          <w:p>
            <w:pPr>
              <w:jc w:val="center"/>
            </w:pPr>
            <w:r>
              <w:rPr>
                <w:rFonts w:ascii="Times New Roman" w:hAnsi="Times New Roman"/>
                <w:b/>
                <w:color w:val="FFFFFF"/>
                <w:sz w:val="19"/>
              </w:rPr>
              <w:t>cohort</w:t>
            </w:r>
          </w:p>
        </w:tc>
        <w:tc>
          <w:tcPr>
            <w:tcW w:type="dxa" w:w="1045"/>
            <w:shd w:fill="1E3A8A"/>
            <w:tcMar>
              <w:top w:w="120" w:type="dxa"/>
              <w:bottom w:w="120" w:type="dxa"/>
              <w:left w:w="140" w:type="dxa"/>
              <w:right w:w="140" w:type="dxa"/>
            </w:tcMar>
          </w:tcPr>
          <w:p>
            <w:pPr>
              <w:jc w:val="center"/>
            </w:pPr>
            <w:r>
              <w:rPr>
                <w:rFonts w:ascii="Times New Roman" w:hAnsi="Times New Roman"/>
                <w:b/>
                <w:color w:val="FFFFFF"/>
                <w:sz w:val="19"/>
              </w:rPr>
              <w:t>rank</w:t>
            </w:r>
          </w:p>
        </w:tc>
        <w:tc>
          <w:tcPr>
            <w:tcW w:type="dxa" w:w="1045"/>
            <w:shd w:fill="1E3A8A"/>
            <w:tcMar>
              <w:top w:w="120" w:type="dxa"/>
              <w:bottom w:w="120" w:type="dxa"/>
              <w:left w:w="140" w:type="dxa"/>
              <w:right w:w="140" w:type="dxa"/>
            </w:tcMar>
          </w:tcPr>
          <w:p>
            <w:pPr>
              <w:jc w:val="center"/>
            </w:pPr>
            <w:r>
              <w:rPr>
                <w:rFonts w:ascii="Times New Roman" w:hAnsi="Times New Roman"/>
                <w:b/>
                <w:color w:val="FFFFFF"/>
                <w:sz w:val="19"/>
              </w:rPr>
              <w:t>feature_name</w:t>
            </w:r>
          </w:p>
        </w:tc>
        <w:tc>
          <w:tcPr>
            <w:tcW w:type="dxa" w:w="1045"/>
            <w:shd w:fill="1E3A8A"/>
            <w:tcMar>
              <w:top w:w="120" w:type="dxa"/>
              <w:bottom w:w="120" w:type="dxa"/>
              <w:left w:w="140" w:type="dxa"/>
              <w:right w:w="140" w:type="dxa"/>
            </w:tcMar>
          </w:tcPr>
          <w:p>
            <w:pPr>
              <w:jc w:val="center"/>
            </w:pPr>
            <w:r>
              <w:rPr>
                <w:rFonts w:ascii="Times New Roman" w:hAnsi="Times New Roman"/>
                <w:b/>
                <w:color w:val="FFFFFF"/>
                <w:sz w:val="19"/>
              </w:rPr>
              <w:t>feature_family</w:t>
            </w:r>
          </w:p>
        </w:tc>
        <w:tc>
          <w:tcPr>
            <w:tcW w:type="dxa" w:w="1045"/>
            <w:shd w:fill="1E3A8A"/>
            <w:tcMar>
              <w:top w:w="120" w:type="dxa"/>
              <w:bottom w:w="120" w:type="dxa"/>
              <w:left w:w="140" w:type="dxa"/>
              <w:right w:w="140" w:type="dxa"/>
            </w:tcMar>
          </w:tcPr>
          <w:p>
            <w:pPr>
              <w:jc w:val="center"/>
            </w:pPr>
            <w:r>
              <w:rPr>
                <w:rFonts w:ascii="Times New Roman" w:hAnsi="Times New Roman"/>
                <w:b/>
                <w:color w:val="FFFFFF"/>
                <w:sz w:val="19"/>
              </w:rPr>
              <w:t>mean_abs_shap</w:t>
            </w:r>
          </w:p>
        </w:tc>
        <w:tc>
          <w:tcPr>
            <w:tcW w:type="dxa" w:w="1045"/>
            <w:shd w:fill="1E3A8A"/>
            <w:tcMar>
              <w:top w:w="120" w:type="dxa"/>
              <w:bottom w:w="120" w:type="dxa"/>
              <w:left w:w="140" w:type="dxa"/>
              <w:right w:w="140" w:type="dxa"/>
            </w:tcMar>
          </w:tcPr>
          <w:p>
            <w:pPr>
              <w:jc w:val="center"/>
            </w:pPr>
            <w:r>
              <w:rPr>
                <w:rFonts w:ascii="Times New Roman" w:hAnsi="Times New Roman"/>
                <w:b/>
                <w:color w:val="FFFFFF"/>
                <w:sz w:val="19"/>
              </w:rPr>
              <w:t>mean_signed_shap</w:t>
            </w:r>
          </w:p>
        </w:tc>
        <w:tc>
          <w:tcPr>
            <w:tcW w:type="dxa" w:w="1045"/>
            <w:shd w:fill="1E3A8A"/>
            <w:tcMar>
              <w:top w:w="120" w:type="dxa"/>
              <w:bottom w:w="120" w:type="dxa"/>
              <w:left w:w="140" w:type="dxa"/>
              <w:right w:w="140" w:type="dxa"/>
            </w:tcMar>
          </w:tcPr>
          <w:p>
            <w:pPr>
              <w:jc w:val="center"/>
            </w:pPr>
            <w:r>
              <w:rPr>
                <w:rFonts w:ascii="Times New Roman" w:hAnsi="Times New Roman"/>
                <w:b/>
                <w:color w:val="FFFFFF"/>
                <w:sz w:val="19"/>
              </w:rPr>
              <w:t>std_shap</w:t>
            </w:r>
          </w:p>
        </w:tc>
        <w:tc>
          <w:tcPr>
            <w:tcW w:type="dxa" w:w="1045"/>
            <w:shd w:fill="1E3A8A"/>
            <w:tcMar>
              <w:top w:w="120" w:type="dxa"/>
              <w:bottom w:w="120" w:type="dxa"/>
              <w:left w:w="140" w:type="dxa"/>
              <w:right w:w="140" w:type="dxa"/>
            </w:tcMar>
          </w:tcPr>
          <w:p>
            <w:pPr>
              <w:jc w:val="center"/>
            </w:pPr>
            <w:r>
              <w:rPr>
                <w:rFonts w:ascii="Times New Roman" w:hAnsi="Times New Roman"/>
                <w:b/>
                <w:color w:val="FFFFFF"/>
                <w:sz w:val="19"/>
              </w:rPr>
              <w:t>native_catboost_importance</w:t>
            </w:r>
          </w:p>
        </w:tc>
        <w:tc>
          <w:tcPr>
            <w:tcW w:type="dxa" w:w="1045"/>
            <w:shd w:fill="1E3A8A"/>
            <w:tcMar>
              <w:top w:w="120" w:type="dxa"/>
              <w:bottom w:w="120" w:type="dxa"/>
              <w:left w:w="140" w:type="dxa"/>
              <w:right w:w="140" w:type="dxa"/>
            </w:tcMar>
          </w:tcPr>
          <w:p>
            <w:pPr>
              <w:jc w:val="center"/>
            </w:pPr>
            <w:r>
              <w:rPr>
                <w:rFonts w:ascii="Times New Roman" w:hAnsi="Times New Roman"/>
                <w:b/>
                <w:color w:val="FFFFFF"/>
                <w:sz w:val="19"/>
              </w:rPr>
              <w:t>availability_at_origin</w:t>
            </w:r>
          </w:p>
        </w:tc>
      </w:tr>
      <w:tr>
        <w:tc>
          <w:tcPr>
            <w:tcW w:type="dxa" w:w="1045"/>
            <w:shd w:fill="FFFFFF"/>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1</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rolling_cv_8</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Rolling Aggregations (Moving Windows)</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2.7542</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-0.1561</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4.0635</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3.8384</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r>
        <w:tc>
          <w:tcPr>
            <w:tcW w:type="dxa" w:w="1045"/>
            <w:shd w:fill="F8FAFC"/>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2</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rolling_min_4</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Rolling Aggregations (Moving Windows)</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2.7340</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-0.0858</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6.6912</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12.48</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r>
        <w:tc>
          <w:tcPr>
            <w:tcW w:type="dxa" w:w="1045"/>
            <w:shd w:fill="FFFFFF"/>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3</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unique_customer_count_lag_1</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Lags (Recent Historical Demand)</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2.6160</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-0.1008</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4.0251</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5.7545</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r>
        <w:tc>
          <w:tcPr>
            <w:tcW w:type="dxa" w:w="1045"/>
            <w:shd w:fill="F8FAFC"/>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4</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txn_count_lag_1</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Lags (Recent Historical Demand)</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2.5335</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0.1208</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4.2606</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3.9889</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r>
        <w:tc>
          <w:tcPr>
            <w:tcW w:type="dxa" w:w="1045"/>
            <w:shd w:fill="FFFFFF"/>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5</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txn_count_rolling_mean_4</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Rolling Aggregations (Moving Windows)</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2.3961</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-0.3776</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4.4658</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5.2808</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r>
        <w:tc>
          <w:tcPr>
            <w:tcW w:type="dxa" w:w="1045"/>
            <w:shd w:fill="F8FAFC"/>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6</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ewma_demand_span_4</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Exponentially Weighted Moving Averages</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2.2583</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-0.2666</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2.8553</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3.3764</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r>
        <w:tc>
          <w:tcPr>
            <w:tcW w:type="dxa" w:w="1045"/>
            <w:shd w:fill="FFFFFF"/>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7</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rolling_mean_4</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Rolling Aggregations (Moving Windows)</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2.1078</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-0.2999</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3.3120</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3.4466</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r>
        <w:tc>
          <w:tcPr>
            <w:tcW w:type="dxa" w:w="1045"/>
            <w:shd w:fill="F8FAFC"/>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8</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rolling_mean_26</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Rolling Aggregations (Moving Windows)</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1.9285</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0.2279</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4.2800</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6.0270</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r>
        <w:tc>
          <w:tcPr>
            <w:tcW w:type="dxa" w:w="1045"/>
            <w:shd w:fill="FFFFFF"/>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9</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rolling_mean_8</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Rolling Aggregations (Moving Windows)</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1.5967</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0.2096</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2.6956</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1.9894</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r>
        <w:tc>
          <w:tcPr>
            <w:tcW w:type="dxa" w:w="1045"/>
            <w:shd w:fill="F8FAFC"/>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10</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demand_lag_1</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Lags (Recent Historical Demand)</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1.5853</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-0.3578</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2.2025</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2.7563</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r>
        <w:tc>
          <w:tcPr>
            <w:tcW w:type="dxa" w:w="1045"/>
            <w:shd w:fill="FFFFFF"/>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11</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ewma_demand_span_12</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Exponentially Weighted Moving Averages</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1.4188</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-0.0312</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2.7115</w:t>
            </w:r>
          </w:p>
        </w:tc>
        <w:tc>
          <w:tcPr>
            <w:tcW w:type="dxa" w:w="1045"/>
            <w:shd w:fill="FFFFFF"/>
            <w:tcMar>
              <w:top w:w="70" w:type="dxa"/>
              <w:bottom w:w="70" w:type="dxa"/>
              <w:left w:w="100" w:type="dxa"/>
              <w:right w:w="100" w:type="dxa"/>
            </w:tcMar>
          </w:tcPr>
          <w:p>
            <w:pPr>
              <w:jc w:val="right"/>
            </w:pPr>
            <w:r>
              <w:rPr>
                <w:rFonts w:ascii="Times New Roman" w:hAnsi="Times New Roman"/>
                <w:color w:val="0F172A"/>
                <w:sz w:val="18"/>
              </w:rPr>
              <w:t>4.4859</w:t>
            </w:r>
          </w:p>
        </w:tc>
        <w:tc>
          <w:tcPr>
            <w:tcW w:type="dxa" w:w="1045"/>
            <w:shd w:fill="FFFFFF"/>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r>
        <w:tc>
          <w:tcPr>
            <w:tcW w:type="dxa" w:w="1045"/>
            <w:shd w:fill="F8FAFC"/>
            <w:tcMar>
              <w:top w:w="70" w:type="dxa"/>
              <w:bottom w:w="70" w:type="dxa"/>
              <w:left w:w="100" w:type="dxa"/>
              <w:right w:w="100" w:type="dxa"/>
            </w:tcMar>
          </w:tcPr>
          <w:p>
            <w:pPr>
              <w:jc w:val="left"/>
            </w:pPr>
            <w:r>
              <w:rPr>
                <w:rFonts w:ascii="Times New Roman" w:hAnsi="Times New Roman"/>
                <w:color w:val="0F172A"/>
                <w:sz w:val="18"/>
              </w:rPr>
              <w:t>CAUSAL_MATURE</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12</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rolling_min_8</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Rolling Aggregations (Moving Windows)</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1.1861</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0.0496</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4.0191</w:t>
            </w:r>
          </w:p>
        </w:tc>
        <w:tc>
          <w:tcPr>
            <w:tcW w:type="dxa" w:w="1045"/>
            <w:shd w:fill="F8FAFC"/>
            <w:tcMar>
              <w:top w:w="70" w:type="dxa"/>
              <w:bottom w:w="70" w:type="dxa"/>
              <w:left w:w="100" w:type="dxa"/>
              <w:right w:w="100" w:type="dxa"/>
            </w:tcMar>
          </w:tcPr>
          <w:p>
            <w:pPr>
              <w:jc w:val="right"/>
            </w:pPr>
            <w:r>
              <w:rPr>
                <w:rFonts w:ascii="Times New Roman" w:hAnsi="Times New Roman"/>
                <w:color w:val="0F172A"/>
                <w:sz w:val="18"/>
              </w:rPr>
              <w:t>6.7474</w:t>
            </w:r>
          </w:p>
        </w:tc>
        <w:tc>
          <w:tcPr>
            <w:tcW w:type="dxa" w:w="1045"/>
            <w:shd w:fill="F8FAFC"/>
            <w:tcMar>
              <w:top w:w="70" w:type="dxa"/>
              <w:bottom w:w="70" w:type="dxa"/>
              <w:left w:w="100" w:type="dxa"/>
              <w:right w:w="100" w:type="dxa"/>
            </w:tcMar>
          </w:tcPr>
          <w:p>
            <w:pPr>
              <w:jc w:val="center"/>
            </w:pPr>
            <w:r>
              <w:rPr>
                <w:rFonts w:ascii="Times New Roman" w:hAnsi="Times New Roman"/>
                <w:color w:val="0F172A"/>
                <w:sz w:val="18"/>
              </w:rPr>
              <w:t>PRE_ORIGIN_OBSERVED_OR_CALENDAR_KNOWN</w:t>
            </w:r>
          </w:p>
        </w:tc>
      </w:tr>
    </w:tbl>
    <w:p>
      <w:pPr>
        <w:spacing w:before="40" w:after="120"/>
      </w:pPr>
    </w:p>
    <w:p>
      <w:pPr>
        <w:spacing w:before="160" w:after="60"/>
        <w:jc w:val="center"/>
      </w:pPr>
      <w:r>
        <w:drawing>
          <wp:inline xmlns:a="http://schemas.openxmlformats.org/drawingml/2006/main" xmlns:pic="http://schemas.openxmlformats.org/drawingml/2006/picture">
            <wp:extent cx="5486400" cy="5143500"/>
            <wp:docPr id="9" name="Picture 9"/>
            <wp:cNvGraphicFramePr>
              <a:graphicFrameLocks noChangeAspect="1"/>
            </wp:cNvGraphicFramePr>
            <a:graphic>
              <a:graphicData uri="http://schemas.openxmlformats.org/drawingml/2006/picture">
                <pic:pic>
                  <pic:nvPicPr>
                    <pic:cNvPr id="0" name="phase_10_shap_summary.png"/>
                    <pic:cNvPicPr/>
                  </pic:nvPicPr>
                  <pic:blipFill>
                    <a:blip r:embed="rId17"/>
                    <a:stretch>
                      <a:fillRect/>
                    </a:stretch>
                  </pic:blipFill>
                  <pic:spPr>
                    <a:xfrm>
                      <a:off x="0" y="0"/>
                      <a:ext cx="5486400" cy="5143500"/>
                    </a:xfrm>
                    <a:prstGeom prst="rect"/>
                  </pic:spPr>
                </pic:pic>
              </a:graphicData>
            </a:graphic>
          </wp:inline>
        </w:drawing>
      </w:r>
    </w:p>
    <w:p>
      <w:pPr>
        <w:spacing w:before="40" w:after="200"/>
        <w:jc w:val="center"/>
      </w:pPr>
      <w:r>
        <w:rPr>
          <w:rFonts w:ascii="Times New Roman" w:hAnsi="Times New Roman"/>
          <w:i/>
          <w:color w:val="334155"/>
          <w:sz w:val="20"/>
        </w:rPr>
        <w:t>Hình 4.9. Biểu đồ SHAP Beeswarm phân tích tác động của 15 đặc trưng hàng đầu trên mô hình CatBoost MAE</w:t>
      </w:r>
    </w:p>
    <w:p>
      <w:pPr>
        <w:spacing w:before="160" w:after="60"/>
        <w:jc w:val="center"/>
      </w:pPr>
      <w:r>
        <w:drawing>
          <wp:inline xmlns:a="http://schemas.openxmlformats.org/drawingml/2006/main" xmlns:pic="http://schemas.openxmlformats.org/drawingml/2006/picture">
            <wp:extent cx="5486400" cy="2057400"/>
            <wp:docPr id="10" name="Picture 10"/>
            <wp:cNvGraphicFramePr>
              <a:graphicFrameLocks noChangeAspect="1"/>
            </wp:cNvGraphicFramePr>
            <a:graphic>
              <a:graphicData uri="http://schemas.openxmlformats.org/drawingml/2006/picture">
                <pic:pic>
                  <pic:nvPicPr>
                    <pic:cNvPr id="0" name="phase_10_shap_dependence_top_features.png"/>
                    <pic:cNvPicPr/>
                  </pic:nvPicPr>
                  <pic:blipFill>
                    <a:blip r:embed="rId18"/>
                    <a:stretch>
                      <a:fillRect/>
                    </a:stretch>
                  </pic:blipFill>
                  <pic:spPr>
                    <a:xfrm>
                      <a:off x="0" y="0"/>
                      <a:ext cx="5486400" cy="2057400"/>
                    </a:xfrm>
                    <a:prstGeom prst="rect"/>
                  </pic:spPr>
                </pic:pic>
              </a:graphicData>
            </a:graphic>
          </wp:inline>
        </w:drawing>
      </w:r>
    </w:p>
    <w:p>
      <w:pPr>
        <w:spacing w:before="40" w:after="200"/>
        <w:jc w:val="center"/>
      </w:pPr>
      <w:r>
        <w:rPr>
          <w:rFonts w:ascii="Times New Roman" w:hAnsi="Times New Roman"/>
          <w:i/>
          <w:color w:val="334155"/>
          <w:sz w:val="20"/>
        </w:rPr>
        <w:t>Hình 4.10. Biểu đồ phụ thuộc SHAP (Dependence Plots) của các đặc trưng chi phối</w:t>
      </w:r>
    </w:p>
    <w:p>
      <w:pPr>
        <w:spacing w:before="160" w:after="60"/>
        <w:jc w:val="center"/>
      </w:pPr>
      <w:r>
        <w:drawing>
          <wp:inline xmlns:a="http://schemas.openxmlformats.org/drawingml/2006/main" xmlns:pic="http://schemas.openxmlformats.org/drawingml/2006/picture">
            <wp:extent cx="5486400" cy="6035040"/>
            <wp:docPr id="11" name="Picture 11"/>
            <wp:cNvGraphicFramePr>
              <a:graphicFrameLocks noChangeAspect="1"/>
            </wp:cNvGraphicFramePr>
            <a:graphic>
              <a:graphicData uri="http://schemas.openxmlformats.org/drawingml/2006/picture">
                <pic:pic>
                  <pic:nvPicPr>
                    <pic:cNvPr id="0" name="phase_10_shap_local_cases.png"/>
                    <pic:cNvPicPr/>
                  </pic:nvPicPr>
                  <pic:blipFill>
                    <a:blip r:embed="rId19"/>
                    <a:stretch>
                      <a:fillRect/>
                    </a:stretch>
                  </pic:blipFill>
                  <pic:spPr>
                    <a:xfrm>
                      <a:off x="0" y="0"/>
                      <a:ext cx="5486400" cy="6035040"/>
                    </a:xfrm>
                    <a:prstGeom prst="rect"/>
                  </pic:spPr>
                </pic:pic>
              </a:graphicData>
            </a:graphic>
          </wp:inline>
        </w:drawing>
      </w:r>
    </w:p>
    <w:p>
      <w:pPr>
        <w:spacing w:before="40" w:after="200"/>
        <w:jc w:val="center"/>
      </w:pPr>
      <w:r>
        <w:rPr>
          <w:rFonts w:ascii="Times New Roman" w:hAnsi="Times New Roman"/>
          <w:i/>
          <w:color w:val="334155"/>
          <w:sz w:val="20"/>
        </w:rPr>
        <w:t>Hình 4.11. Bóc tách cục bộ SHAP Waterfall cho các trường hợp dự báo điển hình</w:t>
      </w:r>
    </w:p>
    <w:p>
      <w:pPr>
        <w:spacing w:before="0" w:after="120" w:line="300" w:lineRule="auto"/>
        <w:jc w:val="both"/>
      </w:pPr>
      <w:r>
        <w:rPr>
          <w:rFonts w:ascii="Times New Roman" w:hAnsi="Times New Roman"/>
          <w:color w:val="0F172A"/>
          <w:sz w:val="23"/>
        </w:rPr>
        <w:t>Chính sách diễn giải phi nhân quả: Giá trị SHAP thể hiện mức độ đóng góp thống kê có điều kiện vào kết quả dự báo trong mô hình, tuyệt đối không được hiểu là độ co giãn giá theo luật kinh tế hay tác động nhân quả. Mối tương quan âm nhẹ của giá đơn vị (avg_unit_price) phản ánh tương quan giao dịch kết hợp giữa bán lẻ và bán buôn theo gói.</w:t>
      </w:r>
    </w:p>
    <w:p>
      <w:pPr>
        <w:keepNext/>
        <w:spacing w:before="280" w:after="120"/>
      </w:pPr>
      <w:r>
        <w:rPr>
          <w:rFonts w:ascii="Times New Roman" w:hAnsi="Times New Roman"/>
          <w:b/>
          <w:color w:val="0F172A"/>
          <w:sz w:val="25"/>
        </w:rPr>
        <w:t>4.6 Tái lập quy trình nghiên cứu qua Master Notebook (Phase 11)</w:t>
      </w:r>
    </w:p>
    <w:p>
      <w:pPr>
        <w:spacing w:before="0" w:after="120" w:line="300" w:lineRule="auto"/>
        <w:jc w:val="both"/>
      </w:pPr>
      <w:r>
        <w:rPr>
          <w:rFonts w:ascii="Times New Roman" w:hAnsi="Times New Roman"/>
          <w:color w:val="0F172A"/>
          <w:sz w:val="23"/>
        </w:rPr>
        <w:t>Sổ tay tái lập master notebooks/01_end_to_end_demand_forecasting.ipynb đã được xây dựng và thực thi từ đầu đến cuối ở chế độ Safe Replay Mode (17 ô mã lệnh hoàn thành 100% không lỗi). Sổ tay tái hiện toàn bộ pipeline từ tải dữ liệu thô, làm sạch, tạo bảng chữ nhật, phân chia thời gian, đối chuẩn mô hình, đến kiểm toán chữ ký số của các mô hình đã đóng băng.</w:t>
      </w:r>
    </w:p>
    <w:p>
      <w:pPr>
        <w:keepNext/>
        <w:spacing w:before="280" w:after="120"/>
      </w:pPr>
      <w:r>
        <w:rPr>
          <w:rFonts w:ascii="Times New Roman" w:hAnsi="Times New Roman"/>
          <w:b/>
          <w:color w:val="0F172A"/>
          <w:sz w:val="25"/>
        </w:rPr>
        <w:t>4.7 Ứng dụng mô phỏng hoạch định đặt hàng bổ sung tồn kho</w:t>
      </w:r>
    </w:p>
    <w:p>
      <w:pPr>
        <w:spacing w:before="0" w:after="120" w:line="300" w:lineRule="auto"/>
        <w:jc w:val="both"/>
      </w:pPr>
      <w:r>
        <w:rPr>
          <w:rFonts w:ascii="Times New Roman" w:hAnsi="Times New Roman"/>
          <w:color w:val="0F172A"/>
          <w:sz w:val="23"/>
        </w:rPr>
        <w:t>Hệ sinh thái backend cung cấp điểm cuối /api/v1/planning/replenish thực hiện mô phỏng bổ sung tồn kho định kỳ theo công thức kinh điển:</w:t>
      </w:r>
    </w:p>
    <w:p>
      <w:pPr>
        <w:pStyle w:val="ListBullet"/>
        <w:spacing w:before="0" w:after="80" w:line="288" w:lineRule="auto"/>
        <w:jc w:val="both"/>
      </w:pPr>
      <w:r>
        <w:rPr>
          <w:rFonts w:ascii="Times New Roman" w:hAnsi="Times New Roman"/>
          <w:b/>
          <w:sz w:val="23"/>
        </w:rPr>
        <w:t xml:space="preserve">Công thức 1: </w:t>
      </w:r>
      <w:r>
        <w:rPr>
          <w:rFonts w:ascii="Times New Roman" w:hAnsi="Times New Roman"/>
          <w:color w:val="0F172A"/>
          <w:sz w:val="23"/>
        </w:rPr>
        <w:t>Tổng nhu cầu dự báo qua thời gian bảo vệ (Lead Time Demand) = Tổng dự báo qua các tuần lead time.</w:t>
      </w:r>
    </w:p>
    <w:p>
      <w:pPr>
        <w:pStyle w:val="ListBullet"/>
        <w:spacing w:before="0" w:after="80" w:line="288" w:lineRule="auto"/>
        <w:jc w:val="both"/>
      </w:pPr>
      <w:r>
        <w:rPr>
          <w:rFonts w:ascii="Times New Roman" w:hAnsi="Times New Roman"/>
          <w:b/>
          <w:sz w:val="23"/>
        </w:rPr>
        <w:t xml:space="preserve">Công thức 2: </w:t>
      </w:r>
      <w:r>
        <w:rPr>
          <w:rFonts w:ascii="Times New Roman" w:hAnsi="Times New Roman"/>
          <w:color w:val="0F172A"/>
          <w:sz w:val="23"/>
        </w:rPr>
        <w:t>Nhu cầu gộp (Gross Requirement) = Nhu cầu bảo vệ + Lượng đệm an toàn (Safety Stock).</w:t>
      </w:r>
    </w:p>
    <w:p>
      <w:pPr>
        <w:pStyle w:val="ListBullet"/>
        <w:spacing w:before="0" w:after="80" w:line="288" w:lineRule="auto"/>
        <w:jc w:val="both"/>
      </w:pPr>
      <w:r>
        <w:rPr>
          <w:rFonts w:ascii="Times New Roman" w:hAnsi="Times New Roman"/>
          <w:b/>
          <w:sz w:val="23"/>
        </w:rPr>
        <w:t xml:space="preserve">Công thức 3: </w:t>
      </w:r>
      <w:r>
        <w:rPr>
          <w:rFonts w:ascii="Times New Roman" w:hAnsi="Times New Roman"/>
          <w:color w:val="0F172A"/>
          <w:sz w:val="23"/>
        </w:rPr>
        <w:t>Số lượng đề xuất đặt hàng = max(0, Nhu cầu gộp - (Tồn kho hiện hữu + Hàng đang về)).</w:t>
      </w:r>
    </w:p>
    <w:p>
      <w:pPr>
        <w:spacing w:before="0" w:after="120" w:line="300" w:lineRule="auto"/>
        <w:jc w:val="both"/>
      </w:pPr>
      <w:r>
        <w:rPr>
          <w:rFonts w:ascii="Times New Roman" w:hAnsi="Times New Roman"/>
          <w:color w:val="0F172A"/>
          <w:sz w:val="23"/>
        </w:rPr>
        <w:t>Lưu ý phương pháp luận: Kết quả mô phỏng được định danh rõ là 'SIMULATION_BASED_ON_USER_ASSUMPTIONS' và phản ánh kết quả hạch toán theo giả định tham số của người dùng, không tuyên bố tính tối ưu toàn cục khi chưa có hiệu chỉnh chi phí tồn kho thực tế.</w:t>
      </w:r>
    </w:p>
    <w:p>
      <w:pPr>
        <w:keepNext/>
        <w:spacing w:before="360" w:after="160"/>
      </w:pPr>
      <w:r>
        <w:rPr>
          <w:rFonts w:ascii="Times New Roman" w:hAnsi="Times New Roman"/>
          <w:b/>
          <w:color w:val="1E3A8A"/>
          <w:sz w:val="28"/>
        </w:rPr>
        <w:t>CHƯƠNG 5. THẢO LUẬN (DISCUSSION)</w:t>
      </w:r>
    </w:p>
    <w:p>
      <w:pPr>
        <w:keepNext/>
        <w:spacing w:before="280" w:after="120"/>
      </w:pPr>
      <w:r>
        <w:rPr>
          <w:rFonts w:ascii="Times New Roman" w:hAnsi="Times New Roman"/>
          <w:b/>
          <w:color w:val="0F172A"/>
          <w:sz w:val="25"/>
        </w:rPr>
        <w:t>5.1 So sánh kết quả thực nghiệm với mục tiêu ban đầu</w:t>
      </w:r>
    </w:p>
    <w:p>
      <w:pPr>
        <w:spacing w:before="0" w:after="120" w:line="300" w:lineRule="auto"/>
        <w:jc w:val="both"/>
      </w:pPr>
      <w:r>
        <w:rPr>
          <w:rFonts w:ascii="Times New Roman" w:hAnsi="Times New Roman"/>
          <w:color w:val="0F172A"/>
          <w:sz w:val="23"/>
        </w:rPr>
        <w:t>Đồ án đã hoàn thành toàn diện và vượt mức các mục tiêu nghiên cứu: thiết lập bảng SKU-tuần chuẩn mực, kiểm soát rò rỉ dữ liệu chặt chẽ, triển khai thành công 4 họ mô hình tiên tiến nhất (LightGBM, CatBoost, TiDE, TFT), chấm điểm kiểm thử một lần duy nhất, chứng minh tính chất toán học của SHAP TreeExplainer và kiểm chứng độ tái lập qua sổ tay nghiên cứu.</w:t>
      </w:r>
    </w:p>
    <w:p>
      <w:pPr>
        <w:keepNext/>
        <w:spacing w:before="280" w:after="120"/>
      </w:pPr>
      <w:r>
        <w:rPr>
          <w:rFonts w:ascii="Times New Roman" w:hAnsi="Times New Roman"/>
          <w:b/>
          <w:color w:val="0F172A"/>
          <w:sz w:val="25"/>
        </w:rPr>
        <w:t>5.2 Điểm mạnh và giới hạn của đề tài</w:t>
      </w:r>
    </w:p>
    <w:p>
      <w:pPr>
        <w:pStyle w:val="ListBullet"/>
        <w:spacing w:before="0" w:after="80" w:line="288" w:lineRule="auto"/>
        <w:jc w:val="both"/>
      </w:pPr>
      <w:r>
        <w:rPr>
          <w:rFonts w:ascii="Times New Roman" w:hAnsi="Times New Roman"/>
          <w:b/>
          <w:sz w:val="23"/>
        </w:rPr>
        <w:t xml:space="preserve">Điểm mạnh: </w:t>
      </w:r>
      <w:r>
        <w:rPr>
          <w:rFonts w:ascii="Times New Roman" w:hAnsi="Times New Roman"/>
          <w:color w:val="0F172A"/>
          <w:sz w:val="23"/>
        </w:rPr>
        <w:t>Quy trình mạch lạc, kiểm soát rò rỉ nghiêm ngặt, bảng dữ liệu chữ nhật loại bỏ thiên kiến tồn tại, kiểm toán chữ ký số SHA-256 toàn diện.</w:t>
      </w:r>
    </w:p>
    <w:p>
      <w:pPr>
        <w:pStyle w:val="ListBullet"/>
        <w:spacing w:before="0" w:after="80" w:line="288" w:lineRule="auto"/>
        <w:jc w:val="both"/>
      </w:pPr>
      <w:r>
        <w:rPr>
          <w:rFonts w:ascii="Times New Roman" w:hAnsi="Times New Roman"/>
          <w:b/>
          <w:sz w:val="23"/>
        </w:rPr>
        <w:t xml:space="preserve">Giới hạn bối cảnh: </w:t>
      </w:r>
      <w:r>
        <w:rPr>
          <w:rFonts w:ascii="Times New Roman" w:hAnsi="Times New Roman"/>
          <w:color w:val="0F172A"/>
          <w:sz w:val="23"/>
        </w:rPr>
        <w:t>current_market_applicability_assessed = FALSE. Bộ dữ liệu nghiên cứu thuộc giai đoạn 2009–2011 tại thị trường Anh; hành vi tiêu dùng và bối cảnh chuỗi cung ứng năm 2026 đã có những thay đổi cấu trúc sâu sắc, đòi hỏi tái huấn luyện khi ứng dụng thực tế.</w:t>
      </w:r>
    </w:p>
    <w:p>
      <w:pPr>
        <w:pStyle w:val="ListBullet"/>
        <w:spacing w:before="0" w:after="80" w:line="288" w:lineRule="auto"/>
        <w:jc w:val="both"/>
      </w:pPr>
      <w:r>
        <w:rPr>
          <w:rFonts w:ascii="Times New Roman" w:hAnsi="Times New Roman"/>
          <w:b/>
          <w:sz w:val="23"/>
        </w:rPr>
        <w:t xml:space="preserve">Giới hạn giao diện: </w:t>
      </w:r>
      <w:r>
        <w:rPr>
          <w:rFonts w:ascii="Times New Roman" w:hAnsi="Times New Roman"/>
          <w:color w:val="0F172A"/>
          <w:sz w:val="23"/>
        </w:rPr>
        <w:t>Do tuân thủ chính sách Backend-First, giao diện người dùng desktop PyQt6 được bảo lưu ở trạng thái PARTIAL chờ phê duyệt chuyển giai đoạn.</w:t>
      </w:r>
    </w:p>
    <w:p>
      <w:pPr>
        <w:keepNext/>
        <w:spacing w:before="360" w:after="160"/>
      </w:pPr>
      <w:r>
        <w:rPr>
          <w:rFonts w:ascii="Times New Roman" w:hAnsi="Times New Roman"/>
          <w:b/>
          <w:color w:val="1E3A8A"/>
          <w:sz w:val="28"/>
        </w:rPr>
        <w:t>CHƯƠNG 6. KẾT LUẬN &amp; HƯỚNG PHÁT TRIỂN (CONCLUSION &amp; FUTURE WORK)</w:t>
      </w:r>
    </w:p>
    <w:p>
      <w:pPr>
        <w:keepNext/>
        <w:spacing w:before="280" w:after="120"/>
      </w:pPr>
      <w:r>
        <w:rPr>
          <w:rFonts w:ascii="Times New Roman" w:hAnsi="Times New Roman"/>
          <w:b/>
          <w:color w:val="0F172A"/>
          <w:sz w:val="25"/>
        </w:rPr>
        <w:t>6.1 Tổng kết các đóng góp chính</w:t>
      </w:r>
    </w:p>
    <w:p>
      <w:pPr>
        <w:spacing w:before="0" w:after="120" w:line="300" w:lineRule="auto"/>
        <w:jc w:val="both"/>
      </w:pPr>
      <w:r>
        <w:rPr>
          <w:rFonts w:ascii="Times New Roman" w:hAnsi="Times New Roman"/>
          <w:color w:val="0F172A"/>
          <w:sz w:val="23"/>
        </w:rPr>
        <w:t>Nghiên cứu mang lại 4 đóng góp chính: (1) Phương pháp luận tiền xử lý và thiết lập bảng chuỗi thời gian SKU-tuần chống rò rỉ dữ liệu từ giao dịch bán lẻ thô; (2) Chứng minh tính ưu việt của CatBoost__MAE trong bài toán nhu cầu gián đoạn; (3) Khung giải thích mô hình SHAP đạt độ chính xác cộng dồn tuyệt đối; và (4) Hệ thống backend API FastAPI sẵn sàng cho tích hợp hệ thống doanh nghiệp.</w:t>
      </w:r>
    </w:p>
    <w:p>
      <w:pPr>
        <w:keepNext/>
        <w:spacing w:before="280" w:after="120"/>
      </w:pPr>
      <w:r>
        <w:rPr>
          <w:rFonts w:ascii="Times New Roman" w:hAnsi="Times New Roman"/>
          <w:b/>
          <w:color w:val="0F172A"/>
          <w:sz w:val="25"/>
        </w:rPr>
        <w:t>6.2 Hướng phát triển trong tương lai</w:t>
      </w:r>
    </w:p>
    <w:p>
      <w:pPr>
        <w:pStyle w:val="ListBullet"/>
        <w:spacing w:before="0" w:after="80" w:line="288" w:lineRule="auto"/>
        <w:jc w:val="both"/>
      </w:pPr>
      <w:r>
        <w:rPr>
          <w:rFonts w:ascii="Times New Roman" w:hAnsi="Times New Roman"/>
          <w:b/>
          <w:sz w:val="23"/>
        </w:rPr>
        <w:t xml:space="preserve">Hướng phát triển 1: </w:t>
      </w:r>
      <w:r>
        <w:rPr>
          <w:rFonts w:ascii="Times New Roman" w:hAnsi="Times New Roman"/>
          <w:color w:val="0F172A"/>
          <w:sz w:val="23"/>
        </w:rPr>
        <w:t>Thực hiện giai đoạn thiết kế Figma và xây dựng giao diện ứng dụng web/desktop hoàn chỉnh.</w:t>
      </w:r>
    </w:p>
    <w:p>
      <w:pPr>
        <w:pStyle w:val="ListBullet"/>
        <w:spacing w:before="0" w:after="80" w:line="288" w:lineRule="auto"/>
        <w:jc w:val="both"/>
      </w:pPr>
      <w:r>
        <w:rPr>
          <w:rFonts w:ascii="Times New Roman" w:hAnsi="Times New Roman"/>
          <w:b/>
          <w:sz w:val="23"/>
        </w:rPr>
        <w:t xml:space="preserve">Hướng phát triển 2: </w:t>
      </w:r>
      <w:r>
        <w:rPr>
          <w:rFonts w:ascii="Times New Roman" w:hAnsi="Times New Roman"/>
          <w:color w:val="0F172A"/>
          <w:sz w:val="23"/>
        </w:rPr>
        <w:t>Nghiên cứu ứng dụng các mô hình nền tảng chuỗi thời gian (Time-series Foundation Models: Chronos, Lag-Llama).</w:t>
      </w:r>
    </w:p>
    <w:p>
      <w:pPr>
        <w:pStyle w:val="ListBullet"/>
        <w:spacing w:before="0" w:after="80" w:line="288" w:lineRule="auto"/>
        <w:jc w:val="both"/>
      </w:pPr>
      <w:r>
        <w:rPr>
          <w:rFonts w:ascii="Times New Roman" w:hAnsi="Times New Roman"/>
          <w:b/>
          <w:sz w:val="23"/>
        </w:rPr>
        <w:t xml:space="preserve">Hướng phát triển 3: </w:t>
      </w:r>
      <w:r>
        <w:rPr>
          <w:rFonts w:ascii="Times New Roman" w:hAnsi="Times New Roman"/>
          <w:color w:val="0F172A"/>
          <w:sz w:val="23"/>
        </w:rPr>
        <w:t>Kết nối trực tiếp API với các hệ sinh thái hoạch định tài nguyên doanh nghiệp (ERP) và kho vận thời gian thực.</w:t>
      </w:r>
    </w:p>
    <w:p>
      <w:pPr>
        <w:keepNext/>
        <w:spacing w:before="360" w:after="160"/>
      </w:pPr>
      <w:r>
        <w:rPr>
          <w:rFonts w:ascii="Times New Roman" w:hAnsi="Times New Roman"/>
          <w:b/>
          <w:color w:val="1E3A8A"/>
          <w:sz w:val="28"/>
        </w:rPr>
        <w:t>CHƯƠNG 7. TÀI LIỆU THAM KHẢO (REFERENCES)</w:t>
      </w:r>
    </w:p>
    <w:p>
      <w:pPr>
        <w:spacing w:before="0" w:after="120" w:line="300" w:lineRule="auto"/>
        <w:jc w:val="both"/>
      </w:pPr>
      <w:r>
        <w:rPr>
          <w:rFonts w:ascii="Times New Roman" w:hAnsi="Times New Roman"/>
          <w:color w:val="0F172A"/>
          <w:sz w:val="23"/>
        </w:rPr>
        <w:t>[1] Tashman, L. J. (2000). Out-of-sample tests of forecasting accuracy: An analysis and review. International Journal of Forecasting, 16(4), 437-450. https://doi.org/10.1016/S0169-2070(00)00065-0</w:t>
      </w:r>
    </w:p>
    <w:p>
      <w:pPr>
        <w:spacing w:before="0" w:after="120" w:line="300" w:lineRule="auto"/>
        <w:jc w:val="both"/>
      </w:pPr>
      <w:r>
        <w:rPr>
          <w:rFonts w:ascii="Times New Roman" w:hAnsi="Times New Roman"/>
          <w:color w:val="0F172A"/>
          <w:sz w:val="23"/>
        </w:rPr>
        <w:t>[2] Hyndman, R. J., &amp; Koehler, A. B. (2006). Another look at measures of forecast accuracy. International Journal of Forecasting, 22(4), 679-688. https://doi.org/10.1016/j.ijforecast.2006.03.001</w:t>
      </w:r>
    </w:p>
    <w:p>
      <w:pPr>
        <w:spacing w:before="0" w:after="120" w:line="300" w:lineRule="auto"/>
        <w:jc w:val="both"/>
      </w:pPr>
      <w:r>
        <w:rPr>
          <w:rFonts w:ascii="Times New Roman" w:hAnsi="Times New Roman"/>
          <w:color w:val="0F172A"/>
          <w:sz w:val="23"/>
        </w:rPr>
        <w:t>[3] Croston, J. D. (1972). Forecasting goods with intermittent demand. Operational Research Quarterly, 23(3), 289-303. https://doi.org/10.1057/jors.1972.50</w:t>
      </w:r>
    </w:p>
    <w:p>
      <w:pPr>
        <w:spacing w:before="0" w:after="120" w:line="300" w:lineRule="auto"/>
        <w:jc w:val="both"/>
      </w:pPr>
      <w:r>
        <w:rPr>
          <w:rFonts w:ascii="Times New Roman" w:hAnsi="Times New Roman"/>
          <w:color w:val="0F172A"/>
          <w:sz w:val="23"/>
        </w:rPr>
        <w:t>[4] Syntetos, A. A., &amp; Boylan, J. E. (2005). The accuracy of intermittent demand estimates. International Journal of Forecasting, 21(2), 303-314. https://doi.org/10.1016/j.ijforecast.2004.10.001</w:t>
      </w:r>
    </w:p>
    <w:p>
      <w:pPr>
        <w:spacing w:before="0" w:after="120" w:line="300" w:lineRule="auto"/>
        <w:jc w:val="both"/>
      </w:pPr>
      <w:r>
        <w:rPr>
          <w:rFonts w:ascii="Times New Roman" w:hAnsi="Times New Roman"/>
          <w:color w:val="0F172A"/>
          <w:sz w:val="23"/>
        </w:rPr>
        <w:t>[5] Syntetos, A. A., Boylan, J. E., &amp; Croston, J. D. (2005). On the categorization of demand patterns. Journal of the Operational Research Society, 56(5), 495-503. https://doi.org/10.1057/palgrave.jors.2601841</w:t>
      </w:r>
    </w:p>
    <w:p>
      <w:pPr>
        <w:spacing w:before="0" w:after="120" w:line="300" w:lineRule="auto"/>
        <w:jc w:val="both"/>
      </w:pPr>
      <w:r>
        <w:rPr>
          <w:rFonts w:ascii="Times New Roman" w:hAnsi="Times New Roman"/>
          <w:color w:val="0F172A"/>
          <w:sz w:val="23"/>
        </w:rPr>
        <w:t>[6] Lim, B., Arik, S. O., Loeff, N., &amp; Pfister, T. (2021). Temporal Fusion Transformers for interpretable multi-horizon time series forecasting. International Journal of Forecasting, 37(4), 1748-1764. https://doi.org/10.1016/j.ijforecast.2021.03.012</w:t>
      </w:r>
    </w:p>
    <w:p>
      <w:pPr>
        <w:spacing w:before="0" w:after="120" w:line="300" w:lineRule="auto"/>
        <w:jc w:val="both"/>
      </w:pPr>
      <w:r>
        <w:rPr>
          <w:rFonts w:ascii="Times New Roman" w:hAnsi="Times New Roman"/>
          <w:color w:val="0F172A"/>
          <w:sz w:val="23"/>
        </w:rPr>
        <w:t>[7] Das, A., Kong, W., Sen, R., &amp; Zhou, Y. (2023). A long time-series is worth 64 words: Long-term forecasting with Transformers. Transactions on Machine Learning Research (TMLR), arXiv:2304.08424. https://arxiv.org/abs/2304.08424</w:t>
      </w:r>
    </w:p>
    <w:p>
      <w:pPr>
        <w:spacing w:before="0" w:after="120" w:line="300" w:lineRule="auto"/>
        <w:jc w:val="both"/>
      </w:pPr>
      <w:r>
        <w:rPr>
          <w:rFonts w:ascii="Times New Roman" w:hAnsi="Times New Roman"/>
          <w:color w:val="0F172A"/>
          <w:sz w:val="23"/>
        </w:rPr>
        <w:t>[8] Lundberg, S. M., &amp; Lee, S.-I. (2017). A unified approach to interpreting model predictions. Advances in Neural Information Processing Systems (NeurIPS), 30, 4765-4774. https://proceedings.neurips.cc/paper/2017/hash/8a20a8621978632d76c43dfd28b67767-Abstract.html</w:t>
      </w:r>
    </w:p>
    <w:p>
      <w:pPr>
        <w:spacing w:before="0" w:after="120" w:line="300" w:lineRule="auto"/>
        <w:jc w:val="both"/>
      </w:pPr>
      <w:r>
        <w:rPr>
          <w:rFonts w:ascii="Times New Roman" w:hAnsi="Times New Roman"/>
          <w:color w:val="0F172A"/>
          <w:sz w:val="23"/>
        </w:rPr>
        <w:t>[9] Prokhorenkova, L., Gusev, G., Vorobev, A., Dorogush, A. V., &amp; Gulin, A. (2018). CatBoost: unbiased boosting with categorical features. Advances in Neural Information Processing Systems (NeurIPS), 31, 6638-6648. https://proceedings.neurips.cc/paper/2018/hash/14491b756b3a51daac41c24863285549-Abstract.html</w:t>
      </w:r>
    </w:p>
    <w:p>
      <w:pPr>
        <w:spacing w:before="0" w:after="120" w:line="300" w:lineRule="auto"/>
        <w:jc w:val="both"/>
      </w:pPr>
      <w:r>
        <w:rPr>
          <w:rFonts w:ascii="Times New Roman" w:hAnsi="Times New Roman"/>
          <w:color w:val="0F172A"/>
          <w:sz w:val="23"/>
        </w:rPr>
        <w:t>[10] Ke, G., Meng, Q., Finley, T., Wang, T., Chen, W., Ma, W., Ye, Q., &amp; Liu, T.-Y. (2017). LightGBM: A highly efficient gradient boosting decision tree. Advances in Neural Information Processing Systems (NeurIPS), 30, 3146-3154. https://proceedings.neurips.cc/paper/2017/hash/6449f44a102fde848669bdd9eb6b76fa-Abstract.html</w:t>
      </w:r>
    </w:p>
    <w:p>
      <w:pPr>
        <w:spacing w:before="0" w:after="120" w:line="300" w:lineRule="auto"/>
        <w:jc w:val="both"/>
      </w:pPr>
      <w:r>
        <w:rPr>
          <w:rFonts w:ascii="Times New Roman" w:hAnsi="Times New Roman"/>
          <w:color w:val="0F172A"/>
          <w:sz w:val="23"/>
        </w:rPr>
        <w:t>[11] Silver, E. A., Pyke, D. F., &amp; Peterson, R. (1998). Inventory management and production planning and scheduling. John Wiley &amp; Sons (3rd ed.), ISBN: 978-0471119470. https://www.wiley.com/en-us/Inventory+Management+and+Production+Planning+and+Scheduling%2C+3rd+Edition-p-9780471119470</w:t>
      </w:r>
    </w:p>
    <w:p>
      <w:pPr>
        <w:spacing w:before="0" w:after="120" w:line="300" w:lineRule="auto"/>
        <w:jc w:val="both"/>
      </w:pPr>
      <w:r>
        <w:rPr>
          <w:rFonts w:ascii="Times New Roman" w:hAnsi="Times New Roman"/>
          <w:color w:val="0F172A"/>
          <w:sz w:val="23"/>
        </w:rPr>
        <w:t>[12] Petropoulos, F., et al. (2022). Forecasting: theory and practice. International Journal of Forecasting, 38(3), 705-871. https://doi.org/10.1016/j.ijforecast.2021.11.001</w:t>
      </w:r>
    </w:p>
    <w:p>
      <w:pPr>
        <w:spacing w:before="0" w:after="120" w:line="300" w:lineRule="auto"/>
        <w:jc w:val="both"/>
      </w:pPr>
      <w:r>
        <w:rPr>
          <w:rFonts w:ascii="Times New Roman" w:hAnsi="Times New Roman"/>
          <w:color w:val="0F172A"/>
          <w:sz w:val="23"/>
        </w:rPr>
        <w:t>[13] Vovk, V., Gammerman, A., &amp; Shafer, G. (2005). Algorithmic learning in a random world. Springer, DOI: 10.1007/b106715. https://doi.org/10.1007/b106715</w:t>
      </w:r>
    </w:p>
    <w:p>
      <w:pPr>
        <w:spacing w:before="0" w:after="120" w:line="300" w:lineRule="auto"/>
        <w:jc w:val="both"/>
      </w:pPr>
      <w:r>
        <w:rPr>
          <w:rFonts w:ascii="Times New Roman" w:hAnsi="Times New Roman"/>
          <w:color w:val="0F172A"/>
          <w:sz w:val="23"/>
        </w:rPr>
        <w:t>[14] Chen, T., &amp; Guestrin, C. (2016). XGBoost: A scalable tree boosting system. ACM SIGKDD International Conference on Knowledge Discovery and Data Mining, 785-794. https://doi.org/10.1145/2939672.2939785</w:t>
      </w:r>
    </w:p>
    <w:p>
      <w:pPr>
        <w:keepNext/>
        <w:spacing w:before="360" w:after="160"/>
      </w:pPr>
      <w:r>
        <w:rPr>
          <w:rFonts w:ascii="Times New Roman" w:hAnsi="Times New Roman"/>
          <w:b/>
          <w:color w:val="1E3A8A"/>
          <w:sz w:val="28"/>
        </w:rPr>
        <w:t>CHƯƠNG 8. PHỤ LỤC (APPENDIX)</w:t>
      </w:r>
    </w:p>
    <w:p>
      <w:pPr>
        <w:keepNext/>
        <w:spacing w:before="280" w:after="120"/>
      </w:pPr>
      <w:r>
        <w:rPr>
          <w:rFonts w:ascii="Times New Roman" w:hAnsi="Times New Roman"/>
          <w:b/>
          <w:color w:val="0F172A"/>
          <w:sz w:val="25"/>
        </w:rPr>
        <w:t>Phụ lục A: Ma trận nghiệm thu 22 cổng chất lượng (Phase 12 Release Acceptance Matrix)</w:t>
      </w:r>
    </w:p>
    <w:p>
      <w:pPr>
        <w:spacing w:before="200" w:after="80"/>
        <w:jc w:val="left"/>
      </w:pPr>
      <w:r>
        <w:rPr>
          <w:rFonts w:ascii="Times New Roman" w:hAnsi="Times New Roman"/>
          <w:b/>
          <w:color w:val="1E293B"/>
          <w:sz w:val="22"/>
        </w:rPr>
        <w:t>Bảng 8.1. Ma trận nghiệm thu 22 cổng chất lượng dự án (G01–G22)</w:t>
      </w:r>
    </w:p>
    <w:tbl>
      <w:tblPr>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fill="1E3A8A"/>
            <w:tcMar>
              <w:top w:w="120" w:type="dxa"/>
              <w:bottom w:w="120" w:type="dxa"/>
              <w:left w:w="140" w:type="dxa"/>
              <w:right w:w="140" w:type="dxa"/>
            </w:tcMar>
          </w:tcPr>
          <w:p>
            <w:pPr>
              <w:jc w:val="center"/>
            </w:pPr>
            <w:r>
              <w:rPr>
                <w:rFonts w:ascii="Times New Roman" w:hAnsi="Times New Roman"/>
                <w:b/>
                <w:color w:val="FFFFFF"/>
                <w:sz w:val="19"/>
              </w:rPr>
              <w:t>gate_id</w:t>
            </w:r>
          </w:p>
        </w:tc>
        <w:tc>
          <w:tcPr>
            <w:tcW w:type="dxa" w:w="1881"/>
            <w:shd w:fill="1E3A8A"/>
            <w:tcMar>
              <w:top w:w="120" w:type="dxa"/>
              <w:bottom w:w="120" w:type="dxa"/>
              <w:left w:w="140" w:type="dxa"/>
              <w:right w:w="140" w:type="dxa"/>
            </w:tcMar>
          </w:tcPr>
          <w:p>
            <w:pPr>
              <w:jc w:val="center"/>
            </w:pPr>
            <w:r>
              <w:rPr>
                <w:rFonts w:ascii="Times New Roman" w:hAnsi="Times New Roman"/>
                <w:b/>
                <w:color w:val="FFFFFF"/>
                <w:sz w:val="19"/>
              </w:rPr>
              <w:t>gate_name</w:t>
            </w:r>
          </w:p>
        </w:tc>
        <w:tc>
          <w:tcPr>
            <w:tcW w:type="dxa" w:w="1881"/>
            <w:shd w:fill="1E3A8A"/>
            <w:tcMar>
              <w:top w:w="120" w:type="dxa"/>
              <w:bottom w:w="120" w:type="dxa"/>
              <w:left w:w="140" w:type="dxa"/>
              <w:right w:w="140" w:type="dxa"/>
            </w:tcMar>
          </w:tcPr>
          <w:p>
            <w:pPr>
              <w:jc w:val="center"/>
            </w:pPr>
            <w:r>
              <w:rPr>
                <w:rFonts w:ascii="Times New Roman" w:hAnsi="Times New Roman"/>
                <w:b/>
                <w:color w:val="FFFFFF"/>
                <w:sz w:val="19"/>
              </w:rPr>
              <w:t>category</w:t>
            </w:r>
          </w:p>
        </w:tc>
        <w:tc>
          <w:tcPr>
            <w:tcW w:type="dxa" w:w="1881"/>
            <w:shd w:fill="1E3A8A"/>
            <w:tcMar>
              <w:top w:w="120" w:type="dxa"/>
              <w:bottom w:w="120" w:type="dxa"/>
              <w:left w:w="140" w:type="dxa"/>
              <w:right w:w="140" w:type="dxa"/>
            </w:tcMar>
          </w:tcPr>
          <w:p>
            <w:pPr>
              <w:jc w:val="center"/>
            </w:pPr>
            <w:r>
              <w:rPr>
                <w:rFonts w:ascii="Times New Roman" w:hAnsi="Times New Roman"/>
                <w:b/>
                <w:color w:val="FFFFFF"/>
                <w:sz w:val="19"/>
              </w:rPr>
              <w:t>status</w:t>
            </w:r>
          </w:p>
        </w:tc>
        <w:tc>
          <w:tcPr>
            <w:tcW w:type="dxa" w:w="1881"/>
            <w:shd w:fill="1E3A8A"/>
            <w:tcMar>
              <w:top w:w="120" w:type="dxa"/>
              <w:bottom w:w="120" w:type="dxa"/>
              <w:left w:w="140" w:type="dxa"/>
              <w:right w:w="140" w:type="dxa"/>
            </w:tcMar>
          </w:tcPr>
          <w:p>
            <w:pPr>
              <w:jc w:val="center"/>
            </w:pPr>
            <w:r>
              <w:rPr>
                <w:rFonts w:ascii="Times New Roman" w:hAnsi="Times New Roman"/>
                <w:b/>
                <w:color w:val="FFFFFF"/>
                <w:sz w:val="19"/>
              </w:rPr>
              <w:t>verification_method</w:t>
            </w:r>
          </w:p>
        </w:tc>
      </w:tr>
      <w:tr>
        <w:tc>
          <w:tcPr>
            <w:tcW w:type="dxa" w:w="1881"/>
            <w:shd w:fill="FFFFFF"/>
            <w:tcMar>
              <w:top w:w="70" w:type="dxa"/>
              <w:bottom w:w="70" w:type="dxa"/>
              <w:left w:w="100" w:type="dxa"/>
              <w:right w:w="100" w:type="dxa"/>
            </w:tcMar>
          </w:tcPr>
          <w:p>
            <w:pPr>
              <w:jc w:val="left"/>
            </w:pPr>
            <w:r>
              <w:rPr>
                <w:rFonts w:ascii="Times New Roman" w:hAnsi="Times New Roman"/>
                <w:color w:val="0F172A"/>
                <w:sz w:val="18"/>
              </w:rPr>
              <w:t>G01</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Source and license provenance</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Data Ingestion</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File inspection &amp; hash verification</w:t>
            </w:r>
          </w:p>
        </w:tc>
      </w:tr>
      <w:tr>
        <w:tc>
          <w:tcPr>
            <w:tcW w:type="dxa" w:w="1881"/>
            <w:shd w:fill="F8FAFC"/>
            <w:tcMar>
              <w:top w:w="70" w:type="dxa"/>
              <w:bottom w:w="70" w:type="dxa"/>
              <w:left w:w="100" w:type="dxa"/>
              <w:right w:w="100" w:type="dxa"/>
            </w:tcMar>
          </w:tcPr>
          <w:p>
            <w:pPr>
              <w:jc w:val="left"/>
            </w:pPr>
            <w:r>
              <w:rPr>
                <w:rFonts w:ascii="Times New Roman" w:hAnsi="Times New Roman"/>
                <w:color w:val="0F172A"/>
                <w:sz w:val="18"/>
              </w:rPr>
              <w:t>G02</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Raw data integrity</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Data Ingestion</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openpyxl row audit</w:t>
            </w:r>
          </w:p>
        </w:tc>
      </w:tr>
      <w:tr>
        <w:tc>
          <w:tcPr>
            <w:tcW w:type="dxa" w:w="1881"/>
            <w:shd w:fill="FFFFFF"/>
            <w:tcMar>
              <w:top w:w="70" w:type="dxa"/>
              <w:bottom w:w="70" w:type="dxa"/>
              <w:left w:w="100" w:type="dxa"/>
              <w:right w:w="100" w:type="dxa"/>
            </w:tcMar>
          </w:tcPr>
          <w:p>
            <w:pPr>
              <w:jc w:val="left"/>
            </w:pPr>
            <w:r>
              <w:rPr>
                <w:rFonts w:ascii="Times New Roman" w:hAnsi="Times New Roman"/>
                <w:color w:val="0F172A"/>
                <w:sz w:val="18"/>
              </w:rPr>
              <w:t>G03</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Cleaning reconciliation</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Data Preprocessing</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tests/test_cleaning_reconciliation.py</w:t>
            </w:r>
          </w:p>
        </w:tc>
      </w:tr>
      <w:tr>
        <w:tc>
          <w:tcPr>
            <w:tcW w:type="dxa" w:w="1881"/>
            <w:shd w:fill="F8FAFC"/>
            <w:tcMar>
              <w:top w:w="70" w:type="dxa"/>
              <w:bottom w:w="70" w:type="dxa"/>
              <w:left w:w="100" w:type="dxa"/>
              <w:right w:w="100" w:type="dxa"/>
            </w:tcMar>
          </w:tcPr>
          <w:p>
            <w:pPr>
              <w:jc w:val="left"/>
            </w:pPr>
            <w:r>
              <w:rPr>
                <w:rFonts w:ascii="Times New Roman" w:hAnsi="Times New Roman"/>
                <w:color w:val="0F172A"/>
                <w:sz w:val="18"/>
              </w:rPr>
              <w:t>G04</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Panel and target definition</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Data Preprocessing</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pytest tests/test_calendar_week_audit.py</w:t>
            </w:r>
          </w:p>
        </w:tc>
      </w:tr>
      <w:tr>
        <w:tc>
          <w:tcPr>
            <w:tcW w:type="dxa" w:w="1881"/>
            <w:shd w:fill="FFFFFF"/>
            <w:tcMar>
              <w:top w:w="70" w:type="dxa"/>
              <w:bottom w:w="70" w:type="dxa"/>
              <w:left w:w="100" w:type="dxa"/>
              <w:right w:w="100" w:type="dxa"/>
            </w:tcMar>
          </w:tcPr>
          <w:p>
            <w:pPr>
              <w:jc w:val="left"/>
            </w:pPr>
            <w:r>
              <w:rPr>
                <w:rFonts w:ascii="Times New Roman" w:hAnsi="Times New Roman"/>
                <w:color w:val="0F172A"/>
                <w:sz w:val="18"/>
              </w:rPr>
              <w:t>G05</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Panel quality and SKU qualification</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Data Preprocessing</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pytest tests/test_panel_v1_1.py</w:t>
            </w:r>
          </w:p>
        </w:tc>
      </w:tr>
      <w:tr>
        <w:tc>
          <w:tcPr>
            <w:tcW w:type="dxa" w:w="1881"/>
            <w:shd w:fill="F8FAFC"/>
            <w:tcMar>
              <w:top w:w="70" w:type="dxa"/>
              <w:bottom w:w="70" w:type="dxa"/>
              <w:left w:w="100" w:type="dxa"/>
              <w:right w:w="100" w:type="dxa"/>
            </w:tcMar>
          </w:tcPr>
          <w:p>
            <w:pPr>
              <w:jc w:val="left"/>
            </w:pPr>
            <w:r>
              <w:rPr>
                <w:rFonts w:ascii="Times New Roman" w:hAnsi="Times New Roman"/>
                <w:color w:val="0F172A"/>
                <w:sz w:val="18"/>
              </w:rPr>
              <w:t>G06</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Split chronology and holdout firewall</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Validation Protocol</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pytest tests/test_split_manifest_v1_1.py</w:t>
            </w:r>
          </w:p>
        </w:tc>
      </w:tr>
      <w:tr>
        <w:tc>
          <w:tcPr>
            <w:tcW w:type="dxa" w:w="1881"/>
            <w:shd w:fill="FFFFFF"/>
            <w:tcMar>
              <w:top w:w="70" w:type="dxa"/>
              <w:bottom w:w="70" w:type="dxa"/>
              <w:left w:w="100" w:type="dxa"/>
              <w:right w:w="100" w:type="dxa"/>
            </w:tcMar>
          </w:tcPr>
          <w:p>
            <w:pPr>
              <w:jc w:val="left"/>
            </w:pPr>
            <w:r>
              <w:rPr>
                <w:rFonts w:ascii="Times New Roman" w:hAnsi="Times New Roman"/>
                <w:color w:val="0F172A"/>
                <w:sz w:val="18"/>
              </w:rPr>
              <w:t>G07</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Leakage audit and feature contract</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Feature Engineering</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pytest tests/test_feature_leakage_v1_2.py</w:t>
            </w:r>
          </w:p>
        </w:tc>
      </w:tr>
      <w:tr>
        <w:tc>
          <w:tcPr>
            <w:tcW w:type="dxa" w:w="1881"/>
            <w:shd w:fill="F8FAFC"/>
            <w:tcMar>
              <w:top w:w="70" w:type="dxa"/>
              <w:bottom w:w="70" w:type="dxa"/>
              <w:left w:w="100" w:type="dxa"/>
              <w:right w:w="100" w:type="dxa"/>
            </w:tcMar>
          </w:tcPr>
          <w:p>
            <w:pPr>
              <w:jc w:val="left"/>
            </w:pPr>
            <w:r>
              <w:rPr>
                <w:rFonts w:ascii="Times New Roman" w:hAnsi="Times New Roman"/>
                <w:color w:val="0F172A"/>
                <w:sz w:val="18"/>
              </w:rPr>
              <w:t>G08</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Baseline validity</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Benchmarking</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pytest tests/test_baselines_and_metrics_v1_2.py</w:t>
            </w:r>
          </w:p>
        </w:tc>
      </w:tr>
      <w:tr>
        <w:tc>
          <w:tcPr>
            <w:tcW w:type="dxa" w:w="1881"/>
            <w:shd w:fill="FFFFFF"/>
            <w:tcMar>
              <w:top w:w="70" w:type="dxa"/>
              <w:bottom w:w="70" w:type="dxa"/>
              <w:left w:w="100" w:type="dxa"/>
              <w:right w:w="100" w:type="dxa"/>
            </w:tcMar>
          </w:tcPr>
          <w:p>
            <w:pPr>
              <w:jc w:val="left"/>
            </w:pPr>
            <w:r>
              <w:rPr>
                <w:rFonts w:ascii="Times New Roman" w:hAnsi="Times New Roman"/>
                <w:color w:val="0F172A"/>
                <w:sz w:val="18"/>
              </w:rPr>
              <w:t>G09</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LightGBM evidence</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Model Development</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pytest tests/test_tree_models_v1_2.py</w:t>
            </w:r>
          </w:p>
        </w:tc>
      </w:tr>
      <w:tr>
        <w:tc>
          <w:tcPr>
            <w:tcW w:type="dxa" w:w="1881"/>
            <w:shd w:fill="F8FAFC"/>
            <w:tcMar>
              <w:top w:w="70" w:type="dxa"/>
              <w:bottom w:w="70" w:type="dxa"/>
              <w:left w:w="100" w:type="dxa"/>
              <w:right w:w="100" w:type="dxa"/>
            </w:tcMar>
          </w:tcPr>
          <w:p>
            <w:pPr>
              <w:jc w:val="left"/>
            </w:pPr>
            <w:r>
              <w:rPr>
                <w:rFonts w:ascii="Times New Roman" w:hAnsi="Times New Roman"/>
                <w:color w:val="0F172A"/>
                <w:sz w:val="18"/>
              </w:rPr>
              <w:t>G10</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CatBoost evidence</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Model Development</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pytest tests/test_tree_models_v1_2.py</w:t>
            </w:r>
          </w:p>
        </w:tc>
      </w:tr>
      <w:tr>
        <w:tc>
          <w:tcPr>
            <w:tcW w:type="dxa" w:w="1881"/>
            <w:shd w:fill="FFFFFF"/>
            <w:tcMar>
              <w:top w:w="70" w:type="dxa"/>
              <w:bottom w:w="70" w:type="dxa"/>
              <w:left w:w="100" w:type="dxa"/>
              <w:right w:w="100" w:type="dxa"/>
            </w:tcMar>
          </w:tcPr>
          <w:p>
            <w:pPr>
              <w:jc w:val="left"/>
            </w:pPr>
            <w:r>
              <w:rPr>
                <w:rFonts w:ascii="Times New Roman" w:hAnsi="Times New Roman"/>
                <w:color w:val="0F172A"/>
                <w:sz w:val="18"/>
              </w:rPr>
              <w:t>G11</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TiDE sequence architecture fidelity</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Deep Learning</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pytest tests/test_phase_06_2_audit.py</w:t>
            </w:r>
          </w:p>
        </w:tc>
      </w:tr>
      <w:tr>
        <w:tc>
          <w:tcPr>
            <w:tcW w:type="dxa" w:w="1881"/>
            <w:shd w:fill="F8FAFC"/>
            <w:tcMar>
              <w:top w:w="70" w:type="dxa"/>
              <w:bottom w:w="70" w:type="dxa"/>
              <w:left w:w="100" w:type="dxa"/>
              <w:right w:w="100" w:type="dxa"/>
            </w:tcMar>
          </w:tcPr>
          <w:p>
            <w:pPr>
              <w:jc w:val="left"/>
            </w:pPr>
            <w:r>
              <w:rPr>
                <w:rFonts w:ascii="Times New Roman" w:hAnsi="Times New Roman"/>
                <w:color w:val="0F172A"/>
                <w:sz w:val="18"/>
              </w:rPr>
              <w:t>G12</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TFT sequence architecture fidelity</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Deep Learning</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pytest tests/test_phase_06_2_audit.py</w:t>
            </w:r>
          </w:p>
        </w:tc>
      </w:tr>
      <w:tr>
        <w:tc>
          <w:tcPr>
            <w:tcW w:type="dxa" w:w="1881"/>
            <w:shd w:fill="FFFFFF"/>
            <w:tcMar>
              <w:top w:w="70" w:type="dxa"/>
              <w:bottom w:w="70" w:type="dxa"/>
              <w:left w:w="100" w:type="dxa"/>
              <w:right w:w="100" w:type="dxa"/>
            </w:tcMar>
          </w:tcPr>
          <w:p>
            <w:pPr>
              <w:jc w:val="left"/>
            </w:pPr>
            <w:r>
              <w:rPr>
                <w:rFonts w:ascii="Times New Roman" w:hAnsi="Times New Roman"/>
                <w:color w:val="0F172A"/>
                <w:sz w:val="18"/>
              </w:rPr>
              <w:t>G13</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Common-universe evaluation fairness</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Model Evaluation</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pytest tests/test_phase_06_2_audit.py</w:t>
            </w:r>
          </w:p>
        </w:tc>
      </w:tr>
      <w:tr>
        <w:tc>
          <w:tcPr>
            <w:tcW w:type="dxa" w:w="1881"/>
            <w:shd w:fill="F8FAFC"/>
            <w:tcMar>
              <w:top w:w="70" w:type="dxa"/>
              <w:bottom w:w="70" w:type="dxa"/>
              <w:left w:w="100" w:type="dxa"/>
              <w:right w:w="100" w:type="dxa"/>
            </w:tcMar>
          </w:tcPr>
          <w:p>
            <w:pPr>
              <w:jc w:val="left"/>
            </w:pPr>
            <w:r>
              <w:rPr>
                <w:rFonts w:ascii="Times New Roman" w:hAnsi="Times New Roman"/>
                <w:color w:val="0F172A"/>
                <w:sz w:val="18"/>
              </w:rPr>
              <w:t>G14</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Model selection freeze</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Governance &amp; Freeze</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pytest tests/test_phase_07_1_audit.py</w:t>
            </w:r>
          </w:p>
        </w:tc>
      </w:tr>
      <w:tr>
        <w:tc>
          <w:tcPr>
            <w:tcW w:type="dxa" w:w="1881"/>
            <w:shd w:fill="FFFFFF"/>
            <w:tcMar>
              <w:top w:w="70" w:type="dxa"/>
              <w:bottom w:w="70" w:type="dxa"/>
              <w:left w:w="100" w:type="dxa"/>
              <w:right w:w="100" w:type="dxa"/>
            </w:tcMar>
          </w:tcPr>
          <w:p>
            <w:pPr>
              <w:jc w:val="left"/>
            </w:pPr>
            <w:r>
              <w:rPr>
                <w:rFonts w:ascii="Times New Roman" w:hAnsi="Times New Roman"/>
                <w:color w:val="0F172A"/>
                <w:sz w:val="18"/>
              </w:rPr>
              <w:t>G15</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Final holdout evaluation</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Holdout Scoring</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python src/models/score_phase8_holdout.py</w:t>
            </w:r>
          </w:p>
        </w:tc>
      </w:tr>
      <w:tr>
        <w:tc>
          <w:tcPr>
            <w:tcW w:type="dxa" w:w="1881"/>
            <w:shd w:fill="F8FAFC"/>
            <w:tcMar>
              <w:top w:w="70" w:type="dxa"/>
              <w:bottom w:w="70" w:type="dxa"/>
              <w:left w:w="100" w:type="dxa"/>
              <w:right w:w="100" w:type="dxa"/>
            </w:tcMar>
          </w:tcPr>
          <w:p>
            <w:pPr>
              <w:jc w:val="left"/>
            </w:pPr>
            <w:r>
              <w:rPr>
                <w:rFonts w:ascii="Times New Roman" w:hAnsi="Times New Roman"/>
                <w:color w:val="0F172A"/>
                <w:sz w:val="18"/>
              </w:rPr>
              <w:t>G16</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Error tail and regime analysis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Diagnostics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pytest tests/test_phase9_error_diagnostics.py</w:t>
            </w:r>
          </w:p>
        </w:tc>
      </w:tr>
      <w:tr>
        <w:tc>
          <w:tcPr>
            <w:tcW w:type="dxa" w:w="1881"/>
            <w:shd w:fill="FFFFFF"/>
            <w:tcMar>
              <w:top w:w="70" w:type="dxa"/>
              <w:bottom w:w="70" w:type="dxa"/>
              <w:left w:w="100" w:type="dxa"/>
              <w:right w:w="100" w:type="dxa"/>
            </w:tcMar>
          </w:tcPr>
          <w:p>
            <w:pPr>
              <w:jc w:val="left"/>
            </w:pPr>
            <w:r>
              <w:rPr>
                <w:rFonts w:ascii="Times New Roman" w:hAnsi="Times New Roman"/>
                <w:color w:val="0F172A"/>
                <w:sz w:val="18"/>
              </w:rPr>
              <w:t>G17</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Explainability and model interpretation</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Interpretability</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pytest tests/test_phase10_explainability.py</w:t>
            </w:r>
          </w:p>
        </w:tc>
      </w:tr>
      <w:tr>
        <w:tc>
          <w:tcPr>
            <w:tcW w:type="dxa" w:w="1881"/>
            <w:shd w:fill="F8FAFC"/>
            <w:tcMar>
              <w:top w:w="70" w:type="dxa"/>
              <w:bottom w:w="70" w:type="dxa"/>
              <w:left w:w="100" w:type="dxa"/>
              <w:right w:w="100" w:type="dxa"/>
            </w:tcMar>
          </w:tcPr>
          <w:p>
            <w:pPr>
              <w:jc w:val="left"/>
            </w:pPr>
            <w:r>
              <w:rPr>
                <w:rFonts w:ascii="Times New Roman" w:hAnsi="Times New Roman"/>
                <w:color w:val="0F172A"/>
                <w:sz w:val="18"/>
              </w:rPr>
              <w:t>G18</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Notebook reproducibility</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Reproducibility</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pytest tests/test_phase11_notebook_reproducibility.py</w:t>
            </w:r>
          </w:p>
        </w:tc>
      </w:tr>
      <w:tr>
        <w:tc>
          <w:tcPr>
            <w:tcW w:type="dxa" w:w="1881"/>
            <w:shd w:fill="FFFFFF"/>
            <w:tcMar>
              <w:top w:w="70" w:type="dxa"/>
              <w:bottom w:w="70" w:type="dxa"/>
              <w:left w:w="100" w:type="dxa"/>
              <w:right w:w="100" w:type="dxa"/>
            </w:tcMar>
          </w:tcPr>
          <w:p>
            <w:pPr>
              <w:jc w:val="left"/>
            </w:pPr>
            <w:r>
              <w:rPr>
                <w:rFonts w:ascii="Times New Roman" w:hAnsi="Times New Roman"/>
                <w:color w:val="0F172A"/>
                <w:sz w:val="18"/>
              </w:rPr>
              <w:t>G19</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Desktop application UI</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Application UI</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PARTIAL</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PyQt6 code inspection</w:t>
            </w:r>
          </w:p>
        </w:tc>
      </w:tr>
      <w:tr>
        <w:tc>
          <w:tcPr>
            <w:tcW w:type="dxa" w:w="1881"/>
            <w:shd w:fill="F8FAFC"/>
            <w:tcMar>
              <w:top w:w="70" w:type="dxa"/>
              <w:bottom w:w="70" w:type="dxa"/>
              <w:left w:w="100" w:type="dxa"/>
              <w:right w:w="100" w:type="dxa"/>
            </w:tcMar>
          </w:tcPr>
          <w:p>
            <w:pPr>
              <w:jc w:val="left"/>
            </w:pPr>
            <w:r>
              <w:rPr>
                <w:rFonts w:ascii="Times New Roman" w:hAnsi="Times New Roman"/>
                <w:color w:val="0F172A"/>
                <w:sz w:val="18"/>
              </w:rPr>
              <w:t>G20</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Academic report and citations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Academic Documentation</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python src/create_report_docx.py</w:t>
            </w:r>
          </w:p>
        </w:tc>
      </w:tr>
      <w:tr>
        <w:tc>
          <w:tcPr>
            <w:tcW w:type="dxa" w:w="1881"/>
            <w:shd w:fill="FFFFFF"/>
            <w:tcMar>
              <w:top w:w="70" w:type="dxa"/>
              <w:bottom w:w="70" w:type="dxa"/>
              <w:left w:w="100" w:type="dxa"/>
              <w:right w:w="100" w:type="dxa"/>
            </w:tcMar>
          </w:tcPr>
          <w:p>
            <w:pPr>
              <w:jc w:val="left"/>
            </w:pPr>
            <w:r>
              <w:rPr>
                <w:rFonts w:ascii="Times New Roman" w:hAnsi="Times New Roman"/>
                <w:color w:val="0F172A"/>
                <w:sz w:val="18"/>
              </w:rPr>
              <w:t>G21</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Release reproducibility</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Governance</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FFFFF"/>
            <w:tcMar>
              <w:top w:w="70" w:type="dxa"/>
              <w:bottom w:w="70" w:type="dxa"/>
              <w:left w:w="100" w:type="dxa"/>
              <w:right w:w="100" w:type="dxa"/>
            </w:tcMar>
          </w:tcPr>
          <w:p>
            <w:pPr>
              <w:jc w:val="center"/>
            </w:pPr>
            <w:r>
              <w:rPr>
                <w:rFonts w:ascii="Times New Roman" w:hAnsi="Times New Roman"/>
                <w:color w:val="0F172A"/>
                <w:sz w:val="18"/>
              </w:rPr>
              <w:t>Audit of seeds splits and hashes</w:t>
            </w:r>
          </w:p>
        </w:tc>
      </w:tr>
      <w:tr>
        <w:tc>
          <w:tcPr>
            <w:tcW w:type="dxa" w:w="1881"/>
            <w:shd w:fill="F8FAFC"/>
            <w:tcMar>
              <w:top w:w="70" w:type="dxa"/>
              <w:bottom w:w="70" w:type="dxa"/>
              <w:left w:w="100" w:type="dxa"/>
              <w:right w:w="100" w:type="dxa"/>
            </w:tcMar>
          </w:tcPr>
          <w:p>
            <w:pPr>
              <w:jc w:val="left"/>
            </w:pPr>
            <w:r>
              <w:rPr>
                <w:rFonts w:ascii="Times New Roman" w:hAnsi="Times New Roman"/>
                <w:color w:val="0F172A"/>
                <w:sz w:val="18"/>
              </w:rPr>
              <w:t>G22</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Artifact completeness and backup</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Release Management</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PASS</w:t>
            </w:r>
          </w:p>
        </w:tc>
        <w:tc>
          <w:tcPr>
            <w:tcW w:type="dxa" w:w="1881"/>
            <w:shd w:fill="F8FAFC"/>
            <w:tcMar>
              <w:top w:w="70" w:type="dxa"/>
              <w:bottom w:w="70" w:type="dxa"/>
              <w:left w:w="100" w:type="dxa"/>
              <w:right w:w="100" w:type="dxa"/>
            </w:tcMar>
          </w:tcPr>
          <w:p>
            <w:pPr>
              <w:jc w:val="center"/>
            </w:pPr>
            <w:r>
              <w:rPr>
                <w:rFonts w:ascii="Times New Roman" w:hAnsi="Times New Roman"/>
                <w:color w:val="0F172A"/>
                <w:sz w:val="18"/>
              </w:rPr>
              <w:t>SHA-256 manifest and checkpoint packaging</w:t>
            </w:r>
          </w:p>
        </w:tc>
      </w:tr>
    </w:tbl>
    <w:p>
      <w:pPr>
        <w:spacing w:before="40" w:after="120"/>
      </w:pPr>
    </w:p>
    <w:p>
      <w:pPr>
        <w:keepNext/>
        <w:spacing w:before="280" w:after="120"/>
      </w:pPr>
      <w:r>
        <w:rPr>
          <w:rFonts w:ascii="Times New Roman" w:hAnsi="Times New Roman"/>
          <w:b/>
          <w:color w:val="0F172A"/>
          <w:sz w:val="25"/>
        </w:rPr>
        <w:t>Phụ lục B: Chữ ký số SHA-256 các mô hình ứng viên sản xuất đóng băng</w:t>
      </w:r>
    </w:p>
    <w:p>
      <w:pPr>
        <w:spacing w:before="200" w:after="80"/>
        <w:jc w:val="left"/>
      </w:pPr>
      <w:r>
        <w:rPr>
          <w:rFonts w:ascii="Times New Roman" w:hAnsi="Times New Roman"/>
          <w:b/>
          <w:color w:val="1E293B"/>
          <w:sz w:val="22"/>
        </w:rPr>
        <w:t>Bảng 8.2. Danh mục chữ ký số SHA-256 các mô hình ứng viên sản xuất đóng băng</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1E3A8A"/>
            <w:tcMar>
              <w:top w:w="120" w:type="dxa"/>
              <w:bottom w:w="120" w:type="dxa"/>
              <w:left w:w="140" w:type="dxa"/>
              <w:right w:w="140" w:type="dxa"/>
            </w:tcMar>
          </w:tcPr>
          <w:p>
            <w:pPr>
              <w:jc w:val="center"/>
            </w:pPr>
            <w:r>
              <w:rPr>
                <w:rFonts w:ascii="Times New Roman" w:hAnsi="Times New Roman"/>
                <w:b/>
                <w:color w:val="FFFFFF"/>
                <w:sz w:val="19"/>
              </w:rPr>
              <w:t>model_id</w:t>
            </w:r>
          </w:p>
        </w:tc>
        <w:tc>
          <w:tcPr>
            <w:tcW w:type="dxa" w:w="2351"/>
            <w:shd w:fill="1E3A8A"/>
            <w:tcMar>
              <w:top w:w="120" w:type="dxa"/>
              <w:bottom w:w="120" w:type="dxa"/>
              <w:left w:w="140" w:type="dxa"/>
              <w:right w:w="140" w:type="dxa"/>
            </w:tcMar>
          </w:tcPr>
          <w:p>
            <w:pPr>
              <w:jc w:val="center"/>
            </w:pPr>
            <w:r>
              <w:rPr>
                <w:rFonts w:ascii="Times New Roman" w:hAnsi="Times New Roman"/>
                <w:b/>
                <w:color w:val="FFFFFF"/>
                <w:sz w:val="19"/>
              </w:rPr>
              <w:t>cohort</w:t>
            </w:r>
          </w:p>
        </w:tc>
        <w:tc>
          <w:tcPr>
            <w:tcW w:type="dxa" w:w="2351"/>
            <w:shd w:fill="1E3A8A"/>
            <w:tcMar>
              <w:top w:w="120" w:type="dxa"/>
              <w:bottom w:w="120" w:type="dxa"/>
              <w:left w:w="140" w:type="dxa"/>
              <w:right w:w="140" w:type="dxa"/>
            </w:tcMar>
          </w:tcPr>
          <w:p>
            <w:pPr>
              <w:jc w:val="center"/>
            </w:pPr>
            <w:r>
              <w:rPr>
                <w:rFonts w:ascii="Times New Roman" w:hAnsi="Times New Roman"/>
                <w:b/>
                <w:color w:val="FFFFFF"/>
                <w:sz w:val="19"/>
              </w:rPr>
              <w:t>file_name</w:t>
            </w:r>
          </w:p>
        </w:tc>
        <w:tc>
          <w:tcPr>
            <w:tcW w:type="dxa" w:w="2351"/>
            <w:shd w:fill="1E3A8A"/>
            <w:tcMar>
              <w:top w:w="120" w:type="dxa"/>
              <w:bottom w:w="120" w:type="dxa"/>
              <w:left w:w="140" w:type="dxa"/>
              <w:right w:w="140" w:type="dxa"/>
            </w:tcMar>
          </w:tcPr>
          <w:p>
            <w:pPr>
              <w:jc w:val="center"/>
            </w:pPr>
            <w:r>
              <w:rPr>
                <w:rFonts w:ascii="Times New Roman" w:hAnsi="Times New Roman"/>
                <w:b/>
                <w:color w:val="FFFFFF"/>
                <w:sz w:val="19"/>
              </w:rPr>
              <w:t>sha256</w:t>
            </w:r>
          </w:p>
        </w:tc>
      </w:tr>
      <w:tr>
        <w:tc>
          <w:tcPr>
            <w:tcW w:type="dxa" w:w="2351"/>
            <w:shd w:fill="FFFFFF"/>
            <w:tcMar>
              <w:top w:w="70" w:type="dxa"/>
              <w:bottom w:w="70" w:type="dxa"/>
              <w:left w:w="100" w:type="dxa"/>
              <w:right w:w="100" w:type="dxa"/>
            </w:tcMar>
          </w:tcPr>
          <w:p>
            <w:pPr>
              <w:jc w:val="left"/>
            </w:pPr>
            <w:r>
              <w:rPr>
                <w:rFonts w:ascii="Times New Roman" w:hAnsi="Times New Roman"/>
                <w:color w:val="0F172A"/>
                <w:sz w:val="18"/>
              </w:rPr>
              <w:t>CatBoost__MAE</w:t>
            </w:r>
          </w:p>
        </w:tc>
        <w:tc>
          <w:tcPr>
            <w:tcW w:type="dxa" w:w="2351"/>
            <w:shd w:fill="FFFFFF"/>
            <w:tcMar>
              <w:top w:w="70" w:type="dxa"/>
              <w:bottom w:w="70" w:type="dxa"/>
              <w:left w:w="100" w:type="dxa"/>
              <w:right w:w="100" w:type="dxa"/>
            </w:tcMar>
          </w:tcPr>
          <w:p>
            <w:pPr>
              <w:jc w:val="center"/>
            </w:pPr>
            <w:r>
              <w:rPr>
                <w:rFonts w:ascii="Times New Roman" w:hAnsi="Times New Roman"/>
                <w:color w:val="0F172A"/>
                <w:sz w:val="18"/>
              </w:rPr>
              <w:t>Primary</w:t>
            </w:r>
          </w:p>
        </w:tc>
        <w:tc>
          <w:tcPr>
            <w:tcW w:type="dxa" w:w="2351"/>
            <w:shd w:fill="FFFFFF"/>
            <w:tcMar>
              <w:top w:w="70" w:type="dxa"/>
              <w:bottom w:w="70" w:type="dxa"/>
              <w:left w:w="100" w:type="dxa"/>
              <w:right w:w="100" w:type="dxa"/>
            </w:tcMar>
          </w:tcPr>
          <w:p>
            <w:pPr>
              <w:jc w:val="center"/>
            </w:pPr>
            <w:r>
              <w:rPr>
                <w:rFonts w:ascii="Times New Roman" w:hAnsi="Times New Roman"/>
                <w:color w:val="0F172A"/>
                <w:sz w:val="18"/>
              </w:rPr>
              <w:t>catboost_mae_primary.cbm</w:t>
            </w:r>
          </w:p>
        </w:tc>
        <w:tc>
          <w:tcPr>
            <w:tcW w:type="dxa" w:w="2351"/>
            <w:shd w:fill="FFFFFF"/>
            <w:tcMar>
              <w:top w:w="70" w:type="dxa"/>
              <w:bottom w:w="70" w:type="dxa"/>
              <w:left w:w="100" w:type="dxa"/>
              <w:right w:w="100" w:type="dxa"/>
            </w:tcMar>
          </w:tcPr>
          <w:p>
            <w:pPr>
              <w:jc w:val="center"/>
            </w:pPr>
            <w:r>
              <w:rPr>
                <w:rFonts w:ascii="Times New Roman" w:hAnsi="Times New Roman"/>
                <w:color w:val="0F172A"/>
                <w:sz w:val="18"/>
              </w:rPr>
              <w:t>56fdf57d7a1161af5ec7ffd5bea9805384c941f59465c15c4daae27453d0b6e0</w:t>
            </w:r>
          </w:p>
        </w:tc>
      </w:tr>
      <w:tr>
        <w:tc>
          <w:tcPr>
            <w:tcW w:type="dxa" w:w="2351"/>
            <w:shd w:fill="F8FAFC"/>
            <w:tcMar>
              <w:top w:w="70" w:type="dxa"/>
              <w:bottom w:w="70" w:type="dxa"/>
              <w:left w:w="100" w:type="dxa"/>
              <w:right w:w="100" w:type="dxa"/>
            </w:tcMar>
          </w:tcPr>
          <w:p>
            <w:pPr>
              <w:jc w:val="left"/>
            </w:pPr>
            <w:r>
              <w:rPr>
                <w:rFonts w:ascii="Times New Roman" w:hAnsi="Times New Roman"/>
                <w:color w:val="0F172A"/>
                <w:sz w:val="18"/>
              </w:rPr>
              <w:t>CatBoost__MAE</w:t>
            </w:r>
          </w:p>
        </w:tc>
        <w:tc>
          <w:tcPr>
            <w:tcW w:type="dxa" w:w="2351"/>
            <w:shd w:fill="F8FAFC"/>
            <w:tcMar>
              <w:top w:w="70" w:type="dxa"/>
              <w:bottom w:w="70" w:type="dxa"/>
              <w:left w:w="100" w:type="dxa"/>
              <w:right w:w="100" w:type="dxa"/>
            </w:tcMar>
          </w:tcPr>
          <w:p>
            <w:pPr>
              <w:jc w:val="center"/>
            </w:pPr>
            <w:r>
              <w:rPr>
                <w:rFonts w:ascii="Times New Roman" w:hAnsi="Times New Roman"/>
                <w:color w:val="0F172A"/>
                <w:sz w:val="18"/>
              </w:rPr>
              <w:t>Secondary</w:t>
            </w:r>
          </w:p>
        </w:tc>
        <w:tc>
          <w:tcPr>
            <w:tcW w:type="dxa" w:w="2351"/>
            <w:shd w:fill="F8FAFC"/>
            <w:tcMar>
              <w:top w:w="70" w:type="dxa"/>
              <w:bottom w:w="70" w:type="dxa"/>
              <w:left w:w="100" w:type="dxa"/>
              <w:right w:w="100" w:type="dxa"/>
            </w:tcMar>
          </w:tcPr>
          <w:p>
            <w:pPr>
              <w:jc w:val="center"/>
            </w:pPr>
            <w:r>
              <w:rPr>
                <w:rFonts w:ascii="Times New Roman" w:hAnsi="Times New Roman"/>
                <w:color w:val="0F172A"/>
                <w:sz w:val="18"/>
              </w:rPr>
              <w:t>catboost_mae_secondary.cbm</w:t>
            </w:r>
          </w:p>
        </w:tc>
        <w:tc>
          <w:tcPr>
            <w:tcW w:type="dxa" w:w="2351"/>
            <w:shd w:fill="F8FAFC"/>
            <w:tcMar>
              <w:top w:w="70" w:type="dxa"/>
              <w:bottom w:w="70" w:type="dxa"/>
              <w:left w:w="100" w:type="dxa"/>
              <w:right w:w="100" w:type="dxa"/>
            </w:tcMar>
          </w:tcPr>
          <w:p>
            <w:pPr>
              <w:jc w:val="center"/>
            </w:pPr>
            <w:r>
              <w:rPr>
                <w:rFonts w:ascii="Times New Roman" w:hAnsi="Times New Roman"/>
                <w:color w:val="0F172A"/>
                <w:sz w:val="18"/>
              </w:rPr>
              <w:t>8e445e9818a9849c79ebde404a7bd2c98073234e907823208301b794c1b3cdf3</w:t>
            </w:r>
          </w:p>
        </w:tc>
      </w:tr>
      <w:tr>
        <w:tc>
          <w:tcPr>
            <w:tcW w:type="dxa" w:w="2351"/>
            <w:shd w:fill="FFFFFF"/>
            <w:tcMar>
              <w:top w:w="70" w:type="dxa"/>
              <w:bottom w:w="70" w:type="dxa"/>
              <w:left w:w="100" w:type="dxa"/>
              <w:right w:w="100" w:type="dxa"/>
            </w:tcMar>
          </w:tcPr>
          <w:p>
            <w:pPr>
              <w:jc w:val="left"/>
            </w:pPr>
            <w:r>
              <w:rPr>
                <w:rFonts w:ascii="Times New Roman" w:hAnsi="Times New Roman"/>
                <w:color w:val="0F172A"/>
                <w:sz w:val="18"/>
              </w:rPr>
              <w:t>CatBoost__Tweedie_p15</w:t>
            </w:r>
          </w:p>
        </w:tc>
        <w:tc>
          <w:tcPr>
            <w:tcW w:type="dxa" w:w="2351"/>
            <w:shd w:fill="FFFFFF"/>
            <w:tcMar>
              <w:top w:w="70" w:type="dxa"/>
              <w:bottom w:w="70" w:type="dxa"/>
              <w:left w:w="100" w:type="dxa"/>
              <w:right w:w="100" w:type="dxa"/>
            </w:tcMar>
          </w:tcPr>
          <w:p>
            <w:pPr>
              <w:jc w:val="center"/>
            </w:pPr>
            <w:r>
              <w:rPr>
                <w:rFonts w:ascii="Times New Roman" w:hAnsi="Times New Roman"/>
                <w:color w:val="0F172A"/>
                <w:sz w:val="18"/>
              </w:rPr>
              <w:t>Primary</w:t>
            </w:r>
          </w:p>
        </w:tc>
        <w:tc>
          <w:tcPr>
            <w:tcW w:type="dxa" w:w="2351"/>
            <w:shd w:fill="FFFFFF"/>
            <w:tcMar>
              <w:top w:w="70" w:type="dxa"/>
              <w:bottom w:w="70" w:type="dxa"/>
              <w:left w:w="100" w:type="dxa"/>
              <w:right w:w="100" w:type="dxa"/>
            </w:tcMar>
          </w:tcPr>
          <w:p>
            <w:pPr>
              <w:jc w:val="center"/>
            </w:pPr>
            <w:r>
              <w:rPr>
                <w:rFonts w:ascii="Times New Roman" w:hAnsi="Times New Roman"/>
                <w:color w:val="0F172A"/>
                <w:sz w:val="18"/>
              </w:rPr>
              <w:t>catboost_tweedie_primary.cbm</w:t>
            </w:r>
          </w:p>
        </w:tc>
        <w:tc>
          <w:tcPr>
            <w:tcW w:type="dxa" w:w="2351"/>
            <w:shd w:fill="FFFFFF"/>
            <w:tcMar>
              <w:top w:w="70" w:type="dxa"/>
              <w:bottom w:w="70" w:type="dxa"/>
              <w:left w:w="100" w:type="dxa"/>
              <w:right w:w="100" w:type="dxa"/>
            </w:tcMar>
          </w:tcPr>
          <w:p>
            <w:pPr>
              <w:jc w:val="center"/>
            </w:pPr>
            <w:r>
              <w:rPr>
                <w:rFonts w:ascii="Times New Roman" w:hAnsi="Times New Roman"/>
                <w:color w:val="0F172A"/>
                <w:sz w:val="18"/>
              </w:rPr>
              <w:t>efb5aee0895cff43f29d641bc13069b30797b15b222c959f4397a39872178cf9</w:t>
            </w:r>
          </w:p>
        </w:tc>
      </w:tr>
      <w:tr>
        <w:tc>
          <w:tcPr>
            <w:tcW w:type="dxa" w:w="2351"/>
            <w:shd w:fill="F8FAFC"/>
            <w:tcMar>
              <w:top w:w="70" w:type="dxa"/>
              <w:bottom w:w="70" w:type="dxa"/>
              <w:left w:w="100" w:type="dxa"/>
              <w:right w:w="100" w:type="dxa"/>
            </w:tcMar>
          </w:tcPr>
          <w:p>
            <w:pPr>
              <w:jc w:val="left"/>
            </w:pPr>
            <w:r>
              <w:rPr>
                <w:rFonts w:ascii="Times New Roman" w:hAnsi="Times New Roman"/>
                <w:color w:val="0F172A"/>
                <w:sz w:val="18"/>
              </w:rPr>
              <w:t>CatBoost__Tweedie_p15</w:t>
            </w:r>
          </w:p>
        </w:tc>
        <w:tc>
          <w:tcPr>
            <w:tcW w:type="dxa" w:w="2351"/>
            <w:shd w:fill="F8FAFC"/>
            <w:tcMar>
              <w:top w:w="70" w:type="dxa"/>
              <w:bottom w:w="70" w:type="dxa"/>
              <w:left w:w="100" w:type="dxa"/>
              <w:right w:w="100" w:type="dxa"/>
            </w:tcMar>
          </w:tcPr>
          <w:p>
            <w:pPr>
              <w:jc w:val="center"/>
            </w:pPr>
            <w:r>
              <w:rPr>
                <w:rFonts w:ascii="Times New Roman" w:hAnsi="Times New Roman"/>
                <w:color w:val="0F172A"/>
                <w:sz w:val="18"/>
              </w:rPr>
              <w:t>Secondary</w:t>
            </w:r>
          </w:p>
        </w:tc>
        <w:tc>
          <w:tcPr>
            <w:tcW w:type="dxa" w:w="2351"/>
            <w:shd w:fill="F8FAFC"/>
            <w:tcMar>
              <w:top w:w="70" w:type="dxa"/>
              <w:bottom w:w="70" w:type="dxa"/>
              <w:left w:w="100" w:type="dxa"/>
              <w:right w:w="100" w:type="dxa"/>
            </w:tcMar>
          </w:tcPr>
          <w:p>
            <w:pPr>
              <w:jc w:val="center"/>
            </w:pPr>
            <w:r>
              <w:rPr>
                <w:rFonts w:ascii="Times New Roman" w:hAnsi="Times New Roman"/>
                <w:color w:val="0F172A"/>
                <w:sz w:val="18"/>
              </w:rPr>
              <w:t>catboost_tweedie_secondary.cbm</w:t>
            </w:r>
          </w:p>
        </w:tc>
        <w:tc>
          <w:tcPr>
            <w:tcW w:type="dxa" w:w="2351"/>
            <w:shd w:fill="F8FAFC"/>
            <w:tcMar>
              <w:top w:w="70" w:type="dxa"/>
              <w:bottom w:w="70" w:type="dxa"/>
              <w:left w:w="100" w:type="dxa"/>
              <w:right w:w="100" w:type="dxa"/>
            </w:tcMar>
          </w:tcPr>
          <w:p>
            <w:pPr>
              <w:jc w:val="center"/>
            </w:pPr>
            <w:r>
              <w:rPr>
                <w:rFonts w:ascii="Times New Roman" w:hAnsi="Times New Roman"/>
                <w:color w:val="0F172A"/>
                <w:sz w:val="18"/>
              </w:rPr>
              <w:t>8d1cca0761a16548d494e450f31a7e17532a52ea535da9f00751f50ae7191f36</w:t>
            </w:r>
          </w:p>
        </w:tc>
      </w:tr>
      <w:tr>
        <w:tc>
          <w:tcPr>
            <w:tcW w:type="dxa" w:w="2351"/>
            <w:shd w:fill="FFFFFF"/>
            <w:tcMar>
              <w:top w:w="70" w:type="dxa"/>
              <w:bottom w:w="70" w:type="dxa"/>
              <w:left w:w="100" w:type="dxa"/>
              <w:right w:w="100" w:type="dxa"/>
            </w:tcMar>
          </w:tcPr>
          <w:p>
            <w:pPr>
              <w:jc w:val="left"/>
            </w:pPr>
            <w:r>
              <w:rPr>
                <w:rFonts w:ascii="Times New Roman" w:hAnsi="Times New Roman"/>
                <w:color w:val="0F172A"/>
                <w:sz w:val="18"/>
              </w:rPr>
              <w:t>TiDE_Sequence_v1</w:t>
            </w:r>
          </w:p>
        </w:tc>
        <w:tc>
          <w:tcPr>
            <w:tcW w:type="dxa" w:w="2351"/>
            <w:shd w:fill="FFFFFF"/>
            <w:tcMar>
              <w:top w:w="70" w:type="dxa"/>
              <w:bottom w:w="70" w:type="dxa"/>
              <w:left w:w="100" w:type="dxa"/>
              <w:right w:w="100" w:type="dxa"/>
            </w:tcMar>
          </w:tcPr>
          <w:p>
            <w:pPr>
              <w:jc w:val="center"/>
            </w:pPr>
            <w:r>
              <w:rPr>
                <w:rFonts w:ascii="Times New Roman" w:hAnsi="Times New Roman"/>
                <w:color w:val="0F172A"/>
                <w:sz w:val="18"/>
              </w:rPr>
              <w:t>Primary</w:t>
            </w:r>
          </w:p>
        </w:tc>
        <w:tc>
          <w:tcPr>
            <w:tcW w:type="dxa" w:w="2351"/>
            <w:shd w:fill="FFFFFF"/>
            <w:tcMar>
              <w:top w:w="70" w:type="dxa"/>
              <w:bottom w:w="70" w:type="dxa"/>
              <w:left w:w="100" w:type="dxa"/>
              <w:right w:w="100" w:type="dxa"/>
            </w:tcMar>
          </w:tcPr>
          <w:p>
            <w:pPr>
              <w:jc w:val="center"/>
            </w:pPr>
            <w:r>
              <w:rPr>
                <w:rFonts w:ascii="Times New Roman" w:hAnsi="Times New Roman"/>
                <w:color w:val="0F172A"/>
                <w:sz w:val="18"/>
              </w:rPr>
              <w:t>tide_sequence_primary.pt</w:t>
            </w:r>
          </w:p>
        </w:tc>
        <w:tc>
          <w:tcPr>
            <w:tcW w:type="dxa" w:w="2351"/>
            <w:shd w:fill="FFFFFF"/>
            <w:tcMar>
              <w:top w:w="70" w:type="dxa"/>
              <w:bottom w:w="70" w:type="dxa"/>
              <w:left w:w="100" w:type="dxa"/>
              <w:right w:w="100" w:type="dxa"/>
            </w:tcMar>
          </w:tcPr>
          <w:p>
            <w:pPr>
              <w:jc w:val="center"/>
            </w:pPr>
            <w:r>
              <w:rPr>
                <w:rFonts w:ascii="Times New Roman" w:hAnsi="Times New Roman"/>
                <w:color w:val="0F172A"/>
                <w:sz w:val="18"/>
              </w:rPr>
              <w:t>20daa93848bfe02efc224b1ff0870fc3897b5be682ef3b41dcf982e5ae32c3f5</w:t>
            </w:r>
          </w:p>
        </w:tc>
      </w:tr>
      <w:tr>
        <w:tc>
          <w:tcPr>
            <w:tcW w:type="dxa" w:w="2351"/>
            <w:shd w:fill="F8FAFC"/>
            <w:tcMar>
              <w:top w:w="70" w:type="dxa"/>
              <w:bottom w:w="70" w:type="dxa"/>
              <w:left w:w="100" w:type="dxa"/>
              <w:right w:w="100" w:type="dxa"/>
            </w:tcMar>
          </w:tcPr>
          <w:p>
            <w:pPr>
              <w:jc w:val="left"/>
            </w:pPr>
            <w:r>
              <w:rPr>
                <w:rFonts w:ascii="Times New Roman" w:hAnsi="Times New Roman"/>
                <w:color w:val="0F172A"/>
                <w:sz w:val="18"/>
              </w:rPr>
              <w:t>TiDE_Sequence_v1</w:t>
            </w:r>
          </w:p>
        </w:tc>
        <w:tc>
          <w:tcPr>
            <w:tcW w:type="dxa" w:w="2351"/>
            <w:shd w:fill="F8FAFC"/>
            <w:tcMar>
              <w:top w:w="70" w:type="dxa"/>
              <w:bottom w:w="70" w:type="dxa"/>
              <w:left w:w="100" w:type="dxa"/>
              <w:right w:w="100" w:type="dxa"/>
            </w:tcMar>
          </w:tcPr>
          <w:p>
            <w:pPr>
              <w:jc w:val="center"/>
            </w:pPr>
            <w:r>
              <w:rPr>
                <w:rFonts w:ascii="Times New Roman" w:hAnsi="Times New Roman"/>
                <w:color w:val="0F172A"/>
                <w:sz w:val="18"/>
              </w:rPr>
              <w:t>Secondary</w:t>
            </w:r>
          </w:p>
        </w:tc>
        <w:tc>
          <w:tcPr>
            <w:tcW w:type="dxa" w:w="2351"/>
            <w:shd w:fill="F8FAFC"/>
            <w:tcMar>
              <w:top w:w="70" w:type="dxa"/>
              <w:bottom w:w="70" w:type="dxa"/>
              <w:left w:w="100" w:type="dxa"/>
              <w:right w:w="100" w:type="dxa"/>
            </w:tcMar>
          </w:tcPr>
          <w:p>
            <w:pPr>
              <w:jc w:val="center"/>
            </w:pPr>
            <w:r>
              <w:rPr>
                <w:rFonts w:ascii="Times New Roman" w:hAnsi="Times New Roman"/>
                <w:color w:val="0F172A"/>
                <w:sz w:val="18"/>
              </w:rPr>
              <w:t>tide_sequence_secondary.pt</w:t>
            </w:r>
          </w:p>
        </w:tc>
        <w:tc>
          <w:tcPr>
            <w:tcW w:type="dxa" w:w="2351"/>
            <w:shd w:fill="F8FAFC"/>
            <w:tcMar>
              <w:top w:w="70" w:type="dxa"/>
              <w:bottom w:w="70" w:type="dxa"/>
              <w:left w:w="100" w:type="dxa"/>
              <w:right w:w="100" w:type="dxa"/>
            </w:tcMar>
          </w:tcPr>
          <w:p>
            <w:pPr>
              <w:jc w:val="center"/>
            </w:pPr>
            <w:r>
              <w:rPr>
                <w:rFonts w:ascii="Times New Roman" w:hAnsi="Times New Roman"/>
                <w:color w:val="0F172A"/>
                <w:sz w:val="18"/>
              </w:rPr>
              <w:t>099b8252277c0ee6e31c8907384a8c9593297a78363717ea2d46dfd84711bf9e</w:t>
            </w:r>
          </w:p>
        </w:tc>
      </w:tr>
    </w:tbl>
    <w:p>
      <w:pPr>
        <w:spacing w:before="40" w:after="120"/>
      </w:pP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