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17CEA">
      <w:pPr>
        <w:spacing w:before="0" w:after="160" w:line="500" w:lineRule="atLeast"/>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40"/>
          <w:shd w:val="clear" w:fill="auto"/>
        </w:rPr>
        <w:t>DESIGN AND VERIFICATION OF A 2×2 MATRIX MULTIPLIER</w:t>
      </w:r>
      <w:r>
        <w:rPr>
          <w:rFonts w:ascii="Times New Roman" w:hAnsi="Times New Roman" w:eastAsia="Times New Roman" w:cs="Times New Roman"/>
          <w:b/>
          <w:color w:val="auto"/>
          <w:spacing w:val="0"/>
          <w:position w:val="0"/>
          <w:sz w:val="40"/>
          <w:shd w:val="clear" w:fill="auto"/>
        </w:rPr>
        <w:br w:type="textWrapping"/>
      </w:r>
      <w:r>
        <w:rPr>
          <w:rFonts w:ascii="Times New Roman" w:hAnsi="Times New Roman" w:eastAsia="Times New Roman" w:cs="Times New Roman"/>
          <w:b/>
          <w:color w:val="auto"/>
          <w:spacing w:val="0"/>
          <w:position w:val="0"/>
          <w:sz w:val="40"/>
          <w:shd w:val="clear" w:fill="auto"/>
        </w:rPr>
        <w:t>USING A SYSTOLIC ARRAY ARCHITECTURE ON FPGA</w:t>
      </w:r>
      <w:bookmarkStart w:id="0" w:name="_GoBack"/>
      <w:bookmarkEnd w:id="0"/>
    </w:p>
    <w:p w14:paraId="0D0AF542">
      <w:pPr>
        <w:spacing w:after="0" w:line="276" w:lineRule="auto"/>
        <w:jc w:val="center"/>
        <w:rPr>
          <w:rFonts w:ascii="Times New Roman" w:hAnsi="Times New Roman" w:eastAsia="Times New Roman" w:cs="Times New Roman"/>
          <w:sz w:val="22"/>
        </w:rPr>
      </w:pPr>
      <w:r>
        <w:rPr>
          <w:rFonts w:ascii="Times New Roman" w:hAnsi="Times New Roman" w:eastAsia="Times New Roman" w:cs="Times New Roman"/>
          <w:sz w:val="22"/>
        </w:rPr>
        <w:t>Trần Thiên Phúc (SE203798), Võ Hoàng Minh Lộc (SE200597)</w:t>
      </w:r>
    </w:p>
    <w:p w14:paraId="1A938F98">
      <w:pPr>
        <w:spacing w:before="0" w:after="0" w:line="276" w:lineRule="auto"/>
        <w:ind w:left="0" w:right="0" w:firstLine="0"/>
        <w:jc w:val="center"/>
        <w:rPr>
          <w:rFonts w:ascii="Times New Roman" w:hAnsi="Times New Roman" w:eastAsia="Times New Roman" w:cs="Times New Roman"/>
          <w:i/>
          <w:color w:val="auto"/>
          <w:spacing w:val="0"/>
          <w:position w:val="0"/>
          <w:sz w:val="20"/>
          <w:shd w:val="clear" w:fill="auto"/>
        </w:rPr>
      </w:pPr>
      <w:r>
        <w:rPr>
          <w:rFonts w:ascii="Times New Roman" w:hAnsi="Times New Roman" w:eastAsia="Times New Roman" w:cs="Times New Roman"/>
          <w:i/>
          <w:color w:val="auto"/>
          <w:spacing w:val="0"/>
          <w:position w:val="0"/>
          <w:sz w:val="20"/>
          <w:shd w:val="clear" w:fill="auto"/>
        </w:rPr>
        <w:t>Faculty of Semiconductor and Automotive Engineering, FPT University – Ho Chi Minh City Campus, Vietnam</w:t>
      </w:r>
    </w:p>
    <w:p w14:paraId="126DEABC">
      <w:pPr>
        <w:spacing w:before="0" w:after="160" w:line="276" w:lineRule="auto"/>
        <w:ind w:left="0" w:right="0" w:firstLine="0"/>
        <w:jc w:val="center"/>
        <w:rPr>
          <w:rFonts w:ascii="Times New Roman" w:hAnsi="Times New Roman" w:eastAsia="Times New Roman" w:cs="Times New Roman"/>
          <w:i/>
          <w:color w:val="auto"/>
          <w:spacing w:val="0"/>
          <w:position w:val="0"/>
          <w:sz w:val="20"/>
          <w:shd w:val="clear" w:fill="auto"/>
        </w:rPr>
      </w:pPr>
      <w:r>
        <w:rPr>
          <w:rFonts w:ascii="Times New Roman" w:hAnsi="Times New Roman" w:eastAsia="Times New Roman" w:cs="Times New Roman"/>
          <w:i/>
          <w:color w:val="auto"/>
          <w:spacing w:val="0"/>
          <w:position w:val="0"/>
          <w:sz w:val="20"/>
          <w:shd w:val="clear" w:fill="auto"/>
        </w:rPr>
        <w:t>Supervisor: Dr. Phạm Thế Vinh</w:t>
      </w:r>
    </w:p>
    <w:p w14:paraId="34E2D70B">
      <w:pPr>
        <w:sectPr>
          <w:pgSz w:w="12240" w:h="15840"/>
          <w:pgMar w:top="1080" w:right="900" w:bottom="1440" w:left="900" w:header="720" w:footer="720" w:gutter="0"/>
          <w:cols w:space="360" w:num="1"/>
        </w:sectPr>
      </w:pPr>
    </w:p>
    <w:p w14:paraId="5D348BC9">
      <w:pPr>
        <w:spacing w:before="160" w:after="0" w:line="240" w:lineRule="auto"/>
        <w:ind w:left="0" w:right="0" w:firstLine="0"/>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18"/>
          <w:shd w:val="clear" w:fill="auto"/>
        </w:rPr>
        <w:t>Abstract—</w:t>
      </w:r>
      <w:r>
        <w:rPr>
          <w:rFonts w:ascii="Times New Roman" w:hAnsi="Times New Roman" w:eastAsia="Times New Roman" w:cs="Times New Roman"/>
          <w:i/>
          <w:color w:val="auto"/>
          <w:spacing w:val="0"/>
          <w:position w:val="0"/>
          <w:sz w:val="18"/>
          <w:shd w:val="clear" w:fill="auto"/>
        </w:rPr>
        <w:t>This paper presents the design, simulation, and implementation of a 2×2 matrix multiplier on FPGA using a systolic array architecture. The system consists of four processing elements, each performing multiply-and-accumulate operations on every clock cycle. Data of matrix A is streamed horizontally while data of matrix B is streamed vertically, allowing the operations to execute in parallel with local interconnects and a regular structure. The design uses 8-bit signed integers and a 17-bit output to avoid overflow when adding two 16-bit products. The circuit is described in Verilog HDL, verified with ModelSim, and cross-checked against a Python reference model. Test cases include zero matrices, identity matrices, negative data, boundary data, and random data, achieving a 100% match rate against the reference model. The scope of this report focuses on functional verification through simulation; hardware synthesis and deployment on an actual FPGA are proposed as future work.</w:t>
      </w:r>
    </w:p>
    <w:p w14:paraId="4709C7D7">
      <w:pPr>
        <w:spacing w:before="0" w:after="100" w:line="276" w:lineRule="auto"/>
        <w:ind w:left="0" w:right="0" w:firstLine="0"/>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18"/>
          <w:shd w:val="clear" w:fill="auto"/>
        </w:rPr>
        <w:t>Index Terms—</w:t>
      </w:r>
      <w:r>
        <w:rPr>
          <w:rFonts w:ascii="Times New Roman" w:hAnsi="Times New Roman" w:eastAsia="Times New Roman" w:cs="Times New Roman"/>
          <w:i/>
          <w:color w:val="auto"/>
          <w:spacing w:val="0"/>
          <w:position w:val="0"/>
          <w:sz w:val="18"/>
          <w:shd w:val="clear" w:fill="auto"/>
        </w:rPr>
        <w:t>FPGA, matrix multiplication, systolic array, Verilog HDL, ModelSim, multiply-accumulate, parallel processing.</w:t>
      </w:r>
    </w:p>
    <w:p w14:paraId="0D023917">
      <w:pPr>
        <w:spacing w:before="0" w:after="200" w:line="276" w:lineRule="auto"/>
        <w:ind w:left="0" w:right="0" w:firstLine="0"/>
        <w:jc w:val="left"/>
        <w:rPr>
          <w:rFonts w:ascii="Times New Roman" w:hAnsi="Times New Roman" w:eastAsia="Times New Roman" w:cs="Times New Roman"/>
          <w:color w:val="auto"/>
          <w:spacing w:val="0"/>
          <w:position w:val="0"/>
          <w:sz w:val="20"/>
          <w:shd w:val="clear" w:fill="auto"/>
        </w:rPr>
      </w:pPr>
    </w:p>
    <w:p w14:paraId="4946E85A">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I. INTRODUCTION</w:t>
      </w:r>
    </w:p>
    <w:p w14:paraId="354BED9A">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Matrix multiplication is a fundamental operation in image processing, digital signal processing, computer graphics, control systems, and machine learning. As data size increases, the number of multiplications and additions grows rapidly, meaning that sequential execution on conventional processors may fail to meet real-time requirements.</w:t>
      </w:r>
    </w:p>
    <w:p w14:paraId="29F3A274">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FPGA is well suited to this problem thanks to its ability to build many multiplier, adder, and register blocks that operate concurrently. Multipliers can be mapped onto DSP blocks, while control logic, registers, and data-selection circuitry are mapped onto LUTs and flip-flops [4]. After synthesis, the design tool provides reports on resource usage, frequency, and critical timing paths.</w:t>
      </w:r>
    </w:p>
    <w:p w14:paraId="0FD69B57">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This project selects a 2×2 systolic array architecture to balance resources and performance, building on previously presented approaches to FPGA-based matrix multiplication [1], [2]. Four processing elements are arranged into two rows and two columns. Each processing element communicates only with its neighboring elements, receiving data on every clock cycle and accumulating its own partial sum locally.</w:t>
      </w:r>
    </w:p>
    <w:p w14:paraId="02D32671">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goal of the system is to support signed 8-bit data, guarantee overflow-free results, be described in Verilog HDL, and be automatically verified using Python and ModelSim. Hardware synthesis and evaluation on an actual FPGA are outside the current scope and are proposed in the future-work section.</w:t>
      </w:r>
    </w:p>
    <w:p w14:paraId="00012ED1">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II. BACKGROUND</w:t>
      </w:r>
    </w:p>
    <w:p w14:paraId="3912F53E">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A. 2×2 Matrix Multiplication</w:t>
      </w:r>
    </w:p>
    <w:p w14:paraId="3B0B8E6C">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Given two 2×2 matrices A and B, the condition for computing A×B is that the number of columns of A equals the number of rows of B. The result C is also a 2×2 matrix, in which each element is the dot product of a row of A with a column of B.</w:t>
      </w:r>
    </w:p>
    <w:p w14:paraId="3FBEFA4B">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75275BD4">
      <w:pPr>
        <w:keepNext/>
        <w:spacing w:before="120" w:after="60"/>
        <w:ind w:left="0" w:right="0" w:firstLine="0"/>
        <w:jc w:val="center"/>
      </w:pPr>
      <w:r>
        <w:drawing>
          <wp:inline distT="0" distB="0" distL="0" distR="0">
            <wp:extent cx="3108960" cy="2594610"/>
            <wp:effectExtent l="0" t="0" r="0" b="0"/>
            <wp:docPr id="7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Figure 1"/>
                    <pic:cNvPicPr>
                      <a:picLocks noChangeAspect="1"/>
                    </pic:cNvPicPr>
                  </pic:nvPicPr>
                  <pic:blipFill>
                    <a:blip r:embed="rId4"/>
                    <a:stretch>
                      <a:fillRect/>
                    </a:stretch>
                  </pic:blipFill>
                  <pic:spPr>
                    <a:xfrm>
                      <a:off x="0" y="0"/>
                      <a:ext cx="3108960" cy="2594817"/>
                    </a:xfrm>
                    <a:prstGeom prst="rect">
                      <a:avLst/>
                    </a:prstGeom>
                  </pic:spPr>
                </pic:pic>
              </a:graphicData>
            </a:graphic>
          </wp:inline>
        </w:drawing>
      </w:r>
    </w:p>
    <w:p w14:paraId="3A35CE19">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1. Formula for multiplying two 2×2 matrices.</w:t>
      </w:r>
    </w:p>
    <w:tbl>
      <w:tblPr>
        <w:tblStyle w:val="3"/>
        <w:tblW w:w="0" w:type="auto"/>
        <w:jc w:val="center"/>
        <w:tblLayout w:type="autofit"/>
        <w:tblCellMar>
          <w:top w:w="0" w:type="dxa"/>
          <w:left w:w="10" w:type="dxa"/>
          <w:bottom w:w="0" w:type="dxa"/>
          <w:right w:w="10" w:type="dxa"/>
        </w:tblCellMar>
      </w:tblPr>
      <w:tblGrid>
        <w:gridCol w:w="4176"/>
        <w:gridCol w:w="576"/>
      </w:tblGrid>
      <w:tr w14:paraId="0BF9F7A9">
        <w:tblPrEx>
          <w:tblCellMar>
            <w:top w:w="0" w:type="dxa"/>
            <w:left w:w="10" w:type="dxa"/>
            <w:bottom w:w="0" w:type="dxa"/>
            <w:right w:w="10" w:type="dxa"/>
          </w:tblCellMar>
        </w:tblPrEx>
        <w:trPr>
          <w:trHeight w:val="1" w:hRule="atLeast"/>
          <w:jc w:val="center"/>
        </w:trPr>
        <w:tc>
          <w:tcPr>
            <w:tcW w:w="4176" w:type="dxa"/>
            <w:tcBorders>
              <w:top w:val="single" w:color="000000" w:sz="0" w:space="0"/>
              <w:left w:val="single" w:color="000000" w:sz="0" w:space="0"/>
              <w:bottom w:val="single" w:color="000000" w:sz="0" w:space="0"/>
              <w:right w:val="single" w:color="000000" w:sz="0" w:space="0"/>
            </w:tcBorders>
            <w:shd w:val="clear" w:color="000000" w:fill="FFFFFF"/>
            <w:tcMar>
              <w:left w:w="108" w:type="dxa"/>
              <w:right w:w="108" w:type="dxa"/>
            </w:tcMar>
            <w:vAlign w:val="top"/>
          </w:tcPr>
          <w:p w14:paraId="4404870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i/>
                <w:color w:val="auto"/>
                <w:spacing w:val="0"/>
                <w:position w:val="0"/>
                <w:sz w:val="20"/>
                <w:shd w:val="clear" w:fill="auto"/>
              </w:rPr>
              <w:t>c[i][j] = Σ A[i][k] × B[k][j],  k = 0…1</w:t>
            </w:r>
          </w:p>
        </w:tc>
        <w:tc>
          <w:tcPr>
            <w:tcW w:w="576" w:type="dxa"/>
            <w:tcBorders>
              <w:top w:val="single" w:color="000000" w:sz="0" w:space="0"/>
              <w:left w:val="single" w:color="000000" w:sz="0" w:space="0"/>
              <w:bottom w:val="single" w:color="000000" w:sz="0" w:space="0"/>
              <w:right w:val="single" w:color="000000" w:sz="0" w:space="0"/>
            </w:tcBorders>
            <w:shd w:val="clear" w:color="000000" w:fill="FFFFFF"/>
            <w:tcMar>
              <w:left w:w="108" w:type="dxa"/>
              <w:right w:w="108" w:type="dxa"/>
            </w:tcMar>
            <w:vAlign w:val="top"/>
          </w:tcPr>
          <w:p w14:paraId="388245E0">
            <w:pPr>
              <w:spacing w:before="0" w:after="200" w:line="276" w:lineRule="auto"/>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w:t>
            </w:r>
          </w:p>
        </w:tc>
      </w:tr>
    </w:tbl>
    <w:p w14:paraId="2107DA44">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entire operation requires eight multiplications and four additions. How these operations are organized in space and time determines the latency, throughput, and amount of hardware resources required.</w:t>
      </w:r>
    </w:p>
    <w:p w14:paraId="3EA33E0B">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B. Signed Representation and Data Width Determination</w:t>
      </w:r>
    </w:p>
    <w:p w14:paraId="0E0A6297">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 xml:space="preserve">Inputs are represented in two's-complement form with an 8-bit width, covering the range from </w:t>
      </w:r>
      <w:r>
        <w:rPr>
          <w:rFonts w:ascii="Cambria Math" w:hAnsi="Cambria Math" w:eastAsia="Cambria Math" w:cs="Cambria Math"/>
          <w:color w:val="auto"/>
          <w:spacing w:val="0"/>
          <w:position w:val="0"/>
          <w:sz w:val="20"/>
          <w:shd w:val="clear" w:fill="auto"/>
        </w:rPr>
        <w:t>−</w:t>
      </w:r>
      <w:r>
        <w:rPr>
          <w:rFonts w:ascii="Times New Roman" w:hAnsi="Times New Roman" w:eastAsia="Times New Roman" w:cs="Times New Roman"/>
          <w:color w:val="auto"/>
          <w:spacing w:val="0"/>
          <w:position w:val="0"/>
          <w:sz w:val="20"/>
          <w:shd w:val="clear" w:fill="auto"/>
        </w:rPr>
        <w:t>128 to 127. The product of two 8-bit operands requires 16 bits. Each output element is the sum of two products, so one additional guard bit is needed for the accumulator.</w:t>
      </w:r>
    </w:p>
    <w:p w14:paraId="77C7C684">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0D9C3D47">
      <w:pPr>
        <w:keepNext/>
        <w:spacing w:before="120" w:after="60"/>
        <w:ind w:left="0" w:right="0" w:firstLine="0"/>
        <w:jc w:val="center"/>
      </w:pPr>
      <w:r>
        <w:drawing>
          <wp:inline distT="0" distB="0" distL="0" distR="0">
            <wp:extent cx="3108960" cy="1497965"/>
            <wp:effectExtent l="0" t="0" r="0" b="0"/>
            <wp:docPr id="7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ure 2"/>
                    <pic:cNvPicPr>
                      <a:picLocks noChangeAspect="1"/>
                    </pic:cNvPicPr>
                  </pic:nvPicPr>
                  <pic:blipFill>
                    <a:blip r:embed="rId5"/>
                    <a:stretch>
                      <a:fillRect/>
                    </a:stretch>
                  </pic:blipFill>
                  <pic:spPr>
                    <a:xfrm>
                      <a:off x="0" y="0"/>
                      <a:ext cx="3108960" cy="1498037"/>
                    </a:xfrm>
                    <a:prstGeom prst="rect">
                      <a:avLst/>
                    </a:prstGeom>
                  </pic:spPr>
                </pic:pic>
              </a:graphicData>
            </a:graphic>
          </wp:inline>
        </w:drawing>
      </w:r>
    </w:p>
    <w:p w14:paraId="61F28BB3">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2. Data-width derivation from input to output.</w:t>
      </w:r>
    </w:p>
    <w:p w14:paraId="45A5FBB5">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largest positive boundary case occurs when both products equal (</w:t>
      </w:r>
      <w:r>
        <w:rPr>
          <w:rFonts w:ascii="Cambria Math" w:hAnsi="Cambria Math" w:eastAsia="Cambria Math" w:cs="Cambria Math"/>
          <w:color w:val="auto"/>
          <w:spacing w:val="0"/>
          <w:position w:val="0"/>
          <w:sz w:val="20"/>
          <w:shd w:val="clear" w:fill="auto"/>
        </w:rPr>
        <w:t>−</w:t>
      </w:r>
      <w:r>
        <w:rPr>
          <w:rFonts w:ascii="Times New Roman" w:hAnsi="Times New Roman" w:eastAsia="Times New Roman" w:cs="Times New Roman"/>
          <w:color w:val="auto"/>
          <w:spacing w:val="0"/>
          <w:position w:val="0"/>
          <w:sz w:val="20"/>
          <w:shd w:val="clear" w:fill="auto"/>
        </w:rPr>
        <w:t>128)×(</w:t>
      </w:r>
      <w:r>
        <w:rPr>
          <w:rFonts w:ascii="Cambria Math" w:hAnsi="Cambria Math" w:eastAsia="Cambria Math" w:cs="Cambria Math"/>
          <w:color w:val="auto"/>
          <w:spacing w:val="0"/>
          <w:position w:val="0"/>
          <w:sz w:val="20"/>
          <w:shd w:val="clear" w:fill="auto"/>
        </w:rPr>
        <w:t>−</w:t>
      </w:r>
      <w:r>
        <w:rPr>
          <w:rFonts w:ascii="Times New Roman" w:hAnsi="Times New Roman" w:eastAsia="Times New Roman" w:cs="Times New Roman"/>
          <w:color w:val="auto"/>
          <w:spacing w:val="0"/>
          <w:position w:val="0"/>
          <w:sz w:val="20"/>
          <w:shd w:val="clear" w:fill="auto"/>
        </w:rPr>
        <w:t>128) = 16384. The sum of the two products equals 32768, which exceeds the 32767 limit of signed 16-bit. Therefore, the accumulator register and the output must use signed 17-bit width.</w:t>
      </w:r>
    </w:p>
    <w:tbl>
      <w:tblPr>
        <w:tblStyle w:val="3"/>
        <w:tblW w:w="0" w:type="auto"/>
        <w:jc w:val="center"/>
        <w:tblLayout w:type="autofit"/>
        <w:tblCellMar>
          <w:top w:w="0" w:type="dxa"/>
          <w:left w:w="10" w:type="dxa"/>
          <w:bottom w:w="0" w:type="dxa"/>
          <w:right w:w="10" w:type="dxa"/>
        </w:tblCellMar>
      </w:tblPr>
      <w:tblGrid>
        <w:gridCol w:w="4176"/>
        <w:gridCol w:w="576"/>
      </w:tblGrid>
      <w:tr w14:paraId="368912ED">
        <w:tblPrEx>
          <w:tblCellMar>
            <w:top w:w="0" w:type="dxa"/>
            <w:left w:w="10" w:type="dxa"/>
            <w:bottom w:w="0" w:type="dxa"/>
            <w:right w:w="10" w:type="dxa"/>
          </w:tblCellMar>
        </w:tblPrEx>
        <w:trPr>
          <w:trHeight w:val="1" w:hRule="atLeast"/>
          <w:jc w:val="center"/>
        </w:trPr>
        <w:tc>
          <w:tcPr>
            <w:tcW w:w="4176" w:type="dxa"/>
            <w:tcBorders>
              <w:top w:val="single" w:color="000000" w:sz="0" w:space="0"/>
              <w:left w:val="single" w:color="000000" w:sz="0" w:space="0"/>
              <w:bottom w:val="single" w:color="000000" w:sz="0" w:space="0"/>
              <w:right w:val="single" w:color="000000" w:sz="0" w:space="0"/>
            </w:tcBorders>
            <w:shd w:val="clear" w:color="000000" w:fill="FFFFFF"/>
            <w:tcMar>
              <w:left w:w="108" w:type="dxa"/>
              <w:right w:w="108" w:type="dxa"/>
            </w:tcMar>
            <w:vAlign w:val="top"/>
          </w:tcPr>
          <w:p w14:paraId="70BA288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i/>
                <w:color w:val="auto"/>
                <w:spacing w:val="0"/>
                <w:position w:val="0"/>
                <w:sz w:val="20"/>
                <w:shd w:val="clear" w:fill="auto"/>
              </w:rPr>
              <w:t xml:space="preserve">Wout = 2Win + </w:t>
            </w:r>
            <w:r>
              <w:rPr>
                <w:rFonts w:ascii="Segoe UI Symbol" w:hAnsi="Segoe UI Symbol" w:eastAsia="Segoe UI Symbol" w:cs="Segoe UI Symbol"/>
                <w:i/>
                <w:color w:val="auto"/>
                <w:spacing w:val="0"/>
                <w:position w:val="0"/>
                <w:sz w:val="20"/>
                <w:shd w:val="clear" w:fill="auto"/>
              </w:rPr>
              <w:t>⌈</w:t>
            </w:r>
            <w:r>
              <w:rPr>
                <w:rFonts w:ascii="Times New Roman" w:hAnsi="Times New Roman" w:eastAsia="Times New Roman" w:cs="Times New Roman"/>
                <w:i/>
                <w:color w:val="auto"/>
                <w:spacing w:val="0"/>
                <w:position w:val="0"/>
                <w:sz w:val="20"/>
                <w:shd w:val="clear" w:fill="auto"/>
              </w:rPr>
              <w:t>log₂K</w:t>
            </w:r>
            <w:r>
              <w:rPr>
                <w:rFonts w:ascii="Segoe UI Symbol" w:hAnsi="Segoe UI Symbol" w:eastAsia="Segoe UI Symbol" w:cs="Segoe UI Symbol"/>
                <w:i/>
                <w:color w:val="auto"/>
                <w:spacing w:val="0"/>
                <w:position w:val="0"/>
                <w:sz w:val="20"/>
                <w:shd w:val="clear" w:fill="auto"/>
              </w:rPr>
              <w:t>⌉</w:t>
            </w:r>
            <w:r>
              <w:rPr>
                <w:rFonts w:ascii="Times New Roman" w:hAnsi="Times New Roman" w:eastAsia="Times New Roman" w:cs="Times New Roman"/>
                <w:i/>
                <w:color w:val="auto"/>
                <w:spacing w:val="0"/>
                <w:position w:val="0"/>
                <w:sz w:val="20"/>
                <w:shd w:val="clear" w:fill="auto"/>
              </w:rPr>
              <w:t xml:space="preserve"> = 2×8 + 1 = 17 bit</w:t>
            </w:r>
          </w:p>
        </w:tc>
        <w:tc>
          <w:tcPr>
            <w:tcW w:w="576" w:type="dxa"/>
            <w:tcBorders>
              <w:top w:val="single" w:color="000000" w:sz="0" w:space="0"/>
              <w:left w:val="single" w:color="000000" w:sz="0" w:space="0"/>
              <w:bottom w:val="single" w:color="000000" w:sz="0" w:space="0"/>
              <w:right w:val="single" w:color="000000" w:sz="0" w:space="0"/>
            </w:tcBorders>
            <w:shd w:val="clear" w:color="000000" w:fill="FFFFFF"/>
            <w:tcMar>
              <w:left w:w="108" w:type="dxa"/>
              <w:right w:w="108" w:type="dxa"/>
            </w:tcMar>
            <w:vAlign w:val="top"/>
          </w:tcPr>
          <w:p w14:paraId="32B17B0E">
            <w:pPr>
              <w:spacing w:before="0" w:after="200" w:line="276" w:lineRule="auto"/>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(2)</w:t>
            </w:r>
          </w:p>
        </w:tc>
      </w:tr>
    </w:tbl>
    <w:p w14:paraId="660AC313">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C. Multiply-Accumulate Block</w:t>
      </w:r>
    </w:p>
    <w:p w14:paraId="42EDBD96">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Each processing element performs a multiply-accumulate (MAC) operation. On every clock cycle, the input data pair is multiplied, sign-extended to 17 bits, and added to the current accumulated sum.</w:t>
      </w:r>
    </w:p>
    <w:tbl>
      <w:tblPr>
        <w:tblStyle w:val="3"/>
        <w:tblW w:w="0" w:type="auto"/>
        <w:jc w:val="center"/>
        <w:tblLayout w:type="autofit"/>
        <w:tblCellMar>
          <w:top w:w="0" w:type="dxa"/>
          <w:left w:w="10" w:type="dxa"/>
          <w:bottom w:w="0" w:type="dxa"/>
          <w:right w:w="10" w:type="dxa"/>
        </w:tblCellMar>
      </w:tblPr>
      <w:tblGrid>
        <w:gridCol w:w="4176"/>
        <w:gridCol w:w="576"/>
      </w:tblGrid>
      <w:tr w14:paraId="234F9B3E">
        <w:tblPrEx>
          <w:tblCellMar>
            <w:top w:w="0" w:type="dxa"/>
            <w:left w:w="10" w:type="dxa"/>
            <w:bottom w:w="0" w:type="dxa"/>
            <w:right w:w="10" w:type="dxa"/>
          </w:tblCellMar>
        </w:tblPrEx>
        <w:trPr>
          <w:trHeight w:val="1" w:hRule="atLeast"/>
          <w:jc w:val="center"/>
        </w:trPr>
        <w:tc>
          <w:tcPr>
            <w:tcW w:w="4176" w:type="dxa"/>
            <w:tcBorders>
              <w:top w:val="single" w:color="000000" w:sz="0" w:space="0"/>
              <w:left w:val="single" w:color="000000" w:sz="0" w:space="0"/>
              <w:bottom w:val="single" w:color="000000" w:sz="0" w:space="0"/>
              <w:right w:val="single" w:color="000000" w:sz="0" w:space="0"/>
            </w:tcBorders>
            <w:shd w:val="clear" w:color="000000" w:fill="FFFFFF"/>
            <w:tcMar>
              <w:left w:w="108" w:type="dxa"/>
              <w:right w:w="108" w:type="dxa"/>
            </w:tcMar>
            <w:vAlign w:val="top"/>
          </w:tcPr>
          <w:p w14:paraId="764E30E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i/>
                <w:color w:val="auto"/>
                <w:spacing w:val="0"/>
                <w:position w:val="0"/>
                <w:sz w:val="20"/>
                <w:shd w:val="clear" w:fill="auto"/>
              </w:rPr>
              <w:t>acc_new = acc_old + a_in × b_in</w:t>
            </w:r>
          </w:p>
        </w:tc>
        <w:tc>
          <w:tcPr>
            <w:tcW w:w="576" w:type="dxa"/>
            <w:tcBorders>
              <w:top w:val="single" w:color="000000" w:sz="0" w:space="0"/>
              <w:left w:val="single" w:color="000000" w:sz="0" w:space="0"/>
              <w:bottom w:val="single" w:color="000000" w:sz="0" w:space="0"/>
              <w:right w:val="single" w:color="000000" w:sz="0" w:space="0"/>
            </w:tcBorders>
            <w:shd w:val="clear" w:color="000000" w:fill="FFFFFF"/>
            <w:tcMar>
              <w:left w:w="108" w:type="dxa"/>
              <w:right w:w="108" w:type="dxa"/>
            </w:tcMar>
            <w:vAlign w:val="top"/>
          </w:tcPr>
          <w:p w14:paraId="7929D041">
            <w:pPr>
              <w:spacing w:before="0" w:after="200" w:line="276" w:lineRule="auto"/>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(3)</w:t>
            </w:r>
          </w:p>
        </w:tc>
      </w:tr>
    </w:tbl>
    <w:p w14:paraId="26F925A5">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D. Systolic Array Principle</w:t>
      </w:r>
    </w:p>
    <w:p w14:paraId="7BD001B3">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A systolic array is a structure made up of many small processing elements with local interconnects [3]. Data is fed in on every clock cycle, propagates through the array, and is processed at each node. For matrix multiplication, data of A propagates along rows while data of B propagates along columns.</w:t>
      </w:r>
    </w:p>
    <w:p w14:paraId="107B599D">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394FBD6F">
      <w:pPr>
        <w:keepNext/>
        <w:spacing w:before="120" w:after="60"/>
        <w:ind w:left="0" w:right="0" w:firstLine="0"/>
        <w:jc w:val="center"/>
      </w:pPr>
      <w:r>
        <w:drawing>
          <wp:inline distT="0" distB="0" distL="0" distR="0">
            <wp:extent cx="3108960" cy="2186940"/>
            <wp:effectExtent l="0" t="0" r="0" b="0"/>
            <wp:docPr id="7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Figure 3"/>
                    <pic:cNvPicPr>
                      <a:picLocks noChangeAspect="1"/>
                    </pic:cNvPicPr>
                  </pic:nvPicPr>
                  <pic:blipFill>
                    <a:blip r:embed="rId6"/>
                    <a:stretch>
                      <a:fillRect/>
                    </a:stretch>
                  </pic:blipFill>
                  <pic:spPr>
                    <a:xfrm>
                      <a:off x="0" y="0"/>
                      <a:ext cx="3108960" cy="2186967"/>
                    </a:xfrm>
                    <a:prstGeom prst="rect">
                      <a:avLst/>
                    </a:prstGeom>
                  </pic:spPr>
                </pic:pic>
              </a:graphicData>
            </a:graphic>
          </wp:inline>
        </w:drawing>
      </w:r>
    </w:p>
    <w:p w14:paraId="78737CB6">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3. 2×2 systolic array and data-flow direction.</w:t>
      </w:r>
    </w:p>
    <w:p w14:paraId="3BC896F2">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III. PROPOSED SYSTEM ARCHITECTURE</w:t>
      </w:r>
    </w:p>
    <w:p w14:paraId="2068B403">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A. Overall Block Diagram</w:t>
      </w:r>
    </w:p>
    <w:p w14:paraId="16B42EA7">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At the RTL core (PE.v and SystolicArray2x2.v), the system consists of a four-element systolic array that receives data at four boundary ports (a_in0, a_in1, b_in0, b_in1) and outputs the four elements of result C. Scheduling the data feed in the correct skewed order (data skewing) and the clear_acc signal are currently handled by the testbench during the simulation stage; the input scheduler, the FSM controller, and a top-level module with a start/busy/done interface (Table I below describes the reference ports of the RTL core) are the parts that still need to be added when integrating this into a complete IP for loading onto an FPGA (see Section VII).</w:t>
      </w:r>
    </w:p>
    <w:p w14:paraId="703F3AFA">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16"/>
          <w:shd w:val="clear" w:fill="auto"/>
        </w:rPr>
        <w:t>TABLE I. RTL CORE PORT INTERFACE (SystolicArray2x2.v)</w:t>
      </w:r>
    </w:p>
    <w:tbl>
      <w:tblPr>
        <w:tblStyle w:val="3"/>
        <w:tblW w:w="0" w:type="auto"/>
        <w:jc w:val="center"/>
        <w:tblLayout w:type="autofit"/>
        <w:tblCellMar>
          <w:top w:w="0" w:type="dxa"/>
          <w:left w:w="10" w:type="dxa"/>
          <w:bottom w:w="0" w:type="dxa"/>
          <w:right w:w="10" w:type="dxa"/>
        </w:tblCellMar>
      </w:tblPr>
      <w:tblGrid>
        <w:gridCol w:w="1224"/>
        <w:gridCol w:w="1224"/>
        <w:gridCol w:w="2232"/>
      </w:tblGrid>
      <w:tr w14:paraId="26019A03">
        <w:tblPrEx>
          <w:tblCellMar>
            <w:top w:w="0" w:type="dxa"/>
            <w:left w:w="10" w:type="dxa"/>
            <w:bottom w:w="0" w:type="dxa"/>
            <w:right w:w="10" w:type="dxa"/>
          </w:tblCellMar>
        </w:tblPrEx>
        <w:trPr>
          <w:cantSplit/>
          <w:trHeight w:val="1" w:hRule="atLeast"/>
          <w:jc w:val="center"/>
        </w:trPr>
        <w:tc>
          <w:tcPr>
            <w:tcW w:w="1224"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107BA6A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Signal</w:t>
            </w:r>
          </w:p>
        </w:tc>
        <w:tc>
          <w:tcPr>
            <w:tcW w:w="1224"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117AE94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Width</w:t>
            </w:r>
          </w:p>
        </w:tc>
        <w:tc>
          <w:tcPr>
            <w:tcW w:w="2232"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246705D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Function</w:t>
            </w:r>
          </w:p>
        </w:tc>
      </w:tr>
      <w:tr w14:paraId="4400CF39">
        <w:tblPrEx>
          <w:tblCellMar>
            <w:top w:w="0" w:type="dxa"/>
            <w:left w:w="10" w:type="dxa"/>
            <w:bottom w:w="0" w:type="dxa"/>
            <w:right w:w="10" w:type="dxa"/>
          </w:tblCellMar>
        </w:tblPrEx>
        <w:trPr>
          <w:cantSplit/>
          <w:trHeight w:val="1" w:hRule="atLeast"/>
          <w:jc w:val="center"/>
        </w:trPr>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BCDB11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clk, rst</w:t>
            </w:r>
          </w:p>
        </w:tc>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9E1C99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 bit</w:t>
            </w:r>
          </w:p>
        </w:tc>
        <w:tc>
          <w:tcPr>
            <w:tcW w:w="223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9DA1BF1">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Clock and reset</w:t>
            </w:r>
          </w:p>
        </w:tc>
      </w:tr>
      <w:tr w14:paraId="449580BE">
        <w:tblPrEx>
          <w:tblCellMar>
            <w:top w:w="0" w:type="dxa"/>
            <w:left w:w="10" w:type="dxa"/>
            <w:bottom w:w="0" w:type="dxa"/>
            <w:right w:w="10" w:type="dxa"/>
          </w:tblCellMar>
        </w:tblPrEx>
        <w:trPr>
          <w:cantSplit/>
          <w:trHeight w:val="1" w:hRule="atLeast"/>
          <w:jc w:val="center"/>
        </w:trPr>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68D0C4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clear_acc</w:t>
            </w:r>
          </w:p>
        </w:tc>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7F77611">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 bit</w:t>
            </w:r>
          </w:p>
        </w:tc>
        <w:tc>
          <w:tcPr>
            <w:tcW w:w="223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33B1E1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Clears the accumulator register before starting a new multiplication</w:t>
            </w:r>
          </w:p>
        </w:tc>
      </w:tr>
      <w:tr w14:paraId="74DC8F84">
        <w:tblPrEx>
          <w:tblCellMar>
            <w:top w:w="0" w:type="dxa"/>
            <w:left w:w="10" w:type="dxa"/>
            <w:bottom w:w="0" w:type="dxa"/>
            <w:right w:w="10" w:type="dxa"/>
          </w:tblCellMar>
        </w:tblPrEx>
        <w:trPr>
          <w:cantSplit/>
          <w:trHeight w:val="1" w:hRule="atLeast"/>
          <w:jc w:val="center"/>
        </w:trPr>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A26D5A1">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a_in0, a_in1</w:t>
            </w:r>
          </w:p>
        </w:tc>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9DF1FB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8 bit signed</w:t>
            </w:r>
          </w:p>
        </w:tc>
        <w:tc>
          <w:tcPr>
            <w:tcW w:w="223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3BAA052">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Row 0, row 1 of A (fed in following the skew schedule)</w:t>
            </w:r>
          </w:p>
        </w:tc>
      </w:tr>
      <w:tr w14:paraId="095AC0C6">
        <w:tblPrEx>
          <w:tblCellMar>
            <w:top w:w="0" w:type="dxa"/>
            <w:left w:w="10" w:type="dxa"/>
            <w:bottom w:w="0" w:type="dxa"/>
            <w:right w:w="10" w:type="dxa"/>
          </w:tblCellMar>
        </w:tblPrEx>
        <w:trPr>
          <w:cantSplit/>
          <w:trHeight w:val="1" w:hRule="atLeast"/>
          <w:jc w:val="center"/>
        </w:trPr>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9FD200F">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b_in0, b_in1</w:t>
            </w:r>
          </w:p>
        </w:tc>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27BA68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8 bit signed</w:t>
            </w:r>
          </w:p>
        </w:tc>
        <w:tc>
          <w:tcPr>
            <w:tcW w:w="223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7A0C40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Column 0, column 1 of B (fed in following the skew schedule)</w:t>
            </w:r>
          </w:p>
        </w:tc>
      </w:tr>
      <w:tr w14:paraId="7C3575CE">
        <w:tblPrEx>
          <w:tblCellMar>
            <w:top w:w="0" w:type="dxa"/>
            <w:left w:w="10" w:type="dxa"/>
            <w:bottom w:w="0" w:type="dxa"/>
            <w:right w:w="10" w:type="dxa"/>
          </w:tblCellMar>
        </w:tblPrEx>
        <w:trPr>
          <w:cantSplit/>
          <w:trHeight w:val="1" w:hRule="atLeast"/>
          <w:jc w:val="center"/>
        </w:trPr>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3A95DC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C00, C01, C10, C11</w:t>
            </w:r>
          </w:p>
        </w:tc>
        <w:tc>
          <w:tcPr>
            <w:tcW w:w="1224"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C6F63E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17 bit signed</w:t>
            </w:r>
          </w:p>
        </w:tc>
        <w:tc>
          <w:tcPr>
            <w:tcW w:w="223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A77163D">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Result matrix</w:t>
            </w:r>
          </w:p>
        </w:tc>
      </w:tr>
    </w:tbl>
    <w:p w14:paraId="03BAAD40">
      <w:pPr>
        <w:spacing w:before="0" w:after="0" w:line="276" w:lineRule="auto"/>
        <w:ind w:left="0" w:right="0" w:firstLine="0"/>
        <w:jc w:val="left"/>
        <w:rPr>
          <w:rFonts w:ascii="Times New Roman" w:hAnsi="Times New Roman" w:eastAsia="Times New Roman" w:cs="Times New Roman"/>
          <w:color w:val="auto"/>
          <w:spacing w:val="0"/>
          <w:position w:val="0"/>
          <w:sz w:val="20"/>
          <w:shd w:val="clear" w:fill="auto"/>
        </w:rPr>
      </w:pPr>
    </w:p>
    <w:p w14:paraId="4E4B0B99">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B. Processing Element Structure</w:t>
      </w:r>
    </w:p>
    <w:p w14:paraId="45FD9116">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Each processing element contains two data-forwarding registers, a signed 8×8-bit multiplier, a sign-extension circuit, a 17-bit adder, and an accumulator register. A single clear_acc control signal resets the accumulator before a new matrix pair begins; data forwarding to neighboring PEs and MAC accumulation otherwise proceed unconditionally on every clock edge.</w:t>
      </w:r>
    </w:p>
    <w:p w14:paraId="68BD526D">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59EBCD0D">
      <w:pPr>
        <w:keepNext/>
        <w:spacing w:before="120" w:after="60"/>
        <w:ind w:left="0" w:right="0" w:firstLine="0"/>
        <w:jc w:val="center"/>
      </w:pPr>
      <w:r>
        <w:drawing>
          <wp:inline distT="0" distB="0" distL="0" distR="0">
            <wp:extent cx="3108960" cy="1830705"/>
            <wp:effectExtent l="0" t="0" r="0" b="0"/>
            <wp:docPr id="7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Figure 4"/>
                    <pic:cNvPicPr>
                      <a:picLocks noChangeAspect="1"/>
                    </pic:cNvPicPr>
                  </pic:nvPicPr>
                  <pic:blipFill>
                    <a:blip r:embed="rId7"/>
                    <a:stretch>
                      <a:fillRect/>
                    </a:stretch>
                  </pic:blipFill>
                  <pic:spPr>
                    <a:xfrm>
                      <a:off x="0" y="0"/>
                      <a:ext cx="3108960" cy="1830982"/>
                    </a:xfrm>
                    <a:prstGeom prst="rect">
                      <a:avLst/>
                    </a:prstGeom>
                  </pic:spPr>
                </pic:pic>
              </a:graphicData>
            </a:graphic>
          </wp:inline>
        </w:drawing>
      </w:r>
    </w:p>
    <w:p w14:paraId="1E72D19C">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4. Structure of the processing element (PE).</w:t>
      </w:r>
    </w:p>
    <w:p w14:paraId="4760968B">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PE00, PE01, PE10, and PE11 compute c00, c01, c10, and c11 respectively. After receiving two valid operand pairs, each PE's accumulator register holds the corresponding result.</w:t>
      </w:r>
    </w:p>
    <w:p w14:paraId="425979BA">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C. Data-Feeding Schedule</w:t>
      </w:r>
    </w:p>
    <w:p w14:paraId="2BEA02C7">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Data must be skewed in time so that the required operand pair meets at the correct PE on the same cycle. A reference feeding schedule is shown in Fig. 5. A dash denotes a cycle in which no new operand is injected at that boundary port (the port is simply held at zero).</w:t>
      </w:r>
    </w:p>
    <w:p w14:paraId="5FE848FD">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204CA7E4">
      <w:pPr>
        <w:keepNext/>
        <w:spacing w:before="120" w:after="60"/>
        <w:ind w:left="0" w:right="0" w:firstLine="0"/>
        <w:jc w:val="center"/>
      </w:pPr>
      <w:r>
        <w:drawing>
          <wp:inline distT="0" distB="0" distL="0" distR="0">
            <wp:extent cx="3108960" cy="1687195"/>
            <wp:effectExtent l="0" t="0" r="0" b="0"/>
            <wp:docPr id="7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Figure 5"/>
                    <pic:cNvPicPr>
                      <a:picLocks noChangeAspect="1"/>
                    </pic:cNvPicPr>
                  </pic:nvPicPr>
                  <pic:blipFill>
                    <a:blip r:embed="rId8"/>
                    <a:stretch>
                      <a:fillRect/>
                    </a:stretch>
                  </pic:blipFill>
                  <pic:spPr>
                    <a:xfrm>
                      <a:off x="0" y="0"/>
                      <a:ext cx="3108960" cy="1687258"/>
                    </a:xfrm>
                    <a:prstGeom prst="rect">
                      <a:avLst/>
                    </a:prstGeom>
                  </pic:spPr>
                </pic:pic>
              </a:graphicData>
            </a:graphic>
          </wp:inline>
        </w:drawing>
      </w:r>
    </w:p>
    <w:p w14:paraId="132291C5">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5. Reference data-feeding schedule for the 2×2 array.</w:t>
      </w:r>
    </w:p>
    <w:p w14:paraId="1F80AB99">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results do not appear simultaneously. c00 typically becomes valid first, c01 and c10 appear afterward, and c11 appears last. In the current design, each Cij output is simply the registered sum_out of its PE and holds the correct result once that PE has received both of its operand pairs; a dedicated result-storage register bank with per-element valid-triggered latching is proposed as part of the future top-level IP (Section VII), not yet present in the current RTL core.</w:t>
      </w:r>
    </w:p>
    <w:p w14:paraId="65165A21">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D. Control Unit</w:t>
      </w:r>
    </w:p>
    <w:p w14:paraId="0A312EC6">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control unit described below is the proposed architecture for the extension toward a complete IP (Section VII), built using a finite-state machine. A cycle counter selects which data to feed into each row and column, while also driving clear, valid, busy, and done. In the current scope, this role is handled directly by the testbench during simulation.</w:t>
      </w:r>
    </w:p>
    <w:p w14:paraId="3FDC98D4">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222DF74E">
      <w:pPr>
        <w:keepNext/>
        <w:spacing w:before="120" w:after="60"/>
        <w:ind w:left="0" w:right="0" w:firstLine="0"/>
        <w:jc w:val="center"/>
      </w:pPr>
      <w:r>
        <w:drawing>
          <wp:inline distT="0" distB="0" distL="0" distR="0">
            <wp:extent cx="3108960" cy="1922780"/>
            <wp:effectExtent l="0" t="0" r="0" b="0"/>
            <wp:docPr id="7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Figure 6"/>
                    <pic:cNvPicPr>
                      <a:picLocks noChangeAspect="1"/>
                    </pic:cNvPicPr>
                  </pic:nvPicPr>
                  <pic:blipFill>
                    <a:blip r:embed="rId9"/>
                    <a:stretch>
                      <a:fillRect/>
                    </a:stretch>
                  </pic:blipFill>
                  <pic:spPr>
                    <a:xfrm>
                      <a:off x="0" y="0"/>
                      <a:ext cx="3108960" cy="1922783"/>
                    </a:xfrm>
                    <a:prstGeom prst="rect">
                      <a:avLst/>
                    </a:prstGeom>
                  </pic:spPr>
                </pic:pic>
              </a:graphicData>
            </a:graphic>
          </wp:inline>
        </w:drawing>
      </w:r>
    </w:p>
    <w:p w14:paraId="2890A3F8">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6. Proposed control finite-state machine.</w:t>
      </w:r>
    </w:p>
    <w:p w14:paraId="6E98ECC3">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E. Architecture Comparison</w:t>
      </w:r>
    </w:p>
    <w:p w14:paraId="64532D30">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16"/>
          <w:shd w:val="clear" w:fill="auto"/>
        </w:rPr>
        <w:t>TABLE II. COMPARISON OF THREE IMPLEMENTATION APPROACHES</w:t>
      </w:r>
    </w:p>
    <w:tbl>
      <w:tblPr>
        <w:tblStyle w:val="3"/>
        <w:tblW w:w="0" w:type="auto"/>
        <w:jc w:val="center"/>
        <w:tblLayout w:type="autofit"/>
        <w:tblCellMar>
          <w:top w:w="0" w:type="dxa"/>
          <w:left w:w="10" w:type="dxa"/>
          <w:bottom w:w="0" w:type="dxa"/>
          <w:right w:w="10" w:type="dxa"/>
        </w:tblCellMar>
      </w:tblPr>
      <w:tblGrid>
        <w:gridCol w:w="1196"/>
        <w:gridCol w:w="1296"/>
        <w:gridCol w:w="936"/>
        <w:gridCol w:w="1512"/>
      </w:tblGrid>
      <w:tr w14:paraId="16177EA2">
        <w:tblPrEx>
          <w:tblCellMar>
            <w:top w:w="0" w:type="dxa"/>
            <w:left w:w="10" w:type="dxa"/>
            <w:bottom w:w="0" w:type="dxa"/>
            <w:right w:w="10" w:type="dxa"/>
          </w:tblCellMar>
        </w:tblPrEx>
        <w:trPr>
          <w:cantSplit/>
          <w:trHeight w:val="1" w:hRule="atLeast"/>
          <w:jc w:val="center"/>
        </w:trPr>
        <w:tc>
          <w:tcPr>
            <w:tcW w:w="1152"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13ECDC2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Architecture</w:t>
            </w:r>
          </w:p>
        </w:tc>
        <w:tc>
          <w:tcPr>
            <w:tcW w:w="1296"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12CED02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Resources</w:t>
            </w:r>
          </w:p>
        </w:tc>
        <w:tc>
          <w:tcPr>
            <w:tcW w:w="936"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2916FB2F">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Latency</w:t>
            </w:r>
          </w:p>
        </w:tc>
        <w:tc>
          <w:tcPr>
            <w:tcW w:w="1512"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7382CBD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Characteristics</w:t>
            </w:r>
          </w:p>
        </w:tc>
      </w:tr>
      <w:tr w14:paraId="2A075F40">
        <w:tblPrEx>
          <w:tblCellMar>
            <w:top w:w="0" w:type="dxa"/>
            <w:left w:w="10" w:type="dxa"/>
            <w:bottom w:w="0" w:type="dxa"/>
            <w:right w:w="10" w:type="dxa"/>
          </w:tblCellMar>
        </w:tblPrEx>
        <w:trPr>
          <w:cantSplit/>
          <w:trHeight w:val="1" w:hRule="atLeast"/>
          <w:jc w:val="center"/>
        </w:trPr>
        <w:tc>
          <w:tcPr>
            <w:tcW w:w="115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1DC39ED">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Parallel</w:t>
            </w:r>
          </w:p>
        </w:tc>
        <w:tc>
          <w:tcPr>
            <w:tcW w:w="1296"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647BC1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8 MUL + 4 ADD</w:t>
            </w:r>
          </w:p>
        </w:tc>
        <w:tc>
          <w:tcPr>
            <w:tcW w:w="936"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678348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Low</w:t>
            </w:r>
          </w:p>
        </w:tc>
        <w:tc>
          <w:tcPr>
            <w:tcW w:w="151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397D4D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DSP-intensive</w:t>
            </w:r>
          </w:p>
        </w:tc>
      </w:tr>
      <w:tr w14:paraId="65F31B63">
        <w:tblPrEx>
          <w:tblCellMar>
            <w:top w:w="0" w:type="dxa"/>
            <w:left w:w="10" w:type="dxa"/>
            <w:bottom w:w="0" w:type="dxa"/>
            <w:right w:w="10" w:type="dxa"/>
          </w:tblCellMar>
        </w:tblPrEx>
        <w:trPr>
          <w:cantSplit/>
          <w:trHeight w:val="1" w:hRule="atLeast"/>
          <w:jc w:val="center"/>
        </w:trPr>
        <w:tc>
          <w:tcPr>
            <w:tcW w:w="115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ED55989">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Sequential</w:t>
            </w:r>
          </w:p>
        </w:tc>
        <w:tc>
          <w:tcPr>
            <w:tcW w:w="1296"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1693ED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 MAC</w:t>
            </w:r>
          </w:p>
        </w:tc>
        <w:tc>
          <w:tcPr>
            <w:tcW w:w="936"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46A8BF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High</w:t>
            </w:r>
          </w:p>
        </w:tc>
        <w:tc>
          <w:tcPr>
            <w:tcW w:w="151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74EC93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Resource-sharing</w:t>
            </w:r>
          </w:p>
        </w:tc>
      </w:tr>
      <w:tr w14:paraId="4C02CF80">
        <w:tblPrEx>
          <w:tblCellMar>
            <w:top w:w="0" w:type="dxa"/>
            <w:left w:w="10" w:type="dxa"/>
            <w:bottom w:w="0" w:type="dxa"/>
            <w:right w:w="10" w:type="dxa"/>
          </w:tblCellMar>
        </w:tblPrEx>
        <w:trPr>
          <w:cantSplit/>
          <w:trHeight w:val="1" w:hRule="atLeast"/>
          <w:jc w:val="center"/>
        </w:trPr>
        <w:tc>
          <w:tcPr>
            <w:tcW w:w="115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3817CE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Systolic 2×2</w:t>
            </w:r>
          </w:p>
        </w:tc>
        <w:tc>
          <w:tcPr>
            <w:tcW w:w="1296"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E0EBDA9">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4 MAC</w:t>
            </w:r>
          </w:p>
        </w:tc>
        <w:tc>
          <w:tcPr>
            <w:tcW w:w="936"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DE61611">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Medium</w:t>
            </w:r>
          </w:p>
        </w:tc>
        <w:tc>
          <w:tcPr>
            <w:tcW w:w="1512"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744EB5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Regular, easily scalable</w:t>
            </w:r>
          </w:p>
        </w:tc>
      </w:tr>
    </w:tbl>
    <w:p w14:paraId="79515FF3">
      <w:pPr>
        <w:spacing w:before="0" w:after="0" w:line="276" w:lineRule="auto"/>
        <w:ind w:left="0" w:right="0" w:firstLine="0"/>
        <w:jc w:val="left"/>
        <w:rPr>
          <w:rFonts w:ascii="Times New Roman" w:hAnsi="Times New Roman" w:eastAsia="Times New Roman" w:cs="Times New Roman"/>
          <w:color w:val="auto"/>
          <w:spacing w:val="0"/>
          <w:position w:val="0"/>
          <w:sz w:val="20"/>
          <w:shd w:val="clear" w:fill="auto"/>
        </w:rPr>
      </w:pPr>
    </w:p>
    <w:p w14:paraId="5EBAB4D6">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systolic array is an intermediate option: it uses more PEs than the sequential architecture but fewer than a fully parallel design, while offering local interconnects, natural pipelining, and good scalability.</w:t>
      </w:r>
    </w:p>
    <w:p w14:paraId="40202D07">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IV. RTL DESIGN AND VERIFICATION</w:t>
      </w:r>
    </w:p>
    <w:p w14:paraId="7CA08AFB">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A. Source Code Organization</w:t>
      </w:r>
    </w:p>
    <w:p w14:paraId="4A87EFAB">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source code is organized into three files: PE.v describes a single processing element (Processing Element) that performs MAC; SystolicArray2x2.v connects four PEs into the 2×2 systolic array following the diagram in Fig. 3; matrix_mult_2x2_tb.v is the testbench, responsible for generating the clock, skewing the data (data skewing) across cycles, and writing results to a file for verification. At the current simulation stage, data-feed scheduling is performed directly inside the testbench rather than by an independent FSM controller or top-level module with a start/done interface — this is the direction that needs to be added when actually deploying to an FPGA (see Section VII).</w:t>
      </w:r>
    </w:p>
    <w:p w14:paraId="0BBE65B9">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In Verilog, all arithmetic operands must be explicitly declared as signed [5]. The 16-bit multiplication result must be sign-extended before being added into the 17-bit accumulator. Delay statements, file reads, and $display are used only in the testbench and must not be included in the synthesizable module.</w:t>
      </w:r>
    </w:p>
    <w:p w14:paraId="3641A9B2">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B. Python Reference Model and ModelSim</w:t>
      </w:r>
    </w:p>
    <w:p w14:paraId="061512AE">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 xml:space="preserve">The verification flow consists of three steps following a post-processing verification approach on ModelSim [6], separating the computation role from the scoring role: (1) Python randomly generates pairs of matrices A, B within the range </w:t>
      </w:r>
      <w:r>
        <w:rPr>
          <w:rFonts w:ascii="Cambria Math" w:hAnsi="Cambria Math" w:eastAsia="Cambria Math" w:cs="Cambria Math"/>
          <w:color w:val="auto"/>
          <w:spacing w:val="0"/>
          <w:position w:val="0"/>
          <w:sz w:val="20"/>
          <w:shd w:val="clear" w:fill="auto"/>
        </w:rPr>
        <w:t>−</w:t>
      </w:r>
      <w:r>
        <w:rPr>
          <w:rFonts w:ascii="Times New Roman" w:hAnsi="Times New Roman" w:eastAsia="Times New Roman" w:cs="Times New Roman"/>
          <w:color w:val="auto"/>
          <w:spacing w:val="0"/>
          <w:position w:val="0"/>
          <w:sz w:val="20"/>
          <w:shd w:val="clear" w:fill="auto"/>
        </w:rPr>
        <w:t>128 to 127 and writes them to input_vectors.txt — this file contains only inputs, no expected answers; (2) the Verilog testbench reads input_vectors.txt, feeds the data into the DUT following the correct skew schedule, waits for the circuit to finish computing, then writes result matrix C to modelsim_output.txt; (3) Python reads modelsim_output.txt and recomputes the reference answer using its built-in matrix multiplication (numpy.matmul), compares it element by element against the Verilog result, and prints PASS/FAIL for each test case. This separation keeps verification independent of the circuit under test, rather than letting the Verilog testbench self-check (self-checking), which avoids the same logic error being repeated on both sides.</w:t>
      </w:r>
    </w:p>
    <w:p w14:paraId="01F284DC">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55045167">
      <w:pPr>
        <w:keepNext/>
        <w:spacing w:before="120" w:after="60"/>
        <w:ind w:left="0" w:right="0" w:firstLine="0"/>
        <w:jc w:val="center"/>
      </w:pPr>
      <w:r>
        <w:drawing>
          <wp:inline distT="0" distB="0" distL="0" distR="0">
            <wp:extent cx="3108960" cy="1684020"/>
            <wp:effectExtent l="0" t="0" r="0" b="0"/>
            <wp:docPr id="7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Figure 7"/>
                    <pic:cNvPicPr>
                      <a:picLocks noChangeAspect="1"/>
                    </pic:cNvPicPr>
                  </pic:nvPicPr>
                  <pic:blipFill>
                    <a:blip r:embed="rId10"/>
                    <a:stretch>
                      <a:fillRect/>
                    </a:stretch>
                  </pic:blipFill>
                  <pic:spPr>
                    <a:xfrm>
                      <a:off x="0" y="0"/>
                      <a:ext cx="3108960" cy="1684020"/>
                    </a:xfrm>
                    <a:prstGeom prst="rect">
                      <a:avLst/>
                    </a:prstGeom>
                  </pic:spPr>
                </pic:pic>
              </a:graphicData>
            </a:graphic>
          </wp:inline>
        </w:drawing>
      </w:r>
    </w:p>
    <w:p w14:paraId="42456951">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7. Automated Python–ModelSim verification flow.</w:t>
      </w:r>
    </w:p>
    <w:p w14:paraId="48206C1D">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C. Test Cases</w:t>
      </w:r>
    </w:p>
    <w:p w14:paraId="6B3E8659">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16"/>
          <w:shd w:val="clear" w:fill="auto"/>
        </w:rPr>
        <w:t>TABLE III. PROPOSED TEST-CASE SET</w:t>
      </w:r>
    </w:p>
    <w:tbl>
      <w:tblPr>
        <w:tblStyle w:val="3"/>
        <w:tblW w:w="0" w:type="auto"/>
        <w:jc w:val="center"/>
        <w:tblLayout w:type="autofit"/>
        <w:tblCellMar>
          <w:top w:w="0" w:type="dxa"/>
          <w:left w:w="10" w:type="dxa"/>
          <w:bottom w:w="0" w:type="dxa"/>
          <w:right w:w="10" w:type="dxa"/>
        </w:tblCellMar>
      </w:tblPr>
      <w:tblGrid>
        <w:gridCol w:w="648"/>
        <w:gridCol w:w="1728"/>
        <w:gridCol w:w="2520"/>
      </w:tblGrid>
      <w:tr w14:paraId="2547418D">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1ACE976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Code</w:t>
            </w:r>
          </w:p>
        </w:tc>
        <w:tc>
          <w:tcPr>
            <w:tcW w:w="1728"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7A7428DF">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Data</w:t>
            </w:r>
          </w:p>
        </w:tc>
        <w:tc>
          <w:tcPr>
            <w:tcW w:w="2520"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340BD8AC">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Objective</w:t>
            </w:r>
          </w:p>
        </w:tc>
      </w:tr>
      <w:tr w14:paraId="59407F87">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60EC43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TC01</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7942183">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Both matrices zero</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E424B33">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Reset and zero result</w:t>
            </w:r>
          </w:p>
        </w:tc>
      </w:tr>
      <w:tr w14:paraId="0B276CC0">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51ED29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TC02</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1E26F5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Identity matrix</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C2DBDC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Verify A×I=A</w:t>
            </w:r>
          </w:p>
        </w:tc>
      </w:tr>
      <w:tr w14:paraId="012DA3D9">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7D0A7F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TC03</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225B28C">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Positive data</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B83597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Basic operation</w:t>
            </w:r>
          </w:p>
        </w:tc>
      </w:tr>
      <w:tr w14:paraId="0D19E928">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224D9C0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TC04</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9AE91A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Negative data</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0E52D7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Sign extension</w:t>
            </w:r>
          </w:p>
        </w:tc>
      </w:tr>
      <w:tr w14:paraId="604BE532">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92A7FE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TC05</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39A0B9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Alternating positive/negative</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7851049">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Sign change</w:t>
            </w:r>
          </w:p>
        </w:tc>
      </w:tr>
      <w:tr w14:paraId="60598B47">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7F6B04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TC06</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F1D10D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127 and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128</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6050DA6">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Boundary values</w:t>
            </w:r>
          </w:p>
        </w:tc>
      </w:tr>
      <w:tr w14:paraId="1B7E6F3E">
        <w:tblPrEx>
          <w:tblCellMar>
            <w:top w:w="0" w:type="dxa"/>
            <w:left w:w="10" w:type="dxa"/>
            <w:bottom w:w="0" w:type="dxa"/>
            <w:right w:w="10" w:type="dxa"/>
          </w:tblCellMar>
        </w:tblPrEx>
        <w:trPr>
          <w:cantSplit/>
          <w:trHeight w:val="1" w:hRule="atLeast"/>
          <w:jc w:val="center"/>
        </w:trPr>
        <w:tc>
          <w:tcPr>
            <w:tcW w:w="6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24CABD2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TC07</w:t>
            </w:r>
          </w:p>
        </w:tc>
        <w:tc>
          <w:tcPr>
            <w:tcW w:w="172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24BB096">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Random</w:t>
            </w:r>
          </w:p>
        </w:tc>
        <w:tc>
          <w:tcPr>
            <w:tcW w:w="25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544EC13">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General reliability</w:t>
            </w:r>
          </w:p>
        </w:tc>
      </w:tr>
    </w:tbl>
    <w:p w14:paraId="6D8D5EE0">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seven groups above are concretely implemented in gen_test_vectors.py as 30 test cases (10 deliberate boundary tests corresponding to TC01–TC06, plus hybrid variants between extreme values, and 20 random tests corresponding to TC07), written to input_vectors.txt with descriptive labels in test_case_names.txt.</w:t>
      </w:r>
    </w:p>
    <w:p w14:paraId="0F57226D">
      <w:pPr>
        <w:spacing w:before="0" w:after="0" w:line="276" w:lineRule="auto"/>
        <w:ind w:left="0" w:right="0" w:firstLine="0"/>
        <w:jc w:val="left"/>
        <w:rPr>
          <w:rFonts w:ascii="Times New Roman" w:hAnsi="Times New Roman" w:eastAsia="Times New Roman" w:cs="Times New Roman"/>
          <w:color w:val="auto"/>
          <w:spacing w:val="0"/>
          <w:position w:val="0"/>
          <w:sz w:val="20"/>
          <w:shd w:val="clear" w:fill="auto"/>
        </w:rPr>
      </w:pPr>
    </w:p>
    <w:p w14:paraId="1101D1D7">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D. Test Example</w:t>
      </w:r>
    </w:p>
    <w:p w14:paraId="72A7E86A">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With A=[[1,2],[3,4]] and B=[[5,6],[7,8]], the expected result is C=[[19,22],[43,50]]. Another signed example uses A=[[-2,3],[4,-5]] and B=[[6,-7],[-8,9]], yielding C=[[-36,41],[64,-73]].</w:t>
      </w:r>
    </w:p>
    <w:p w14:paraId="2C937088">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V. RESULTS AND EVALUATION</w:t>
      </w:r>
    </w:p>
    <w:p w14:paraId="7E2B8CBC">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A. Functional Simulation Results</w:t>
      </w:r>
    </w:p>
    <w:p w14:paraId="2BAF290D">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p>
    <w:p w14:paraId="3DB5C371">
      <w:pPr>
        <w:sectPr>
          <w:type w:val="continuous"/>
          <w:pgSz w:w="12240" w:h="15840"/>
          <w:pgMar w:top="1080" w:right="900" w:bottom="1440" w:left="900" w:header="720" w:footer="720" w:gutter="0"/>
          <w:cols w:space="360" w:num="2"/>
        </w:sectPr>
      </w:pPr>
    </w:p>
    <w:p w14:paraId="4842FE65">
      <w:pPr>
        <w:keepNext/>
        <w:spacing w:before="120" w:after="60"/>
        <w:ind w:left="0" w:right="0" w:firstLine="0"/>
        <w:jc w:val="center"/>
      </w:pPr>
      <w:r>
        <w:drawing>
          <wp:inline distT="0" distB="0" distL="0" distR="0">
            <wp:extent cx="6630035" cy="1854200"/>
            <wp:effectExtent l="0" t="0" r="0" b="0"/>
            <wp:docPr id="800" name="Figure 8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Figure 8 Waveform"/>
                    <pic:cNvPicPr>
                      <a:picLocks noChangeAspect="1"/>
                    </pic:cNvPicPr>
                  </pic:nvPicPr>
                  <pic:blipFill>
                    <a:blip r:embed="rId11"/>
                    <a:stretch>
                      <a:fillRect/>
                    </a:stretch>
                  </pic:blipFill>
                  <pic:spPr>
                    <a:xfrm>
                      <a:off x="0" y="0"/>
                      <a:ext cx="6630600" cy="1854692"/>
                    </a:xfrm>
                    <a:prstGeom prst="rect">
                      <a:avLst/>
                    </a:prstGeom>
                  </pic:spPr>
                </pic:pic>
              </a:graphicData>
            </a:graphic>
          </wp:inline>
        </w:drawing>
      </w:r>
    </w:p>
    <w:p w14:paraId="123F5D00">
      <w:pPr>
        <w:spacing w:before="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Fig. 8. ModelSim simulation waveform showing sequential test vectors applied to the 2×2 systolic array (a_in0, a_in1, b_in0, b_in1, C00, C01, C10, C11).</w:t>
      </w:r>
    </w:p>
    <w:p w14:paraId="1919564F">
      <w:pPr>
        <w:sectPr>
          <w:type w:val="continuous"/>
          <w:pgSz w:w="12240" w:h="15840"/>
          <w:pgMar w:top="1080" w:right="900" w:bottom="1440" w:left="900" w:header="720" w:footer="720" w:gutter="0"/>
          <w:cols w:space="360" w:num="1"/>
        </w:sectPr>
      </w:pPr>
    </w:p>
    <w:p w14:paraId="57F1DF5C">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An illustrative example from actual simulation results (test case “both matrices entirely negative”): with A=[[-1,-2],[-3,-4]] and B=[[-5,-6],[-7,-8]], after the testbench feeds data into the DUT following the correct skew schedule (4 cycles t0–t3, plus one extra settling cycle), the four outputs obtained are c00=19, c01=22, c10=43, and c11=50, fully matching the Python (numpy.matmul) results.</w:t>
      </w:r>
    </w:p>
    <w:p w14:paraId="7684ABC1">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For the boundary case A=B=[[-128,</w:t>
      </w:r>
      <w:r>
        <w:rPr>
          <w:rFonts w:ascii="Cambria Math" w:hAnsi="Cambria Math" w:eastAsia="Cambria Math" w:cs="Cambria Math"/>
          <w:color w:val="auto"/>
          <w:spacing w:val="0"/>
          <w:position w:val="0"/>
          <w:sz w:val="20"/>
          <w:shd w:val="clear" w:fill="auto"/>
        </w:rPr>
        <w:t>−</w:t>
      </w:r>
      <w:r>
        <w:rPr>
          <w:rFonts w:ascii="Times New Roman" w:hAnsi="Times New Roman" w:eastAsia="Times New Roman" w:cs="Times New Roman"/>
          <w:color w:val="auto"/>
          <w:spacing w:val="0"/>
          <w:position w:val="0"/>
          <w:sz w:val="20"/>
          <w:shd w:val="clear" w:fill="auto"/>
        </w:rPr>
        <w:t>128],[-128,</w:t>
      </w:r>
      <w:r>
        <w:rPr>
          <w:rFonts w:ascii="Cambria Math" w:hAnsi="Cambria Math" w:eastAsia="Cambria Math" w:cs="Cambria Math"/>
          <w:color w:val="auto"/>
          <w:spacing w:val="0"/>
          <w:position w:val="0"/>
          <w:sz w:val="20"/>
          <w:shd w:val="clear" w:fill="auto"/>
        </w:rPr>
        <w:t>−</w:t>
      </w:r>
      <w:r>
        <w:rPr>
          <w:rFonts w:ascii="Times New Roman" w:hAnsi="Times New Roman" w:eastAsia="Times New Roman" w:cs="Times New Roman"/>
          <w:color w:val="auto"/>
          <w:spacing w:val="0"/>
          <w:position w:val="0"/>
          <w:sz w:val="20"/>
          <w:shd w:val="clear" w:fill="auto"/>
        </w:rPr>
        <w:t>128]], each output element must equal 32768. If the waveform correctly displays 32768 in signed-decimal radix, the choice of a 17-bit accumulator is confirmed.</w:t>
      </w:r>
    </w:p>
    <w:p w14:paraId="3CB7A9A6">
      <w:pPr>
        <w:keepNext/>
        <w:spacing w:before="100" w:after="20" w:line="276" w:lineRule="auto"/>
        <w:ind w:left="0" w:right="0" w:firstLine="0"/>
        <w:jc w:val="left"/>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i/>
          <w:color w:val="auto"/>
          <w:spacing w:val="0"/>
          <w:position w:val="0"/>
          <w:sz w:val="20"/>
          <w:shd w:val="clear" w:fill="auto"/>
        </w:rPr>
        <w:t>B. Automated Test Results</w:t>
      </w:r>
    </w:p>
    <w:p w14:paraId="489A8E77">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16"/>
          <w:shd w:val="clear" w:fill="auto"/>
        </w:rPr>
        <w:t>TABLE IV. SUMMARY OF TEST RESULTS</w:t>
      </w:r>
    </w:p>
    <w:tbl>
      <w:tblPr>
        <w:tblStyle w:val="3"/>
        <w:tblW w:w="0" w:type="auto"/>
        <w:jc w:val="center"/>
        <w:tblLayout w:type="autofit"/>
        <w:tblCellMar>
          <w:top w:w="0" w:type="dxa"/>
          <w:left w:w="10" w:type="dxa"/>
          <w:bottom w:w="0" w:type="dxa"/>
          <w:right w:w="10" w:type="dxa"/>
        </w:tblCellMar>
      </w:tblPr>
      <w:tblGrid>
        <w:gridCol w:w="2448"/>
        <w:gridCol w:w="2448"/>
      </w:tblGrid>
      <w:tr w14:paraId="1EA1F0DC">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779C84B3">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Parameter</w:t>
            </w:r>
          </w:p>
        </w:tc>
        <w:tc>
          <w:tcPr>
            <w:tcW w:w="2448"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225ADBF2">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Result</w:t>
            </w:r>
          </w:p>
        </w:tc>
      </w:tr>
      <w:tr w14:paraId="11CECE27">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D30BC3D">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Number of test vectors</w:t>
            </w:r>
          </w:p>
        </w:tc>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E8B536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30</w:t>
            </w:r>
          </w:p>
        </w:tc>
      </w:tr>
      <w:tr w14:paraId="4DA1EE21">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452E97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Number of correct cases</w:t>
            </w:r>
          </w:p>
        </w:tc>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22EF717C">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30</w:t>
            </w:r>
          </w:p>
        </w:tc>
      </w:tr>
      <w:tr w14:paraId="53CD1312">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767708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Number of failed cases</w:t>
            </w:r>
          </w:p>
        </w:tc>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228A3412">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0</w:t>
            </w:r>
          </w:p>
        </w:tc>
      </w:tr>
      <w:tr w14:paraId="08B9AFB0">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AE70EB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Accuracy rate</w:t>
            </w:r>
          </w:p>
        </w:tc>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1AD77E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100 %</w:t>
            </w:r>
          </w:p>
        </w:tc>
      </w:tr>
      <w:tr w14:paraId="7DF82928">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FE9CE5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Input width</w:t>
            </w:r>
          </w:p>
        </w:tc>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0E8A54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8 bit signed</w:t>
            </w:r>
          </w:p>
        </w:tc>
      </w:tr>
      <w:tr w14:paraId="7410E21E">
        <w:tblPrEx>
          <w:tblCellMar>
            <w:top w:w="0" w:type="dxa"/>
            <w:left w:w="10" w:type="dxa"/>
            <w:bottom w:w="0" w:type="dxa"/>
            <w:right w:w="10" w:type="dxa"/>
          </w:tblCellMar>
        </w:tblPrEx>
        <w:trPr>
          <w:cantSplit/>
          <w:trHeight w:val="1" w:hRule="atLeast"/>
          <w:jc w:val="center"/>
        </w:trPr>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85C1399">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Output width</w:t>
            </w:r>
          </w:p>
        </w:tc>
        <w:tc>
          <w:tcPr>
            <w:tcW w:w="2448"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B3F79B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17 bit signed</w:t>
            </w:r>
          </w:p>
        </w:tc>
      </w:tr>
    </w:tbl>
    <w:p w14:paraId="25DD64F9">
      <w:pPr>
        <w:spacing w:before="0" w:after="0" w:line="276" w:lineRule="auto"/>
        <w:ind w:left="0" w:right="0" w:firstLine="0"/>
        <w:jc w:val="left"/>
        <w:rPr>
          <w:rFonts w:ascii="Times New Roman" w:hAnsi="Times New Roman" w:eastAsia="Times New Roman" w:cs="Times New Roman"/>
          <w:color w:val="auto"/>
          <w:spacing w:val="0"/>
          <w:position w:val="0"/>
          <w:sz w:val="20"/>
          <w:shd w:val="clear" w:fill="auto"/>
        </w:rPr>
      </w:pPr>
    </w:p>
    <w:p w14:paraId="7ACF8279">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VI. DISCUSSION</w:t>
      </w:r>
    </w:p>
    <w:p w14:paraId="09C7042A">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systolic array architecture performs many multiplications and accumulations simultaneously, thereby reducing latency compared to an architecture using a single MAC. In exchange, the system requires four multiplier blocks, more pipeline registers, and a precise data-feeding mechanism.</w:t>
      </w:r>
    </w:p>
    <w:p w14:paraId="6E6BD376">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main advantages are a regular structure, short interconnects, and scalability. When scaling up to 4×4 or larger, the challenge shifts from arithmetic operations to memory bandwidth, data-transfer scheduling, DSP count, accumulator width, and valid-signal synchronization.</w:t>
      </w:r>
    </w:p>
    <w:p w14:paraId="5E628954">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For the 2×2 design, data can be stored directly in registers. For larger matrices, BRAM and an address controller should be used to maintain a continuous data stream for the systolic array.</w:t>
      </w:r>
    </w:p>
    <w:p w14:paraId="337258FA">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VII. CONCLUSION AND FUTURE WORK</w:t>
      </w:r>
    </w:p>
    <w:p w14:paraId="7CCFF948">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This paper has presented the design of a 2×2 matrix multiplier using a systolic array on FPGA. The system consists of four MAC PEs, streaming A along rows and B along columns, using signed 8-bit inputs and signed 17-bit outputs. The verification flow, combining Python and ModelSim, enables automated checking of boundary data and many random data sets.</w:t>
      </w:r>
    </w:p>
    <w:p w14:paraId="275A23A7">
      <w:pPr>
        <w:spacing w:before="0" w:after="0" w:line="240" w:lineRule="auto"/>
        <w:ind w:left="0" w:right="0" w:firstLine="202"/>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This report currently focuses on functional verification through ModelSim simulation cross-checked against the Python reference model, achieving an exact match on 30/30 test cases. Hardware synthesis (LUT/FF/DSP, Fmax) and deployment on an actual FPGA board are outside the scope of the current project. Future work includes adding an FSM controller and a top-level module with a start/busy/done interface to package the design into a complete IP that can be integrated into larger systems, parameterizing the matrix size, supporting fixed-point arithmetic, using BRAM, increasing the pipeline depth, accepting a continuous stream of matrices, integrating a UART/SPI interface, and finally synthesizing and evaluating the design on real FPGA hardware.</w:t>
      </w:r>
    </w:p>
    <w:p w14:paraId="7AB19C3F">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20"/>
          <w:shd w:val="clear" w:fill="auto"/>
        </w:rPr>
        <w:t>DETAILED TEST DATA</w:t>
      </w:r>
    </w:p>
    <w:p w14:paraId="733DE932">
      <w:pPr>
        <w:spacing w:before="60" w:after="20" w:line="276" w:lineRule="auto"/>
        <w:ind w:left="0" w:right="0" w:firstLine="0"/>
        <w:jc w:val="center"/>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b/>
          <w:color w:val="auto"/>
          <w:spacing w:val="0"/>
          <w:position w:val="0"/>
          <w:sz w:val="16"/>
          <w:shd w:val="clear" w:fill="auto"/>
        </w:rPr>
        <w:t>TABLE VII. SAMPLE OF 10 BOUNDARY TEST CASES AND ACTUAL SIMULATION RESULTS</w:t>
      </w:r>
    </w:p>
    <w:tbl>
      <w:tblPr>
        <w:tblStyle w:val="3"/>
        <w:tblW w:w="0" w:type="auto"/>
        <w:tblInd w:w="0" w:type="dxa"/>
        <w:tblLayout w:type="autofit"/>
        <w:tblCellMar>
          <w:top w:w="0" w:type="dxa"/>
          <w:left w:w="10" w:type="dxa"/>
          <w:bottom w:w="0" w:type="dxa"/>
          <w:right w:w="10" w:type="dxa"/>
        </w:tblCellMar>
      </w:tblPr>
      <w:tblGrid>
        <w:gridCol w:w="620"/>
        <w:gridCol w:w="3340"/>
        <w:gridCol w:w="720"/>
      </w:tblGrid>
      <w:tr w14:paraId="787125DC">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4884869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No.</w:t>
            </w:r>
          </w:p>
        </w:tc>
        <w:tc>
          <w:tcPr>
            <w:tcW w:w="3340"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576107D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 xml:space="preserve">Test case and data (A, B </w:t>
            </w:r>
            <w:r>
              <w:rPr>
                <w:rFonts w:ascii="Cambria Math" w:hAnsi="Cambria Math" w:eastAsia="Cambria Math" w:cs="Cambria Math"/>
                <w:b/>
                <w:color w:val="auto"/>
                <w:spacing w:val="0"/>
                <w:position w:val="0"/>
                <w:sz w:val="18"/>
                <w:shd w:val="clear" w:fill="auto"/>
              </w:rPr>
              <w:t>→</w:t>
            </w:r>
            <w:r>
              <w:rPr>
                <w:rFonts w:ascii="Times New Roman" w:hAnsi="Times New Roman" w:eastAsia="Times New Roman" w:cs="Times New Roman"/>
                <w:b/>
                <w:color w:val="auto"/>
                <w:spacing w:val="0"/>
                <w:position w:val="0"/>
                <w:sz w:val="18"/>
                <w:shd w:val="clear" w:fill="auto"/>
              </w:rPr>
              <w:t xml:space="preserve"> C)</w:t>
            </w:r>
          </w:p>
        </w:tc>
        <w:tc>
          <w:tcPr>
            <w:tcW w:w="720" w:type="dxa"/>
            <w:tcBorders>
              <w:top w:val="single" w:color="000000" w:sz="6" w:space="0"/>
              <w:left w:val="single" w:color="000000" w:sz="0" w:space="0"/>
              <w:bottom w:val="single" w:color="000000" w:sz="6" w:space="0"/>
              <w:right w:val="single" w:color="000000" w:sz="0" w:space="0"/>
            </w:tcBorders>
            <w:shd w:val="clear" w:color="000000" w:fill="E7E6E6"/>
            <w:tcMar>
              <w:left w:w="108" w:type="dxa"/>
              <w:right w:w="108" w:type="dxa"/>
            </w:tcMar>
            <w:vAlign w:val="center"/>
          </w:tcPr>
          <w:p w14:paraId="40CA616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18"/>
                <w:shd w:val="clear" w:fill="auto"/>
              </w:rPr>
              <w:t>Result</w:t>
            </w:r>
          </w:p>
        </w:tc>
      </w:tr>
      <w:tr w14:paraId="651814F7">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577C8D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4849107">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Matrices A and B are both zero. A=[[0,0],[0,0]], B=[[0,0],[0,0]]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C=[[0,0],[0,0]]</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63F31B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793D4125">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15BA2E5">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2</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F018A8C">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Identity matrix times an arbitrary matrix (I×B=B). A=[[1,0],[0,1]], B=[[5,-3],[2,7]]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C=[[5,-3],[2,7]]</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2E0E6F7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56B65E4C">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9F71968">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3</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E8E60E9">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Arbitrary matrix times identity matrix (A×I=A). A=[[5,-3],[2,7]], B=[[1,0],[0,1]]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C=[[5,-3],[2,7]]</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66586A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55F0D61B">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100729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4</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25C6A4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Both matrices are entirely negative. A=[[-1,-2],[-3,-4]], B=[[-5,-6],[-7,-8]]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C=[[19,22],[43,50]]</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4E63F7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45CF6022">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4A85B52">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5</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88F6EF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Maximum value 127. A=[[127,127],[127,127]], B=[[127,127],[127,127]]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C=[[32258,32258],[32258,32258]]</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7110996">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4C05C07A">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B7E2DBF">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6</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1EC584ED">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Minimum value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128 (near overflow). A=[[-128,-128],[-128,-128]], B=[[-128,-128],[-128,-128]]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C=[[32768,32768],[32768,32768]]</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9C92251">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7E5B5D78">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7EBF8A8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7</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FCCB533">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Near overflow, mixing extremes 127 and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128. A=[[127,-128],[127,-128]], B=[[-128,127],[-128,127]]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C=[[128,-127],[128,-127]]</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41B6B604">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7CD39E61">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249E823B">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8</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6A4FD8F">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Sign change during accumulation. A=[[-5,10],[-15,20]], B=[[3,-4],[5,-6]]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C=[[35,-40],[55,-60]]</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37B476E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52E51ACB">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D43EE7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9</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6259427E">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Result C equals zero. A=[[1,-1],[1,-1]], B=[[1,1],[1,1]]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C=[[0,0],[0,0]]</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BDF2F70">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r w14:paraId="038DF086">
        <w:tblPrEx>
          <w:tblCellMar>
            <w:top w:w="0" w:type="dxa"/>
            <w:left w:w="10" w:type="dxa"/>
            <w:bottom w:w="0" w:type="dxa"/>
            <w:right w:w="10" w:type="dxa"/>
          </w:tblCellMar>
        </w:tblPrEx>
        <w:trPr>
          <w:cantSplit/>
          <w:trHeight w:val="1" w:hRule="atLeast"/>
        </w:trPr>
        <w:tc>
          <w:tcPr>
            <w:tcW w:w="6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E72E589">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10</w:t>
            </w:r>
          </w:p>
        </w:tc>
        <w:tc>
          <w:tcPr>
            <w:tcW w:w="334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04368E2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 xml:space="preserve">Zero interleaved with negative and positive numbers. A=[[0,-7],[8,0]], B=[[0,4],[-6,0]] </w:t>
            </w:r>
            <w:r>
              <w:rPr>
                <w:rFonts w:ascii="Cambria Math" w:hAnsi="Cambria Math" w:eastAsia="Cambria Math" w:cs="Cambria Math"/>
                <w:color w:val="auto"/>
                <w:spacing w:val="0"/>
                <w:position w:val="0"/>
                <w:sz w:val="18"/>
                <w:shd w:val="clear" w:fill="auto"/>
              </w:rPr>
              <w:t>→</w:t>
            </w:r>
            <w:r>
              <w:rPr>
                <w:rFonts w:ascii="Times New Roman" w:hAnsi="Times New Roman" w:eastAsia="Times New Roman" w:cs="Times New Roman"/>
                <w:color w:val="auto"/>
                <w:spacing w:val="0"/>
                <w:position w:val="0"/>
                <w:sz w:val="18"/>
                <w:shd w:val="clear" w:fill="auto"/>
              </w:rPr>
              <w:t xml:space="preserve"> C=[[42,0],[0,32]]</w:t>
            </w:r>
          </w:p>
        </w:tc>
        <w:tc>
          <w:tcPr>
            <w:tcW w:w="720" w:type="dxa"/>
            <w:tcBorders>
              <w:top w:val="single" w:color="000000" w:sz="6" w:space="0"/>
              <w:left w:val="single" w:color="000000" w:sz="0" w:space="0"/>
              <w:bottom w:val="single" w:color="000000" w:sz="6" w:space="0"/>
              <w:right w:val="single" w:color="000000" w:sz="0" w:space="0"/>
            </w:tcBorders>
            <w:shd w:val="clear" w:color="000000" w:fill="FFFFFF"/>
            <w:tcMar>
              <w:left w:w="108" w:type="dxa"/>
              <w:right w:w="108" w:type="dxa"/>
            </w:tcMar>
            <w:vAlign w:val="center"/>
          </w:tcPr>
          <w:p w14:paraId="571CED5A">
            <w:pPr>
              <w:spacing w:before="0" w:after="200" w:line="276" w:lineRule="auto"/>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18"/>
                <w:shd w:val="clear" w:fill="auto"/>
              </w:rPr>
              <w:t>PASS</w:t>
            </w:r>
          </w:p>
        </w:tc>
      </w:tr>
    </w:tbl>
    <w:p w14:paraId="7674781D">
      <w:pPr>
        <w:spacing w:before="0" w:after="0" w:line="240" w:lineRule="auto"/>
        <w:ind w:left="0" w:right="0" w:firstLine="0"/>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20"/>
          <w:shd w:val="clear" w:fill="auto"/>
        </w:rPr>
        <w:t>The full set of 30 test cases (including the remaining 20 random tests), Verilog source code, Python scripts, and data are published in the group's GitHub repository.</w:t>
      </w:r>
    </w:p>
    <w:p w14:paraId="7F206E31">
      <w:pPr>
        <w:keepNext/>
        <w:spacing w:before="140" w:after="60" w:line="276" w:lineRule="auto"/>
        <w:ind w:left="0" w:right="0" w:firstLine="0"/>
        <w:jc w:val="center"/>
        <w:rPr>
          <w:rFonts w:ascii="Times New Roman" w:hAnsi="Times New Roman" w:eastAsia="Times New Roman" w:cs="Times New Roman"/>
          <w:color w:val="auto"/>
          <w:spacing w:val="0"/>
          <w:position w:val="0"/>
          <w:sz w:val="20"/>
          <w:shd w:val="clear" w:fill="auto"/>
        </w:rPr>
      </w:pPr>
      <w:r>
        <w:br w:type="column"/>
      </w:r>
      <w:r>
        <w:rPr>
          <w:rFonts w:ascii="Times New Roman" w:hAnsi="Times New Roman" w:eastAsia="Times New Roman" w:cs="Times New Roman"/>
          <w:b/>
          <w:color w:val="auto"/>
          <w:spacing w:val="0"/>
          <w:position w:val="0"/>
          <w:sz w:val="20"/>
          <w:shd w:val="clear" w:fill="auto"/>
        </w:rPr>
        <w:t>REFERENCES</w:t>
      </w:r>
    </w:p>
    <w:p w14:paraId="1EE16F83">
      <w:pPr>
        <w:spacing w:before="0" w:after="20" w:line="276" w:lineRule="auto"/>
        <w:ind w:left="259" w:right="0" w:hanging="259"/>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[1] A. Hill, B. Zarycky, E. Niezabytowski, and D. Melnikov, “2x2 Matrix Multiplier,” Oakland University.</w:t>
      </w:r>
    </w:p>
    <w:p w14:paraId="558DC638">
      <w:pPr>
        <w:spacing w:before="0" w:after="20" w:line="276" w:lineRule="auto"/>
        <w:ind w:left="259" w:right="0" w:hanging="259"/>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[2] I. H. Baek and D. Boeck, “FPGA Matrix Multiplier,” University of California, Los Angeles.</w:t>
      </w:r>
    </w:p>
    <w:p w14:paraId="5270FBFD">
      <w:pPr>
        <w:spacing w:before="0" w:after="20" w:line="276" w:lineRule="auto"/>
        <w:ind w:left="259" w:right="0" w:hanging="259"/>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[3] I. Kogut, V. Hryha, B. Dzundza, L. Hryha, and I. Hatala, “Research and Design of a Matrix Multiplier on FPGA,” Advances in Cyber-Physical Systems, vol. 10, no. 1, 2025.</w:t>
      </w:r>
    </w:p>
    <w:p w14:paraId="69FB6DD5">
      <w:pPr>
        <w:spacing w:before="0" w:after="20" w:line="276" w:lineRule="auto"/>
        <w:ind w:left="259" w:right="0" w:hanging="259"/>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[4] R. Merrick, Getting Started with FPGAs: Digital Circuit Design, Verilog, and VHDL for Beginners. No Starch Press, 2024.</w:t>
      </w:r>
    </w:p>
    <w:p w14:paraId="4E3541FB">
      <w:pPr>
        <w:spacing w:before="0" w:after="20" w:line="276" w:lineRule="auto"/>
        <w:ind w:left="259" w:right="0" w:hanging="259"/>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[5] P. P. Chu, RTL Hardware Design Using VHDL: Coding for Efficiency, Portability, and Scalability. Wiley, 2006.</w:t>
      </w:r>
    </w:p>
    <w:p w14:paraId="409E9DA6">
      <w:pPr>
        <w:spacing w:before="0" w:after="20" w:line="276" w:lineRule="auto"/>
        <w:ind w:left="259" w:right="0" w:hanging="259"/>
        <w:jc w:val="both"/>
        <w:rPr>
          <w:rFonts w:ascii="Times New Roman" w:hAnsi="Times New Roman" w:eastAsia="Times New Roman" w:cs="Times New Roman"/>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[6] FPGAcademy, “Using the ModelSim FPGA Simulator with Verilog Testbenches,” 2024.</w:t>
      </w:r>
    </w:p>
    <w:p w14:paraId="70C82C73">
      <w:pPr>
        <w:spacing w:before="0" w:after="0" w:line="240" w:lineRule="auto"/>
        <w:ind w:left="0" w:right="0" w:firstLine="0"/>
        <w:jc w:val="both"/>
        <w:rPr>
          <w:rFonts w:ascii="Times New Roman" w:hAnsi="Times New Roman" w:eastAsia="Times New Roman" w:cs="Times New Roman"/>
          <w:color w:val="auto"/>
          <w:spacing w:val="0"/>
          <w:position w:val="0"/>
          <w:sz w:val="20"/>
          <w:shd w:val="clear" w:fill="auto"/>
        </w:rPr>
      </w:pPr>
    </w:p>
    <w:sectPr>
      <w:type w:val="continuous"/>
      <w:pgSz w:w="12240" w:h="15840"/>
      <w:pgMar w:top="1080" w:right="900" w:bottom="1440" w:left="900" w:header="720" w:footer="720" w:gutter="0"/>
      <w:cols w:space="36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Symbol">
    <w:panose1 w:val="020B0502040204020203"/>
    <w:charset w:val="00"/>
    <w:family w:val="auto"/>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compat>
    <w:splitPgBreakAndParaMark/>
    <w:compatSetting w:name="compatibilityMode" w:uri="http://schemas.microsoft.com/office/word" w:val="12"/>
  </w:compat>
  <w:rsids>
    <w:rsidRoot w:val="00000000"/>
    <w:rsid w:val="419C0E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1616</Words>
  <Characters>8861</Characters>
  <TotalTime>0</TotalTime>
  <ScaleCrop>false</ScaleCrop>
  <LinksUpToDate>false</LinksUpToDate>
  <CharactersWithSpaces>10379</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2026-07-20T14:45:50Z</dcterms:created>
  <dc:creator>Asus</dc:creator>
  <cp:lastModifiedBy>lộc Võ</cp:lastModifiedBy>
  <dcterms:modified xsi:type="dcterms:W3CDTF">2026-07-20T14:46:19Z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eyJoZGlkIjoiMTQ3NzMyNzE2NTQ3ZWIzMzFlNGE5MmNjMTE1M2MxMTMiLCJ1c2VySWQiOiIxMzkxODYwMzgzMDE2In0=</vt:lpwstr>
  </property>
  <property fmtid="{D5CDD505-2E9C-101B-9397-08002B2CF9AE}" pid="3" name="KSOProductBuildVer">
    <vt:lpwstr>1033-12.1.0.27458</vt:lpwstr>
  </property>
  <property fmtid="{D5CDD505-2E9C-101B-9397-08002B2CF9AE}" pid="4" name="ICV">
    <vt:lpwstr>F3DB6945D0684A15A03C671344DEEF08_12</vt:lpwstr>
  </property>
</Properties>
</file>