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2D1" w:rsidRPr="008632D1" w:rsidRDefault="008632D1" w:rsidP="008632D1">
      <w:pPr>
        <w:jc w:val="center"/>
        <w:rPr>
          <w:b/>
          <w:sz w:val="28"/>
          <w:szCs w:val="28"/>
        </w:rPr>
      </w:pPr>
      <w:r w:rsidRPr="008632D1">
        <w:rPr>
          <w:b/>
          <w:sz w:val="28"/>
          <w:szCs w:val="28"/>
        </w:rPr>
        <w:t>Key Factors Influencing Excessive Absenteeism: Age, Reasons for Absence, and Transportation Expenses with Children</w:t>
      </w:r>
    </w:p>
    <w:p w:rsidR="008632D1" w:rsidRPr="008C3006" w:rsidRDefault="008632D1">
      <w:pPr>
        <w:rPr>
          <w:lang w:val="vi-VN"/>
        </w:rPr>
      </w:pPr>
    </w:p>
    <w:p w:rsidR="008632D1" w:rsidRDefault="008632D1"/>
    <w:p w:rsidR="00C1489B" w:rsidRDefault="006B4CBF">
      <w:r w:rsidRPr="006B4CBF">
        <w:rPr>
          <w:noProof/>
          <w:lang w:eastAsia="en-AU"/>
        </w:rPr>
        <w:drawing>
          <wp:inline distT="0" distB="0" distL="0" distR="0" wp14:anchorId="70B1444A" wp14:editId="6DF8CCD8">
            <wp:extent cx="5305425" cy="4118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8210" cy="412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CBF" w:rsidRDefault="006B4CBF"/>
    <w:p w:rsidR="006B4CBF" w:rsidRDefault="006B4CBF" w:rsidP="006B4CBF">
      <w:pPr>
        <w:pStyle w:val="ListParagraph"/>
        <w:numPr>
          <w:ilvl w:val="0"/>
          <w:numId w:val="1"/>
        </w:numPr>
      </w:pPr>
      <w:r>
        <w:t>Age and Excessive Absenteeism:</w:t>
      </w:r>
    </w:p>
    <w:p w:rsidR="006B4CBF" w:rsidRDefault="006B4CBF" w:rsidP="006266A0">
      <w:pPr>
        <w:pStyle w:val="ListParagraph"/>
        <w:numPr>
          <w:ilvl w:val="0"/>
          <w:numId w:val="7"/>
        </w:numPr>
      </w:pPr>
      <w:r>
        <w:t>Younger individuals, particularly those around 30-34 years old, show lower probabilities of excessive absenteeism (around 30-40%)</w:t>
      </w:r>
      <w:r w:rsidR="006266A0">
        <w:t>.</w:t>
      </w:r>
    </w:p>
    <w:p w:rsidR="006266A0" w:rsidRDefault="006B4CBF" w:rsidP="002624C0">
      <w:pPr>
        <w:pStyle w:val="ListParagraph"/>
        <w:numPr>
          <w:ilvl w:val="0"/>
          <w:numId w:val="7"/>
        </w:numPr>
      </w:pPr>
      <w:r>
        <w:t>The probability increases significantly for individuals aged 50+, suggesting age might be a strong determinant of excessive absenteeism</w:t>
      </w:r>
      <w:r w:rsidR="002624C0">
        <w:t>.</w:t>
      </w:r>
    </w:p>
    <w:p w:rsidR="006B4CBF" w:rsidRDefault="006B4CBF" w:rsidP="006B4CBF">
      <w:pPr>
        <w:pStyle w:val="ListParagraph"/>
        <w:numPr>
          <w:ilvl w:val="0"/>
          <w:numId w:val="1"/>
        </w:numPr>
      </w:pPr>
      <w:r>
        <w:t>Age Groups and Noticeable Probabilities:</w:t>
      </w:r>
    </w:p>
    <w:p w:rsidR="006B4CBF" w:rsidRDefault="006B4CBF" w:rsidP="006266A0">
      <w:pPr>
        <w:pStyle w:val="ListParagraph"/>
        <w:numPr>
          <w:ilvl w:val="0"/>
          <w:numId w:val="7"/>
        </w:numPr>
      </w:pPr>
      <w:r>
        <w:t>Individuals in their 40s display a mix of moderate and high probabilities (ranging from 40% to 60%)</w:t>
      </w:r>
      <w:r w:rsidR="006266A0">
        <w:t>.</w:t>
      </w:r>
    </w:p>
    <w:p w:rsidR="006266A0" w:rsidRDefault="006B4CBF" w:rsidP="002624C0">
      <w:pPr>
        <w:pStyle w:val="ListParagraph"/>
        <w:numPr>
          <w:ilvl w:val="0"/>
          <w:numId w:val="7"/>
        </w:numPr>
      </w:pPr>
      <w:r>
        <w:t>For younger age groups (&lt;30), absenteeism is generally below 30%, reflecting more consistent attendance.</w:t>
      </w:r>
    </w:p>
    <w:p w:rsidR="006266A0" w:rsidRDefault="006266A0" w:rsidP="006266A0">
      <w:pPr>
        <w:pStyle w:val="ListParagraph"/>
        <w:numPr>
          <w:ilvl w:val="0"/>
          <w:numId w:val="1"/>
        </w:numPr>
      </w:pPr>
      <w:r>
        <w:t>Potential Influence of Age:</w:t>
      </w:r>
    </w:p>
    <w:p w:rsidR="006266A0" w:rsidRDefault="006266A0" w:rsidP="006266A0">
      <w:pPr>
        <w:pStyle w:val="ListParagraph"/>
        <w:numPr>
          <w:ilvl w:val="0"/>
          <w:numId w:val="7"/>
        </w:numPr>
      </w:pPr>
      <w:r>
        <w:t>Health-related factors: Older employees may experience more health issues, leading to increased absenteeism.</w:t>
      </w:r>
    </w:p>
    <w:p w:rsidR="006266A0" w:rsidRDefault="006266A0" w:rsidP="006266A0">
      <w:pPr>
        <w:pStyle w:val="ListParagraph"/>
        <w:numPr>
          <w:ilvl w:val="0"/>
          <w:numId w:val="7"/>
        </w:numPr>
      </w:pPr>
      <w:r>
        <w:t>Lifestyle or work-life balance: employees in the 30-40 age range might balance work better, reducing excessive absenteeism</w:t>
      </w:r>
      <w:r w:rsidR="00CE1E1C">
        <w:t>.</w:t>
      </w:r>
      <w:bookmarkStart w:id="0" w:name="_GoBack"/>
      <w:bookmarkEnd w:id="0"/>
    </w:p>
    <w:p w:rsidR="006266A0" w:rsidRDefault="006266A0" w:rsidP="006266A0"/>
    <w:p w:rsidR="006266A0" w:rsidRDefault="006266A0" w:rsidP="006266A0"/>
    <w:p w:rsidR="006266A0" w:rsidRDefault="006266A0" w:rsidP="006266A0"/>
    <w:p w:rsidR="006266A0" w:rsidRDefault="006266A0" w:rsidP="006266A0"/>
    <w:p w:rsidR="006266A0" w:rsidRDefault="006266A0" w:rsidP="006266A0">
      <w:r w:rsidRPr="006266A0">
        <w:rPr>
          <w:noProof/>
          <w:lang w:eastAsia="en-AU"/>
        </w:rPr>
        <w:drawing>
          <wp:inline distT="0" distB="0" distL="0" distR="0" wp14:anchorId="07E4B5F1" wp14:editId="30A6CCF7">
            <wp:extent cx="5314852" cy="41148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8051" cy="411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6A0" w:rsidRDefault="006266A0" w:rsidP="006266A0"/>
    <w:p w:rsidR="006266A0" w:rsidRDefault="006266A0" w:rsidP="006266A0">
      <w:pPr>
        <w:pStyle w:val="ListParagraph"/>
        <w:numPr>
          <w:ilvl w:val="0"/>
          <w:numId w:val="3"/>
        </w:numPr>
      </w:pPr>
      <w:r>
        <w:t>Reason 1 (Various Diseases):</w:t>
      </w:r>
    </w:p>
    <w:p w:rsidR="006266A0" w:rsidRDefault="006266A0" w:rsidP="006266A0">
      <w:pPr>
        <w:pStyle w:val="ListParagraph"/>
        <w:numPr>
          <w:ilvl w:val="0"/>
          <w:numId w:val="5"/>
        </w:numPr>
      </w:pPr>
      <w:r>
        <w:t xml:space="preserve">Observations: </w:t>
      </w:r>
    </w:p>
    <w:p w:rsidR="006266A0" w:rsidRDefault="006266A0" w:rsidP="006266A0">
      <w:pPr>
        <w:pStyle w:val="ListParagraph"/>
        <w:numPr>
          <w:ilvl w:val="0"/>
          <w:numId w:val="2"/>
        </w:numPr>
      </w:pPr>
      <w:r>
        <w:t>For individuals with Reason 1, the probability of being excessively absent (more than 3 hours) is consistently above 50%.</w:t>
      </w:r>
    </w:p>
    <w:p w:rsidR="006266A0" w:rsidRDefault="006266A0" w:rsidP="006266A0">
      <w:pPr>
        <w:pStyle w:val="ListParagraph"/>
        <w:numPr>
          <w:ilvl w:val="0"/>
          <w:numId w:val="2"/>
        </w:numPr>
      </w:pPr>
      <w:r>
        <w:t>This indicates that serious medical issues are strongly correlated with excessive absenteeism.</w:t>
      </w:r>
    </w:p>
    <w:p w:rsidR="006266A0" w:rsidRDefault="006266A0" w:rsidP="006266A0">
      <w:pPr>
        <w:pStyle w:val="ListParagraph"/>
        <w:numPr>
          <w:ilvl w:val="0"/>
          <w:numId w:val="5"/>
        </w:numPr>
      </w:pPr>
      <w:r>
        <w:t>Analysis:</w:t>
      </w:r>
    </w:p>
    <w:p w:rsidR="006266A0" w:rsidRDefault="006266A0" w:rsidP="006266A0">
      <w:pPr>
        <w:pStyle w:val="ListParagraph"/>
        <w:numPr>
          <w:ilvl w:val="0"/>
          <w:numId w:val="2"/>
        </w:numPr>
      </w:pPr>
      <w:r>
        <w:t>The nature of ‘various diseases’ suggests these are likely chronic or severe conditions that necessitate prolonged recovery or frequent medical attention.</w:t>
      </w:r>
    </w:p>
    <w:p w:rsidR="006266A0" w:rsidRDefault="006266A0" w:rsidP="006266A0">
      <w:pPr>
        <w:pStyle w:val="ListParagraph"/>
        <w:numPr>
          <w:ilvl w:val="0"/>
          <w:numId w:val="2"/>
        </w:numPr>
      </w:pPr>
      <w:r>
        <w:t>This trend reinforces the need for workplace support, such as flexible sick leave policies or health benefit programs, to accommodate such employees.</w:t>
      </w:r>
    </w:p>
    <w:p w:rsidR="006266A0" w:rsidRDefault="006266A0" w:rsidP="006266A0">
      <w:pPr>
        <w:pStyle w:val="ListParagraph"/>
        <w:numPr>
          <w:ilvl w:val="0"/>
          <w:numId w:val="3"/>
        </w:numPr>
      </w:pPr>
      <w:r>
        <w:t>Reason 2 (Pregnancy and Giving Birth):</w:t>
      </w:r>
    </w:p>
    <w:p w:rsidR="006266A0" w:rsidRDefault="006266A0" w:rsidP="006266A0">
      <w:pPr>
        <w:pStyle w:val="ListParagraph"/>
        <w:numPr>
          <w:ilvl w:val="0"/>
          <w:numId w:val="5"/>
        </w:numPr>
      </w:pPr>
      <w:r>
        <w:t>Observations:</w:t>
      </w:r>
    </w:p>
    <w:p w:rsidR="006266A0" w:rsidRDefault="006266A0" w:rsidP="006266A0">
      <w:pPr>
        <w:pStyle w:val="ListParagraph"/>
        <w:numPr>
          <w:ilvl w:val="0"/>
          <w:numId w:val="2"/>
        </w:numPr>
      </w:pPr>
      <w:r>
        <w:t>Interestingly, there are no observations (40 records) where this reason has been cited for excessive absenteeism</w:t>
      </w:r>
      <w:r w:rsidR="009D1C94">
        <w:t>.</w:t>
      </w:r>
    </w:p>
    <w:p w:rsidR="009D1C94" w:rsidRDefault="009D1C94" w:rsidP="009D1C94">
      <w:pPr>
        <w:pStyle w:val="ListParagraph"/>
        <w:numPr>
          <w:ilvl w:val="0"/>
          <w:numId w:val="5"/>
        </w:numPr>
      </w:pPr>
      <w:r>
        <w:t>Analysis:</w:t>
      </w:r>
    </w:p>
    <w:p w:rsidR="009D1C94" w:rsidRDefault="009D1C94" w:rsidP="009D1C94">
      <w:pPr>
        <w:pStyle w:val="ListParagraph"/>
        <w:numPr>
          <w:ilvl w:val="0"/>
          <w:numId w:val="2"/>
        </w:numPr>
      </w:pPr>
      <w:r>
        <w:t>This might suggest either of only 40 observations, or a reflection of workforce demographics (e.g., fewer employees in roles prone to this reason).</w:t>
      </w:r>
    </w:p>
    <w:p w:rsidR="009D1C94" w:rsidRDefault="009D1C94" w:rsidP="009D1C94">
      <w:pPr>
        <w:pStyle w:val="ListParagraph"/>
        <w:numPr>
          <w:ilvl w:val="0"/>
          <w:numId w:val="2"/>
        </w:numPr>
      </w:pPr>
      <w:r>
        <w:lastRenderedPageBreak/>
        <w:t>If relevant, it might be worth investigating whether this category applies to this workforce or if requires re-evaluation for completeness.</w:t>
      </w:r>
    </w:p>
    <w:p w:rsidR="009D1C94" w:rsidRDefault="009D1C94" w:rsidP="009D1C94">
      <w:pPr>
        <w:pStyle w:val="ListParagraph"/>
        <w:numPr>
          <w:ilvl w:val="0"/>
          <w:numId w:val="3"/>
        </w:numPr>
      </w:pPr>
      <w:r>
        <w:t>Reason 3 (Poisoning):</w:t>
      </w:r>
    </w:p>
    <w:p w:rsidR="009D1C94" w:rsidRDefault="009D1C94" w:rsidP="009D1C94">
      <w:pPr>
        <w:pStyle w:val="ListParagraph"/>
        <w:numPr>
          <w:ilvl w:val="0"/>
          <w:numId w:val="5"/>
        </w:numPr>
      </w:pPr>
      <w:r>
        <w:t>Observations:</w:t>
      </w:r>
    </w:p>
    <w:p w:rsidR="009D1C94" w:rsidRDefault="009D1C94" w:rsidP="009D1C94">
      <w:pPr>
        <w:pStyle w:val="ListParagraph"/>
        <w:numPr>
          <w:ilvl w:val="0"/>
          <w:numId w:val="2"/>
        </w:numPr>
      </w:pPr>
      <w:r>
        <w:t>The probabilities are scattered, with some below 50% and others above 50%, forming a widely distributed pattern.</w:t>
      </w:r>
    </w:p>
    <w:p w:rsidR="009D1C94" w:rsidRDefault="009D1C94" w:rsidP="009D1C94">
      <w:pPr>
        <w:pStyle w:val="ListParagraph"/>
        <w:numPr>
          <w:ilvl w:val="0"/>
          <w:numId w:val="2"/>
        </w:numPr>
      </w:pPr>
      <w:r>
        <w:t>Very few observations of people who had specified this reason for excessive absence.</w:t>
      </w:r>
    </w:p>
    <w:p w:rsidR="009D1C94" w:rsidRDefault="009D1C94" w:rsidP="009D1C94">
      <w:pPr>
        <w:pStyle w:val="ListParagraph"/>
        <w:numPr>
          <w:ilvl w:val="0"/>
          <w:numId w:val="5"/>
        </w:numPr>
      </w:pPr>
      <w:r>
        <w:t>Analysis:</w:t>
      </w:r>
    </w:p>
    <w:p w:rsidR="009D1C94" w:rsidRDefault="009D1C94" w:rsidP="009D1C94">
      <w:pPr>
        <w:pStyle w:val="ListParagraph"/>
        <w:numPr>
          <w:ilvl w:val="0"/>
          <w:numId w:val="2"/>
        </w:numPr>
      </w:pPr>
      <w:r>
        <w:t>The inconsistent distribution suggests that poisoning is not a strong predictor of excessive absenteeism in this dataset. This could be due to variability in the severity of poisoning cases or a limited number of relevant incidents in the dataset.</w:t>
      </w:r>
    </w:p>
    <w:p w:rsidR="009D1C94" w:rsidRDefault="009D1C94" w:rsidP="009D1C94">
      <w:pPr>
        <w:pStyle w:val="ListParagraph"/>
        <w:numPr>
          <w:ilvl w:val="0"/>
          <w:numId w:val="2"/>
        </w:numPr>
      </w:pPr>
      <w:r>
        <w:t>The lack of a clear trend makes it difficult to draw actionable insights or expectations from this category.</w:t>
      </w:r>
    </w:p>
    <w:p w:rsidR="009D1C94" w:rsidRDefault="009D1C94" w:rsidP="009D1C94">
      <w:pPr>
        <w:pStyle w:val="ListParagraph"/>
        <w:numPr>
          <w:ilvl w:val="0"/>
          <w:numId w:val="3"/>
        </w:numPr>
      </w:pPr>
      <w:r>
        <w:t>Reason 4 (Light Diseases):</w:t>
      </w:r>
    </w:p>
    <w:p w:rsidR="009D1C94" w:rsidRDefault="009D1C94" w:rsidP="009D1C94">
      <w:pPr>
        <w:pStyle w:val="ListParagraph"/>
        <w:numPr>
          <w:ilvl w:val="0"/>
          <w:numId w:val="5"/>
        </w:numPr>
      </w:pPr>
      <w:r>
        <w:t>Observations:</w:t>
      </w:r>
    </w:p>
    <w:p w:rsidR="009D1C94" w:rsidRDefault="009D1C94" w:rsidP="009D1C94">
      <w:pPr>
        <w:pStyle w:val="ListParagraph"/>
        <w:numPr>
          <w:ilvl w:val="0"/>
          <w:numId w:val="2"/>
        </w:numPr>
      </w:pPr>
      <w:r>
        <w:t>Probabilities are consistently below 50%, suggesting that light diseases are less likely to result in excessive absenteeism.</w:t>
      </w:r>
    </w:p>
    <w:p w:rsidR="009D1C94" w:rsidRDefault="009D1C94" w:rsidP="009D1C94">
      <w:pPr>
        <w:pStyle w:val="ListParagraph"/>
        <w:numPr>
          <w:ilvl w:val="0"/>
          <w:numId w:val="5"/>
        </w:numPr>
      </w:pPr>
      <w:r>
        <w:t>Analysis:</w:t>
      </w:r>
    </w:p>
    <w:p w:rsidR="009D1C94" w:rsidRDefault="009D1C94" w:rsidP="009D1C94">
      <w:pPr>
        <w:pStyle w:val="ListParagraph"/>
        <w:numPr>
          <w:ilvl w:val="0"/>
          <w:numId w:val="2"/>
        </w:numPr>
      </w:pPr>
      <w:r>
        <w:t>‘Light diseases’ don’t severely impact the employee’s ability to work.</w:t>
      </w:r>
    </w:p>
    <w:p w:rsidR="009D1C94" w:rsidRDefault="009D1C94" w:rsidP="009D1C94">
      <w:pPr>
        <w:pStyle w:val="ListParagraph"/>
        <w:numPr>
          <w:ilvl w:val="0"/>
          <w:numId w:val="2"/>
        </w:numPr>
      </w:pPr>
      <w:r>
        <w:t>This aligns with the expectation that such reasons don’t necessitate prolonged absences, supporting a pattern of lower absenteeism</w:t>
      </w:r>
      <w:r w:rsidR="002F303E">
        <w:t>.</w:t>
      </w:r>
    </w:p>
    <w:p w:rsidR="009D1C94" w:rsidRDefault="009D1C94" w:rsidP="009D1C94"/>
    <w:p w:rsidR="009D1C94" w:rsidRDefault="009D1C94" w:rsidP="009D1C94">
      <w:r>
        <w:t>General Insights:</w:t>
      </w:r>
    </w:p>
    <w:p w:rsidR="009D1C94" w:rsidRDefault="002F303E" w:rsidP="009D1C94">
      <w:pPr>
        <w:pStyle w:val="ListParagraph"/>
        <w:numPr>
          <w:ilvl w:val="0"/>
          <w:numId w:val="5"/>
        </w:numPr>
      </w:pPr>
      <w:r>
        <w:t>Key Distinctions:</w:t>
      </w:r>
    </w:p>
    <w:p w:rsidR="002F303E" w:rsidRDefault="002F303E" w:rsidP="002F303E">
      <w:pPr>
        <w:pStyle w:val="ListParagraph"/>
        <w:numPr>
          <w:ilvl w:val="0"/>
          <w:numId w:val="2"/>
        </w:numPr>
      </w:pPr>
      <w:r>
        <w:t>Reason 1 stands out as the primary cause of excessive absenteeism due to its strong correlation with probabilities exceeding 50%.</w:t>
      </w:r>
    </w:p>
    <w:p w:rsidR="002F303E" w:rsidRDefault="002F303E" w:rsidP="002F303E">
      <w:pPr>
        <w:pStyle w:val="ListParagraph"/>
        <w:numPr>
          <w:ilvl w:val="0"/>
          <w:numId w:val="2"/>
        </w:numPr>
      </w:pPr>
      <w:r>
        <w:t>Reason 4, conversely, exhibits minimal impact, reflecting the lesser severity of ailments.</w:t>
      </w:r>
    </w:p>
    <w:p w:rsidR="002F303E" w:rsidRDefault="002F303E" w:rsidP="002F303E">
      <w:pPr>
        <w:pStyle w:val="ListParagraph"/>
        <w:numPr>
          <w:ilvl w:val="0"/>
          <w:numId w:val="5"/>
        </w:numPr>
      </w:pPr>
      <w:r>
        <w:t>Uncertainty in Reason 3:</w:t>
      </w:r>
    </w:p>
    <w:p w:rsidR="002F303E" w:rsidRDefault="002F303E" w:rsidP="002F303E">
      <w:pPr>
        <w:pStyle w:val="ListParagraph"/>
        <w:numPr>
          <w:ilvl w:val="0"/>
          <w:numId w:val="2"/>
        </w:numPr>
      </w:pPr>
      <w:r>
        <w:t>The scattered probabilities suggest further investigation or a larger dataset maybe required to clarify its role in excessive absenteeism.</w:t>
      </w:r>
    </w:p>
    <w:p w:rsidR="002F303E" w:rsidRDefault="002F303E" w:rsidP="002F303E">
      <w:pPr>
        <w:pStyle w:val="ListParagraph"/>
        <w:numPr>
          <w:ilvl w:val="0"/>
          <w:numId w:val="5"/>
        </w:numPr>
      </w:pPr>
      <w:r>
        <w:t>Workforce Implications:</w:t>
      </w:r>
    </w:p>
    <w:p w:rsidR="002F303E" w:rsidRDefault="002F303E" w:rsidP="002F303E">
      <w:pPr>
        <w:pStyle w:val="ListParagraph"/>
        <w:numPr>
          <w:ilvl w:val="0"/>
          <w:numId w:val="2"/>
        </w:numPr>
      </w:pPr>
      <w:r>
        <w:t>The absence of observations for Reason 2 might require exploring workforce demographics or organizational context to confirm if this category is applicable.</w:t>
      </w:r>
    </w:p>
    <w:p w:rsidR="0085318E" w:rsidRDefault="0085318E" w:rsidP="0085318E"/>
    <w:p w:rsidR="0085318E" w:rsidRDefault="0085318E" w:rsidP="0085318E"/>
    <w:p w:rsidR="0085318E" w:rsidRDefault="0085318E" w:rsidP="0085318E"/>
    <w:p w:rsidR="0085318E" w:rsidRDefault="0085318E" w:rsidP="0085318E"/>
    <w:p w:rsidR="0085318E" w:rsidRDefault="0085318E" w:rsidP="0085318E"/>
    <w:p w:rsidR="0085318E" w:rsidRDefault="0085318E" w:rsidP="0085318E"/>
    <w:p w:rsidR="0085318E" w:rsidRDefault="0085318E" w:rsidP="0085318E"/>
    <w:p w:rsidR="0085318E" w:rsidRDefault="00627C2D" w:rsidP="0085318E">
      <w:r w:rsidRPr="00627C2D">
        <w:rPr>
          <w:noProof/>
          <w:lang w:eastAsia="en-AU"/>
        </w:rPr>
        <w:lastRenderedPageBreak/>
        <w:drawing>
          <wp:inline distT="0" distB="0" distL="0" distR="0" wp14:anchorId="4B7F795C" wp14:editId="166F6720">
            <wp:extent cx="5731510" cy="44672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18E" w:rsidRPr="0085318E">
        <w:rPr>
          <w:noProof/>
          <w:lang w:eastAsia="en-AU"/>
        </w:rPr>
        <w:lastRenderedPageBreak/>
        <w:drawing>
          <wp:inline distT="0" distB="0" distL="0" distR="0" wp14:anchorId="1533A2C5" wp14:editId="56BE1BA9">
            <wp:extent cx="5731510" cy="44056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3E" w:rsidRDefault="002F303E" w:rsidP="002F303E">
      <w:pPr>
        <w:rPr>
          <w:lang w:val="vi-VN"/>
        </w:rPr>
      </w:pPr>
    </w:p>
    <w:p w:rsidR="0085318E" w:rsidRDefault="0085318E" w:rsidP="0085318E">
      <w:pPr>
        <w:pStyle w:val="ListParagraph"/>
        <w:numPr>
          <w:ilvl w:val="0"/>
          <w:numId w:val="8"/>
        </w:numPr>
      </w:pPr>
      <w:r>
        <w:t>General Insights on Correlation:</w:t>
      </w:r>
    </w:p>
    <w:p w:rsidR="0085318E" w:rsidRDefault="0085318E" w:rsidP="0085318E">
      <w:pPr>
        <w:pStyle w:val="ListParagraph"/>
        <w:numPr>
          <w:ilvl w:val="0"/>
          <w:numId w:val="5"/>
        </w:numPr>
      </w:pPr>
      <w:r>
        <w:t>Observations: There is a potential correlation between transportation expenses and excessive absenteeism, likely stronger with more data.</w:t>
      </w:r>
    </w:p>
    <w:p w:rsidR="0085318E" w:rsidRDefault="0085318E" w:rsidP="0085318E">
      <w:pPr>
        <w:pStyle w:val="ListParagraph"/>
        <w:numPr>
          <w:ilvl w:val="0"/>
          <w:numId w:val="5"/>
        </w:numPr>
      </w:pPr>
      <w:r>
        <w:t>Analysis: Higher expenses may indicate greater commuting distances, leading to increased absenteeism probabilities.</w:t>
      </w:r>
    </w:p>
    <w:p w:rsidR="0085318E" w:rsidRDefault="0085318E" w:rsidP="0085318E">
      <w:pPr>
        <w:pStyle w:val="ListParagraph"/>
        <w:numPr>
          <w:ilvl w:val="0"/>
          <w:numId w:val="8"/>
        </w:numPr>
      </w:pPr>
      <w:r>
        <w:t>Individuals with No Children:</w:t>
      </w:r>
    </w:p>
    <w:p w:rsidR="0085318E" w:rsidRDefault="0085318E" w:rsidP="0085318E">
      <w:pPr>
        <w:pStyle w:val="ListParagraph"/>
        <w:numPr>
          <w:ilvl w:val="0"/>
          <w:numId w:val="5"/>
        </w:numPr>
      </w:pPr>
      <w:r>
        <w:t xml:space="preserve">Observations: Low </w:t>
      </w:r>
      <w:r w:rsidR="002624C0">
        <w:t>absenteeism probabilities and lower transportation expenses, with no significant outliers.</w:t>
      </w:r>
    </w:p>
    <w:p w:rsidR="002624C0" w:rsidRDefault="002624C0" w:rsidP="0085318E">
      <w:pPr>
        <w:pStyle w:val="ListParagraph"/>
        <w:numPr>
          <w:ilvl w:val="0"/>
          <w:numId w:val="5"/>
        </w:numPr>
      </w:pPr>
      <w:r>
        <w:t>Analysis: Proximity to work and fewer responsibilities likely contribute to reduced absenteeism</w:t>
      </w:r>
    </w:p>
    <w:p w:rsidR="002624C0" w:rsidRDefault="002624C0" w:rsidP="002624C0">
      <w:pPr>
        <w:pStyle w:val="ListParagraph"/>
        <w:numPr>
          <w:ilvl w:val="0"/>
          <w:numId w:val="8"/>
        </w:numPr>
      </w:pPr>
      <w:r>
        <w:t>Individuals with 1 Child:</w:t>
      </w:r>
    </w:p>
    <w:p w:rsidR="002624C0" w:rsidRDefault="002624C0" w:rsidP="002624C0">
      <w:pPr>
        <w:pStyle w:val="ListParagraph"/>
        <w:numPr>
          <w:ilvl w:val="0"/>
          <w:numId w:val="5"/>
        </w:numPr>
      </w:pPr>
      <w:r>
        <w:t>Observations: Probabilities vary, with most clustered around $220-$240 in transportation expenses.</w:t>
      </w:r>
    </w:p>
    <w:p w:rsidR="002624C0" w:rsidRDefault="002624C0" w:rsidP="002624C0">
      <w:pPr>
        <w:pStyle w:val="ListParagraph"/>
        <w:numPr>
          <w:ilvl w:val="0"/>
          <w:numId w:val="5"/>
        </w:numPr>
      </w:pPr>
      <w:r>
        <w:t>Analysis: Transportation costs are predictable, but absenteeism is influenced by additional factors like childcare responsibilities.</w:t>
      </w:r>
    </w:p>
    <w:p w:rsidR="002624C0" w:rsidRDefault="002624C0" w:rsidP="002624C0">
      <w:pPr>
        <w:pStyle w:val="ListParagraph"/>
        <w:numPr>
          <w:ilvl w:val="0"/>
          <w:numId w:val="8"/>
        </w:numPr>
      </w:pPr>
      <w:r>
        <w:t>Individuals with 2 Child:</w:t>
      </w:r>
    </w:p>
    <w:p w:rsidR="002624C0" w:rsidRDefault="002624C0" w:rsidP="002624C0">
      <w:pPr>
        <w:pStyle w:val="ListParagraph"/>
        <w:numPr>
          <w:ilvl w:val="0"/>
          <w:numId w:val="5"/>
        </w:numPr>
      </w:pPr>
      <w:r>
        <w:t>Observations: Similar trends to 1-child group, with 2 outliers spending above $240.</w:t>
      </w:r>
    </w:p>
    <w:p w:rsidR="002624C0" w:rsidRDefault="002624C0" w:rsidP="002624C0">
      <w:pPr>
        <w:pStyle w:val="ListParagraph"/>
        <w:numPr>
          <w:ilvl w:val="0"/>
          <w:numId w:val="5"/>
        </w:numPr>
      </w:pPr>
      <w:r>
        <w:t>Analysis: Higher expenses may reflect longer commutes or access to better schools, increasing absenteeism risk for some.</w:t>
      </w:r>
    </w:p>
    <w:p w:rsidR="002624C0" w:rsidRDefault="002624C0" w:rsidP="002624C0">
      <w:pPr>
        <w:pStyle w:val="ListParagraph"/>
        <w:numPr>
          <w:ilvl w:val="0"/>
          <w:numId w:val="8"/>
        </w:numPr>
      </w:pPr>
      <w:r>
        <w:t>Individuals with 3 Child:</w:t>
      </w:r>
    </w:p>
    <w:p w:rsidR="002624C0" w:rsidRDefault="002624C0" w:rsidP="002624C0">
      <w:pPr>
        <w:pStyle w:val="ListParagraph"/>
        <w:numPr>
          <w:ilvl w:val="0"/>
          <w:numId w:val="2"/>
        </w:numPr>
      </w:pPr>
      <w:r>
        <w:t>Observations: Only 1 observation, insufficient for meaningful analysis.</w:t>
      </w:r>
    </w:p>
    <w:p w:rsidR="002624C0" w:rsidRDefault="002624C0" w:rsidP="002624C0">
      <w:pPr>
        <w:pStyle w:val="ListParagraph"/>
        <w:numPr>
          <w:ilvl w:val="0"/>
          <w:numId w:val="2"/>
        </w:numPr>
      </w:pPr>
      <w:r>
        <w:lastRenderedPageBreak/>
        <w:t>Analysis: Limited data restricts conclusions about larger families.</w:t>
      </w:r>
    </w:p>
    <w:p w:rsidR="002624C0" w:rsidRDefault="002624C0" w:rsidP="002624C0"/>
    <w:p w:rsidR="002624C0" w:rsidRDefault="002624C0" w:rsidP="002624C0">
      <w:r>
        <w:t>Concluding Insights:</w:t>
      </w:r>
    </w:p>
    <w:p w:rsidR="002624C0" w:rsidRDefault="002624C0" w:rsidP="002624C0">
      <w:pPr>
        <w:pStyle w:val="ListParagraph"/>
        <w:numPr>
          <w:ilvl w:val="0"/>
          <w:numId w:val="5"/>
        </w:numPr>
      </w:pPr>
      <w:r>
        <w:t>Transportation Expenses: Higher costs correlate with greater absenteeism, likely due to longer commutes</w:t>
      </w:r>
      <w:r w:rsidR="008632D1">
        <w:t>.</w:t>
      </w:r>
    </w:p>
    <w:p w:rsidR="002624C0" w:rsidRDefault="002624C0" w:rsidP="002624C0">
      <w:pPr>
        <w:pStyle w:val="ListParagraph"/>
        <w:numPr>
          <w:ilvl w:val="0"/>
          <w:numId w:val="5"/>
        </w:numPr>
      </w:pPr>
      <w:r>
        <w:t>Family size: Employees with no children have lower absenteeism, while those with one or two children show moderate impacts, influenced by transportation costs.</w:t>
      </w:r>
    </w:p>
    <w:p w:rsidR="002624C0" w:rsidRDefault="002624C0" w:rsidP="002624C0"/>
    <w:p w:rsidR="002624C0" w:rsidRDefault="002624C0" w:rsidP="002624C0"/>
    <w:p w:rsidR="002624C0" w:rsidRDefault="002624C0" w:rsidP="002624C0">
      <w:r>
        <w:t>Overall Conclusion:</w:t>
      </w:r>
    </w:p>
    <w:p w:rsidR="002624C0" w:rsidRDefault="002624C0" w:rsidP="002624C0">
      <w:r>
        <w:t>The analysis identifies three primary factors contributing to excessive absenteeism</w:t>
      </w:r>
      <w:r w:rsidR="008632D1">
        <w:t>: age, reasons for absence, and transportation expenses in combination with family responsibilities.</w:t>
      </w:r>
    </w:p>
    <w:p w:rsidR="008632D1" w:rsidRDefault="008632D1" w:rsidP="008632D1">
      <w:pPr>
        <w:pStyle w:val="ListParagraph"/>
        <w:numPr>
          <w:ilvl w:val="0"/>
          <w:numId w:val="5"/>
        </w:numPr>
      </w:pPr>
      <w:r>
        <w:t>Serious health conditions are the most significant driver of excessive absenteeism, while lighter illness show lower impacts</w:t>
      </w:r>
    </w:p>
    <w:p w:rsidR="008632D1" w:rsidRDefault="008632D1" w:rsidP="008632D1">
      <w:pPr>
        <w:pStyle w:val="ListParagraph"/>
        <w:numPr>
          <w:ilvl w:val="0"/>
          <w:numId w:val="5"/>
        </w:numPr>
      </w:pPr>
      <w:r>
        <w:t>Older individuals tend to have a higher probability of being excessively absent, possibly due to age-related health or personal factors.</w:t>
      </w:r>
    </w:p>
    <w:p w:rsidR="008632D1" w:rsidRDefault="008632D1" w:rsidP="008632D1">
      <w:pPr>
        <w:pStyle w:val="ListParagraph"/>
        <w:numPr>
          <w:ilvl w:val="0"/>
          <w:numId w:val="5"/>
        </w:numPr>
      </w:pPr>
      <w:r>
        <w:t>Higher transportation costs, especially among employees with one or two children, indicate commuting challenges contributing to excessive absenteeism.</w:t>
      </w:r>
    </w:p>
    <w:p w:rsidR="008632D1" w:rsidRPr="0085318E" w:rsidRDefault="008632D1" w:rsidP="008632D1">
      <w:r>
        <w:t>Addressing these factors with targeted interventions, such as health support programs, remote work policies, or subsidized commuting options, could reduce excessive absenteeism and improve workforce productivity.</w:t>
      </w:r>
    </w:p>
    <w:sectPr w:rsidR="008632D1" w:rsidRPr="00853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0BA" w:rsidRDefault="00D770BA" w:rsidP="008632D1">
      <w:pPr>
        <w:spacing w:after="0" w:line="240" w:lineRule="auto"/>
      </w:pPr>
      <w:r>
        <w:separator/>
      </w:r>
    </w:p>
  </w:endnote>
  <w:endnote w:type="continuationSeparator" w:id="0">
    <w:p w:rsidR="00D770BA" w:rsidRDefault="00D770BA" w:rsidP="00863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0BA" w:rsidRDefault="00D770BA" w:rsidP="008632D1">
      <w:pPr>
        <w:spacing w:after="0" w:line="240" w:lineRule="auto"/>
      </w:pPr>
      <w:r>
        <w:separator/>
      </w:r>
    </w:p>
  </w:footnote>
  <w:footnote w:type="continuationSeparator" w:id="0">
    <w:p w:rsidR="00D770BA" w:rsidRDefault="00D770BA" w:rsidP="008632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16BB9"/>
    <w:multiLevelType w:val="hybridMultilevel"/>
    <w:tmpl w:val="23281B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14FCE"/>
    <w:multiLevelType w:val="hybridMultilevel"/>
    <w:tmpl w:val="BC5483DE"/>
    <w:lvl w:ilvl="0" w:tplc="09AC4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9252C"/>
    <w:multiLevelType w:val="hybridMultilevel"/>
    <w:tmpl w:val="76749AD8"/>
    <w:lvl w:ilvl="0" w:tplc="7B96BF8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B9307E"/>
    <w:multiLevelType w:val="hybridMultilevel"/>
    <w:tmpl w:val="32149D58"/>
    <w:lvl w:ilvl="0" w:tplc="78D4D97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8969C9"/>
    <w:multiLevelType w:val="hybridMultilevel"/>
    <w:tmpl w:val="326EEFC2"/>
    <w:lvl w:ilvl="0" w:tplc="8AE62F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7410C"/>
    <w:multiLevelType w:val="hybridMultilevel"/>
    <w:tmpl w:val="18829E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46ABF"/>
    <w:multiLevelType w:val="hybridMultilevel"/>
    <w:tmpl w:val="00E6F908"/>
    <w:lvl w:ilvl="0" w:tplc="5124557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A255EC"/>
    <w:multiLevelType w:val="hybridMultilevel"/>
    <w:tmpl w:val="502CF7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CBF"/>
    <w:rsid w:val="002624C0"/>
    <w:rsid w:val="002F303E"/>
    <w:rsid w:val="006266A0"/>
    <w:rsid w:val="00627C2D"/>
    <w:rsid w:val="006B4CBF"/>
    <w:rsid w:val="0085318E"/>
    <w:rsid w:val="008632D1"/>
    <w:rsid w:val="008C3006"/>
    <w:rsid w:val="009D1C94"/>
    <w:rsid w:val="00C1489B"/>
    <w:rsid w:val="00CE1E1C"/>
    <w:rsid w:val="00D33DE2"/>
    <w:rsid w:val="00D7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01BF"/>
  <w15:chartTrackingRefBased/>
  <w15:docId w15:val="{DD3A7911-9859-4E1E-BD2B-7D1BBDCD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C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32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2D1"/>
  </w:style>
  <w:style w:type="paragraph" w:styleId="Footer">
    <w:name w:val="footer"/>
    <w:basedOn w:val="Normal"/>
    <w:link w:val="FooterChar"/>
    <w:uiPriority w:val="99"/>
    <w:unhideWhenUsed/>
    <w:rsid w:val="008632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</dc:creator>
  <cp:keywords/>
  <dc:description/>
  <cp:lastModifiedBy>Nguyen Minh</cp:lastModifiedBy>
  <cp:revision>5</cp:revision>
  <dcterms:created xsi:type="dcterms:W3CDTF">2024-12-19T07:06:00Z</dcterms:created>
  <dcterms:modified xsi:type="dcterms:W3CDTF">2024-12-20T07:20:00Z</dcterms:modified>
</cp:coreProperties>
</file>