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8FE2459" w14:textId="77777777" w:rsidR="00A000C4" w:rsidRPr="003E6E3F" w:rsidRDefault="00A000C4" w:rsidP="00A000C4">
      <w:pPr>
        <w:pStyle w:val="Appendix"/>
        <w:rPr>
          <w:rFonts w:ascii="Arial" w:hAnsi="Arial" w:cs="Arial"/>
        </w:rPr>
      </w:pPr>
      <w:r w:rsidRPr="003E6E3F">
        <w:rPr>
          <w:rFonts w:ascii="Arial" w:hAnsi="Arial" w:cs="Arial"/>
        </w:rPr>
        <w:t>Business Rules</w:t>
      </w:r>
    </w:p>
    <w:p w14:paraId="68C5169D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</w:t>
      </w:r>
    </w:p>
    <w:p w14:paraId="6C016C49" w14:textId="3525F0C9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001</w:t>
      </w:r>
      <w:r w:rsidRPr="003E6E3F">
        <w:rPr>
          <w:rFonts w:ascii="Arial" w:hAnsi="Arial" w:cs="Arial"/>
        </w:rPr>
        <w:t xml:space="preserve"> – Legal Age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="00E33ABE">
        <w:rPr>
          <w:rFonts w:ascii="Arial" w:hAnsi="Arial" w:cs="Arial"/>
        </w:rPr>
        <w:t>Jun 01</w:t>
      </w:r>
      <w:r w:rsidRPr="003E6E3F">
        <w:rPr>
          <w:rFonts w:ascii="Arial" w:hAnsi="Arial" w:cs="Arial"/>
        </w:rPr>
        <w:t>, 2020</w:t>
      </w:r>
    </w:p>
    <w:p w14:paraId="0DA411E7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Restricting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Static</w:t>
      </w:r>
    </w:p>
    <w:p w14:paraId="6A4F7540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05520A25" w14:textId="5BFDB329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Some of </w:t>
      </w:r>
      <w:r w:rsidR="00C33288">
        <w:rPr>
          <w:rFonts w:ascii="Arial" w:hAnsi="Arial" w:cs="Arial"/>
        </w:rPr>
        <w:t xml:space="preserve">the </w:t>
      </w:r>
      <w:r w:rsidRPr="003E6E3F">
        <w:rPr>
          <w:rFonts w:ascii="Arial" w:hAnsi="Arial" w:cs="Arial"/>
        </w:rPr>
        <w:t>game contents will have violation, adult action scene, which is going to require the age of 18 plus.</w:t>
      </w:r>
      <w:r w:rsidR="00FE7588">
        <w:rPr>
          <w:rFonts w:ascii="Arial" w:hAnsi="Arial" w:cs="Arial"/>
        </w:rPr>
        <w:t xml:space="preserve"> Furthermore, each kind of games will be identified by ESRB which may evaluate the customers’ age legally to buy the game discs or not.</w:t>
      </w:r>
    </w:p>
    <w:p w14:paraId="375BE48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5B5A62D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358E7F23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6B041EC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2DDDD44" w14:textId="79414185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002</w:t>
      </w:r>
      <w:r w:rsidRPr="003E6E3F">
        <w:rPr>
          <w:rFonts w:ascii="Arial" w:hAnsi="Arial" w:cs="Arial"/>
        </w:rPr>
        <w:t xml:space="preserve"> – </w:t>
      </w:r>
      <w:r w:rsidR="00E33ABE">
        <w:rPr>
          <w:rFonts w:ascii="Arial" w:hAnsi="Arial" w:cs="Arial"/>
        </w:rPr>
        <w:t>Order Discount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="00E33ABE">
        <w:rPr>
          <w:rFonts w:ascii="Arial" w:hAnsi="Arial" w:cs="Arial"/>
        </w:rPr>
        <w:t>Jun 01</w:t>
      </w:r>
      <w:r w:rsidRPr="003E6E3F">
        <w:rPr>
          <w:rFonts w:ascii="Arial" w:hAnsi="Arial" w:cs="Arial"/>
        </w:rPr>
        <w:t>, 2020</w:t>
      </w:r>
    </w:p>
    <w:p w14:paraId="347E4E13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Triggering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C85F69B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A5291FD" w14:textId="38086560" w:rsidR="00A000C4" w:rsidRPr="003E6E3F" w:rsidRDefault="00A000C4" w:rsidP="00A000C4">
      <w:pPr>
        <w:pStyle w:val="ListParagraph"/>
        <w:ind w:left="357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 w:rsidR="00E33ABE">
        <w:rPr>
          <w:rFonts w:ascii="Arial" w:hAnsi="Arial" w:cs="Arial"/>
        </w:rPr>
        <w:t xml:space="preserve">If an order has more than or equal to five items, that order will be </w:t>
      </w:r>
      <w:r w:rsidR="00EB0308">
        <w:rPr>
          <w:rFonts w:ascii="Arial" w:hAnsi="Arial" w:cs="Arial"/>
        </w:rPr>
        <w:t>discounted to 10%</w:t>
      </w:r>
    </w:p>
    <w:p w14:paraId="7CB79682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A16063E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29FA4CAB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25C154A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1A97135" w14:textId="7D6E3FC1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003</w:t>
      </w:r>
      <w:r w:rsidRPr="003E6E3F">
        <w:rPr>
          <w:rFonts w:ascii="Arial" w:hAnsi="Arial" w:cs="Arial"/>
        </w:rPr>
        <w:t xml:space="preserve"> – Order Modification 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="00E33ABE">
        <w:rPr>
          <w:rFonts w:ascii="Arial" w:hAnsi="Arial" w:cs="Arial"/>
        </w:rPr>
        <w:t>Jun 01</w:t>
      </w:r>
      <w:r w:rsidRPr="003E6E3F">
        <w:rPr>
          <w:rFonts w:ascii="Arial" w:hAnsi="Arial" w:cs="Arial"/>
        </w:rPr>
        <w:t>, 2020</w:t>
      </w:r>
    </w:p>
    <w:p w14:paraId="7C68B001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57351E9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BE31CA9" w14:textId="15A9CCA3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 w:rsidR="00D51618">
        <w:rPr>
          <w:rFonts w:ascii="Arial" w:hAnsi="Arial" w:cs="Arial"/>
        </w:rPr>
        <w:t>Customers can</w:t>
      </w:r>
      <w:r w:rsidR="00E33ABE">
        <w:rPr>
          <w:rFonts w:ascii="Arial" w:hAnsi="Arial" w:cs="Arial"/>
        </w:rPr>
        <w:t>not</w:t>
      </w:r>
      <w:r w:rsidR="00D51618">
        <w:rPr>
          <w:rFonts w:ascii="Arial" w:hAnsi="Arial" w:cs="Arial"/>
        </w:rPr>
        <w:t xml:space="preserve"> add more item</w:t>
      </w:r>
      <w:r w:rsidR="00E33ABE">
        <w:rPr>
          <w:rFonts w:ascii="Arial" w:hAnsi="Arial" w:cs="Arial"/>
        </w:rPr>
        <w:t xml:space="preserve">s, but it </w:t>
      </w:r>
      <w:r w:rsidR="00EB0308">
        <w:rPr>
          <w:rFonts w:ascii="Arial" w:hAnsi="Arial" w:cs="Arial"/>
        </w:rPr>
        <w:t>can</w:t>
      </w:r>
      <w:r w:rsidR="00E33ABE">
        <w:rPr>
          <w:rFonts w:ascii="Arial" w:hAnsi="Arial" w:cs="Arial"/>
        </w:rPr>
        <w:t xml:space="preserve"> modify the quantity of items</w:t>
      </w:r>
      <w:r w:rsidR="00EB0308">
        <w:rPr>
          <w:rFonts w:ascii="Arial" w:hAnsi="Arial" w:cs="Arial"/>
        </w:rPr>
        <w:t xml:space="preserve"> (Order’s quantity must not be 0)</w:t>
      </w:r>
      <w:r w:rsidR="00D51618">
        <w:rPr>
          <w:rFonts w:ascii="Arial" w:hAnsi="Arial" w:cs="Arial"/>
        </w:rPr>
        <w:t>.</w:t>
      </w:r>
    </w:p>
    <w:p w14:paraId="42CF53C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6CD4DE9" w14:textId="2AC4E287" w:rsidR="00A000C4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5E332105" w14:textId="6A869DB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95CB08C" w14:textId="03EDC08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sectPr w:rsidR="00040AAC" w:rsidSect="00B40948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AE2B8" w14:textId="77777777" w:rsidR="002847C1" w:rsidRDefault="002847C1" w:rsidP="00A000C4">
      <w:pPr>
        <w:spacing w:after="0" w:line="240" w:lineRule="auto"/>
      </w:pPr>
      <w:r>
        <w:separator/>
      </w:r>
    </w:p>
  </w:endnote>
  <w:endnote w:type="continuationSeparator" w:id="0">
    <w:p w14:paraId="51439E4A" w14:textId="77777777" w:rsidR="002847C1" w:rsidRDefault="002847C1" w:rsidP="00A0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93D4" w14:textId="3157EAAB" w:rsidR="00A000C4" w:rsidRDefault="00F8058B" w:rsidP="00F8058B">
    <w:pPr>
      <w:pStyle w:val="Footer"/>
    </w:pPr>
    <w:r w:rsidRPr="00F8058B">
      <w:rPr>
        <w:b/>
        <w:bCs/>
      </w:rPr>
      <w:t xml:space="preserve">Version </w:t>
    </w:r>
    <w:r w:rsidR="003946FC">
      <w:rPr>
        <w:b/>
        <w:bCs/>
      </w:rPr>
      <w:t>4</w:t>
    </w:r>
    <w:r>
      <w:tab/>
    </w:r>
    <w:r w:rsidR="00A000C4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6EB2C" w14:textId="77777777" w:rsidR="002847C1" w:rsidRDefault="002847C1" w:rsidP="00A000C4">
      <w:pPr>
        <w:spacing w:after="0" w:line="240" w:lineRule="auto"/>
      </w:pPr>
      <w:r>
        <w:separator/>
      </w:r>
    </w:p>
  </w:footnote>
  <w:footnote w:type="continuationSeparator" w:id="0">
    <w:p w14:paraId="164DCCAC" w14:textId="77777777" w:rsidR="002847C1" w:rsidRDefault="002847C1" w:rsidP="00A0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2633" w14:textId="30C86DDF" w:rsidR="00F70F48" w:rsidRPr="00F70F48" w:rsidRDefault="00F70F48">
    <w:pPr>
      <w:pStyle w:val="Header"/>
      <w:rPr>
        <w:b/>
        <w:bCs/>
      </w:rPr>
    </w:pPr>
    <w:r w:rsidRPr="00F70F48">
      <w:rPr>
        <w:b/>
        <w:bCs/>
      </w:rPr>
      <w:t xml:space="preserve">Version </w:t>
    </w:r>
    <w:r w:rsidR="003946FC">
      <w:rPr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C4"/>
    <w:rsid w:val="00040AAC"/>
    <w:rsid w:val="000F0577"/>
    <w:rsid w:val="002847C1"/>
    <w:rsid w:val="003946FC"/>
    <w:rsid w:val="004234F2"/>
    <w:rsid w:val="004518A8"/>
    <w:rsid w:val="006A5A15"/>
    <w:rsid w:val="006A5C0F"/>
    <w:rsid w:val="007F334A"/>
    <w:rsid w:val="007F6D66"/>
    <w:rsid w:val="008036A8"/>
    <w:rsid w:val="00A000C4"/>
    <w:rsid w:val="00A65E84"/>
    <w:rsid w:val="00B13297"/>
    <w:rsid w:val="00B40948"/>
    <w:rsid w:val="00C33288"/>
    <w:rsid w:val="00D51618"/>
    <w:rsid w:val="00DD4F5C"/>
    <w:rsid w:val="00DF6EDB"/>
    <w:rsid w:val="00E33ABE"/>
    <w:rsid w:val="00EB0308"/>
    <w:rsid w:val="00EE4CDA"/>
    <w:rsid w:val="00F70F48"/>
    <w:rsid w:val="00F76467"/>
    <w:rsid w:val="00F8058B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2E36"/>
  <w15:chartTrackingRefBased/>
  <w15:docId w15:val="{B3D70069-D049-4A4B-813B-10D77B9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A000C4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A000C4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C4"/>
  </w:style>
  <w:style w:type="paragraph" w:styleId="Footer">
    <w:name w:val="footer"/>
    <w:basedOn w:val="Normal"/>
    <w:link w:val="Foot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3FC4-A490-4CD7-8C4D-1F6C98DF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2</cp:revision>
  <dcterms:created xsi:type="dcterms:W3CDTF">2020-05-30T03:33:00Z</dcterms:created>
  <dcterms:modified xsi:type="dcterms:W3CDTF">2020-05-30T03:33:00Z</dcterms:modified>
</cp:coreProperties>
</file>