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line="312" w:lineRule="auto"/>
        <w:jc w:val="center"/>
      </w:pPr>
      <w:r>
        <w:rPr>
          <w:b/>
          <w:i w:val="0"/>
          <w:color w:val="003366"/>
          <w:sz w:val="23"/>
        </w:rPr>
        <w:t>CHƯƠNG TRÌNH CAO HỌC KINH TẾ PHÁT TRIỂN VIỆT NAM – HÀ LAN (MDE)</w:t>
      </w:r>
    </w:p>
    <w:p>
      <w:pPr>
        <w:spacing w:after="240" w:line="312" w:lineRule="auto"/>
        <w:jc w:val="center"/>
      </w:pPr>
      <w:r>
        <w:rPr>
          <w:b/>
          <w:i w:val="0"/>
          <w:color w:val="003366"/>
          <w:sz w:val="22"/>
        </w:rPr>
        <w:t>TRƯỜNG ĐẠI HỌC KINH TẾ QUỐC DÂN</w:t>
      </w:r>
    </w:p>
    <w:p>
      <w:pPr>
        <w:spacing w:after="240" w:line="312" w:lineRule="auto"/>
        <w:jc w:val="center"/>
      </w:pPr>
      <w:r>
        <w:rPr>
          <w:b/>
          <w:i w:val="0"/>
          <w:color w:val="003366"/>
          <w:sz w:val="28"/>
        </w:rPr>
        <w:t>BÁO CÁO TIẾP THU VÀ GIẢI TRÌNH CHỈNH SỬA ĐỀ CƯƠNG</w:t>
        <w:br/>
        <w:t>THEO GÓP Ý CỦA GIẢNG VIÊN HƯỚNG DẪN</w:t>
      </w:r>
    </w:p>
    <w:p>
      <w:pPr>
        <w:spacing w:after="60" w:line="312" w:lineRule="auto"/>
        <w:jc w:val="center"/>
      </w:pPr>
      <w:r>
        <w:rPr>
          <w:b w:val="0"/>
          <w:i/>
          <w:sz w:val="23"/>
        </w:rPr>
        <w:t>Đề tài: Factors Affecting Corporate Customers’ Decision to Choose Bank Guarantee Services at Vietnam Joint Stock Commercial Bank for Industry and Trade (VietinBank)</w:t>
      </w:r>
    </w:p>
    <w:p>
      <w:pPr>
        <w:spacing w:after="20" w:line="312" w:lineRule="auto"/>
        <w:jc w:val="center"/>
      </w:pPr>
      <w:r>
        <w:rPr>
          <w:b w:val="0"/>
          <w:i w:val="0"/>
          <w:sz w:val="23"/>
        </w:rPr>
        <w:t>Học viên: Đặng Tú Linh – Lớp MDE Khóa 31</w:t>
      </w:r>
    </w:p>
    <w:p>
      <w:pPr>
        <w:spacing w:after="20" w:line="312" w:lineRule="auto"/>
        <w:jc w:val="center"/>
      </w:pPr>
      <w:r>
        <w:rPr>
          <w:b w:val="0"/>
          <w:i w:val="0"/>
          <w:sz w:val="23"/>
        </w:rPr>
        <w:t>Giảng viên hướng dẫn: TS. Hoàng Thị Thúy Nga</w:t>
      </w:r>
    </w:p>
    <w:p>
      <w:pPr>
        <w:spacing w:after="280" w:line="312" w:lineRule="auto"/>
        <w:jc w:val="center"/>
      </w:pPr>
      <w:r>
        <w:rPr>
          <w:b w:val="0"/>
          <w:i w:val="0"/>
          <w:sz w:val="23"/>
        </w:rPr>
        <w:t>Hà Nội, tháng 9 năm 2026</w:t>
      </w:r>
    </w:p>
    <w:p>
      <w:pPr>
        <w:spacing w:before="240" w:after="100"/>
      </w:pPr>
      <w:r>
        <w:rPr>
          <w:b/>
          <w:color w:val="003366"/>
          <w:sz w:val="26"/>
        </w:rPr>
        <w:t>I. CÁC NỘI DUNG CÔ ĐÃ PHÊ DUYỆT VÀ ĐƯỢC GIỮ NGUYÊN</w:t>
      </w:r>
    </w:p>
    <w:p>
      <w:pPr>
        <w:spacing w:after="80" w:line="312" w:lineRule="auto"/>
        <w:ind w:left="360"/>
        <w:jc w:val="both"/>
      </w:pPr>
      <w:r>
        <w:rPr>
          <w:b w:val="0"/>
          <w:i w:val="0"/>
          <w:sz w:val="23"/>
        </w:rPr>
        <w:t>• Phương pháp: mô hình hồi quy tuyến tính đa biến (OLS) với biến phụ thuộc đo bằng thang Likert.</w:t>
      </w:r>
    </w:p>
    <w:p>
      <w:pPr>
        <w:spacing w:after="80" w:line="312" w:lineRule="auto"/>
        <w:ind w:left="360"/>
        <w:jc w:val="both"/>
      </w:pPr>
      <w:r>
        <w:rPr>
          <w:b w:val="0"/>
          <w:i w:val="0"/>
          <w:sz w:val="23"/>
        </w:rPr>
        <w:t>• Quy trình phân tích định lượng 7 bước: thống kê mô tả → Cronbach’s Alpha → EFA → trích xuất nhân tố đại diện → tương quan Pearson → kiểm định đa cộng tuyến VIF → hồi quy OLS và kiểm định khác biệt nhóm.</w:t>
      </w:r>
    </w:p>
    <w:p>
      <w:pPr>
        <w:spacing w:after="80" w:line="312" w:lineRule="auto"/>
        <w:ind w:left="360"/>
        <w:jc w:val="both"/>
      </w:pPr>
      <w:r>
        <w:rPr>
          <w:b w:val="0"/>
          <w:i w:val="0"/>
          <w:sz w:val="23"/>
        </w:rPr>
        <w:t>• Bối cảnh và quy mô nghiên cứu: khách hàng doanh nghiệp đang sử dụng dịch vụ bảo lãnh tại 155 chi nhánh VietinBank, cỡ mẫu mục tiêu n = 800.</w:t>
      </w:r>
    </w:p>
    <w:p>
      <w:pPr>
        <w:spacing w:before="240" w:after="100"/>
      </w:pPr>
      <w:r>
        <w:rPr>
          <w:b/>
          <w:color w:val="003366"/>
          <w:sz w:val="26"/>
        </w:rPr>
        <w:t>II. TIẾP THU VÀ XỬ LÝ 05 GÓP Ý CỦA GIẢNG VIÊN HƯỚNG DẪN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val="clear" w:color="auto" w:fill="D9D9D9"/>
          </w:tcPr>
          <w:p>
            <w:pPr>
              <w:spacing w:after="40"/>
              <w:jc w:val="center"/>
            </w:pPr>
            <w:r/>
            <w:r>
              <w:rPr>
                <w:b/>
                <w:sz w:val="20"/>
              </w:rPr>
              <w:t>STT</w:t>
            </w:r>
          </w:p>
        </w:tc>
        <w:tc>
          <w:tcPr>
            <w:tcW w:type="dxa" w:w="2232"/>
            <w:shd w:val="clear" w:color="auto" w:fill="D9D9D9"/>
          </w:tcPr>
          <w:p>
            <w:pPr>
              <w:spacing w:after="40"/>
              <w:jc w:val="center"/>
            </w:pPr>
            <w:r/>
            <w:r>
              <w:rPr>
                <w:b/>
                <w:sz w:val="20"/>
              </w:rPr>
              <w:t>Góp ý của cô</w:t>
            </w:r>
          </w:p>
        </w:tc>
        <w:tc>
          <w:tcPr>
            <w:tcW w:type="dxa" w:w="4320"/>
            <w:shd w:val="clear" w:color="auto" w:fill="D9D9D9"/>
          </w:tcPr>
          <w:p>
            <w:pPr>
              <w:spacing w:after="40"/>
              <w:jc w:val="center"/>
            </w:pPr>
            <w:r/>
            <w:r>
              <w:rPr>
                <w:b/>
                <w:sz w:val="20"/>
              </w:rPr>
              <w:t>Nội dung đã chỉnh sửa</w:t>
            </w:r>
          </w:p>
        </w:tc>
        <w:tc>
          <w:tcPr>
            <w:tcW w:type="dxa" w:w="1800"/>
            <w:shd w:val="clear" w:color="auto" w:fill="D9D9D9"/>
          </w:tcPr>
          <w:p>
            <w:pPr>
              <w:spacing w:after="40"/>
              <w:jc w:val="center"/>
            </w:pPr>
            <w:r/>
            <w:r>
              <w:rPr>
                <w:b/>
                <w:sz w:val="20"/>
              </w:rPr>
              <w:t>Thể hiện tại</w:t>
            </w:r>
          </w:p>
        </w:tc>
      </w:tr>
      <w:tr>
        <w:tc>
          <w:tcPr>
            <w:tcW w:type="dxa" w:w="576"/>
          </w:tcPr>
          <w:p>
            <w:pPr>
              <w:spacing w:after="40"/>
            </w:pPr>
            <w:r/>
            <w:r>
              <w:rPr>
                <w:sz w:val="20"/>
              </w:rPr>
              <w:t>1</w:t>
            </w:r>
          </w:p>
        </w:tc>
        <w:tc>
          <w:tcPr>
            <w:tcW w:type="dxa" w:w="2232"/>
          </w:tcPr>
          <w:p>
            <w:pPr>
              <w:spacing w:after="40"/>
            </w:pPr>
            <w:r/>
            <w:r>
              <w:rPr>
                <w:sz w:val="20"/>
              </w:rPr>
              <w:t>Rút gọn số biến độc lập còn khoảng 6–7 yếu tố đặc trưng; lưu ý Bank Reputation không phải là Reliability trong SERVQUAL.</w:t>
            </w:r>
          </w:p>
        </w:tc>
        <w:tc>
          <w:tcPr>
            <w:tcW w:type="dxa" w:w="4320"/>
          </w:tcPr>
          <w:p>
            <w:pPr>
              <w:spacing w:after="40"/>
            </w:pPr>
            <w:r/>
            <w:r>
              <w:rPr>
                <w:sz w:val="20"/>
              </w:rPr>
              <w:t>Đã rút từ 10 xuống đúng 7 biến độc lập: COST_COMP, PROC_SPEED, DIGITAL_CONV, BANK_REP, RELATIONSHIP, STAFF_QUAL, COLL_POLICY. Uy tín ngân hàng được tách thành cấu trúc độc lập với cơ sở lý thuyết riêng (Diamond, 1984), không xếp vào thành phần Reliability của SERVQUAL.</w:t>
            </w:r>
          </w:p>
        </w:tc>
        <w:tc>
          <w:tcPr>
            <w:tcW w:type="dxa" w:w="1800"/>
          </w:tcPr>
          <w:p>
            <w:pPr>
              <w:spacing w:after="40"/>
            </w:pPr>
            <w:r/>
            <w:r>
              <w:rPr>
                <w:sz w:val="20"/>
              </w:rPr>
              <w:t>Đề cương mục 2.1, 2.3 và Bảng 1</w:t>
            </w:r>
          </w:p>
        </w:tc>
      </w:tr>
      <w:tr>
        <w:tc>
          <w:tcPr>
            <w:tcW w:type="dxa" w:w="576"/>
          </w:tcPr>
          <w:p>
            <w:pPr>
              <w:spacing w:after="40"/>
            </w:pPr>
            <w:r/>
            <w:r>
              <w:rPr>
                <w:sz w:val="20"/>
              </w:rPr>
              <w:t>2</w:t>
            </w:r>
          </w:p>
        </w:tc>
        <w:tc>
          <w:tcPr>
            <w:tcW w:type="dxa" w:w="2232"/>
          </w:tcPr>
          <w:p>
            <w:pPr>
              <w:spacing w:after="40"/>
            </w:pPr>
            <w:r/>
            <w:r>
              <w:rPr>
                <w:sz w:val="20"/>
              </w:rPr>
              <w:t>Thang đo đo mức độ hợp lý và cạnh tranh của phí nhưng giả thuyết lại để dấu âm; nên đổi tên thành Price Competitiveness và kỳ vọng dấu dương.</w:t>
            </w:r>
          </w:p>
        </w:tc>
        <w:tc>
          <w:tcPr>
            <w:tcW w:type="dxa" w:w="4320"/>
          </w:tcPr>
          <w:p>
            <w:pPr>
              <w:spacing w:after="40"/>
            </w:pPr>
            <w:r/>
            <w:r>
              <w:rPr>
                <w:sz w:val="20"/>
              </w:rPr>
              <w:t>Đã đổi tên biến thành COST_COMP (Price Competitiveness) và chuyển dấu kỳ vọng sang dương ở giả thuyết H1 cũng như trong phương trình hồi quy, thống nhất với hướng đo của thang đo (điểm càng cao nghĩa là phí càng hợp lý và cạnh tranh).</w:t>
            </w:r>
          </w:p>
        </w:tc>
        <w:tc>
          <w:tcPr>
            <w:tcW w:type="dxa" w:w="1800"/>
          </w:tcPr>
          <w:p>
            <w:pPr>
              <w:spacing w:after="40"/>
            </w:pPr>
            <w:r/>
            <w:r>
              <w:rPr>
                <w:sz w:val="20"/>
              </w:rPr>
              <w:t>Đề cương mục 2.3 (H1) và Bảng 1</w:t>
            </w:r>
          </w:p>
        </w:tc>
      </w:tr>
      <w:tr>
        <w:tc>
          <w:tcPr>
            <w:tcW w:type="dxa" w:w="576"/>
          </w:tcPr>
          <w:p>
            <w:pPr>
              <w:spacing w:after="40"/>
            </w:pPr>
            <w:r/>
            <w:r>
              <w:rPr>
                <w:sz w:val="20"/>
              </w:rPr>
              <w:t>3</w:t>
            </w:r>
          </w:p>
        </w:tc>
        <w:tc>
          <w:tcPr>
            <w:tcW w:type="dxa" w:w="2232"/>
          </w:tcPr>
          <w:p>
            <w:pPr>
              <w:spacing w:after="40"/>
            </w:pPr>
            <w:r/>
            <w:r>
              <w:rPr>
                <w:sz w:val="20"/>
              </w:rPr>
              <w:t>Rà soát lại biến phụ thuộc DEC: cần đo mức độ ưu tiên lựa chọn VietinBank so với các ngân hàng khác cho khớp tên đề tài.</w:t>
            </w:r>
          </w:p>
        </w:tc>
        <w:tc>
          <w:tcPr>
            <w:tcW w:type="dxa" w:w="4320"/>
          </w:tcPr>
          <w:p>
            <w:pPr>
              <w:spacing w:after="40"/>
            </w:pPr>
            <w:r/>
            <w:r>
              <w:rPr>
                <w:sz w:val="20"/>
              </w:rPr>
              <w:t>Đã thiết kế lại toàn bộ 04 biến quan sát của DEC theo hướng so sánh cạnh tranh, và đặt dưới câu dẫn “so sánh với các ngân hàng khác mà Doanh nghiệp đã hoặc đang cân nhắc”. Bốn chỉ báo lần lượt đo: ưu tiên lựa chọn số một, tỷ trọng bảo lãnh dành cho VietinBank so với ngân hàng khác, ý định tiếp tục thay vì chuyển sang ngân hàng khác, và sẵn sàng giới thiệu cho đối tác.</w:t>
            </w:r>
          </w:p>
        </w:tc>
        <w:tc>
          <w:tcPr>
            <w:tcW w:type="dxa" w:w="1800"/>
          </w:tcPr>
          <w:p>
            <w:pPr>
              <w:spacing w:after="40"/>
            </w:pPr>
            <w:r/>
            <w:r>
              <w:rPr>
                <w:sz w:val="20"/>
              </w:rPr>
              <w:t>Phiếu khảo sát mục VIII; Đề cương mục 3.3 và Bảng 2</w:t>
            </w:r>
          </w:p>
        </w:tc>
      </w:tr>
      <w:tr>
        <w:tc>
          <w:tcPr>
            <w:tcW w:type="dxa" w:w="576"/>
          </w:tcPr>
          <w:p>
            <w:pPr>
              <w:spacing w:after="40"/>
            </w:pPr>
            <w:r/>
            <w:r>
              <w:rPr>
                <w:sz w:val="20"/>
              </w:rPr>
              <w:t>4</w:t>
            </w:r>
          </w:p>
        </w:tc>
        <w:tc>
          <w:tcPr>
            <w:tcW w:type="dxa" w:w="2232"/>
          </w:tcPr>
          <w:p>
            <w:pPr>
              <w:spacing w:after="40"/>
            </w:pPr>
            <w:r/>
            <w:r>
              <w:rPr>
                <w:sz w:val="20"/>
              </w:rPr>
              <w:t>Thang đo phải bám sát bảng hỏi gốc, không tự xây thang đo mới rồi gán vào bộ dữ liệu.</w:t>
            </w:r>
          </w:p>
        </w:tc>
        <w:tc>
          <w:tcPr>
            <w:tcW w:type="dxa" w:w="4320"/>
          </w:tcPr>
          <w:p>
            <w:pPr>
              <w:spacing w:after="40"/>
            </w:pPr>
            <w:r/>
            <w:r>
              <w:rPr>
                <w:sz w:val="20"/>
              </w:rPr>
              <w:t>Đã dựng lại phiếu khảo sát để mỗi nhân tố trong mô hình tương ứng đúng một nhóm câu hỏi: 7 nhân tố × 4 biến quan sát + 4 biến quan sát của DEC = 32 câu. Mã câu hỏi trong phiếu trùng khớp với mã nhân tố trong mô hình, không còn câu hỏi thừa nằm ngoài mô hình và không còn biến nào trong mô hình thiếu câu hỏi tương ứng.</w:t>
            </w:r>
          </w:p>
        </w:tc>
        <w:tc>
          <w:tcPr>
            <w:tcW w:type="dxa" w:w="1800"/>
          </w:tcPr>
          <w:p>
            <w:pPr>
              <w:spacing w:after="40"/>
            </w:pPr>
            <w:r/>
            <w:r>
              <w:rPr>
                <w:sz w:val="20"/>
              </w:rPr>
              <w:t>Phiếu khảo sát Phần II; Đề cương Bảng 1 cột “Items”</w:t>
            </w:r>
          </w:p>
        </w:tc>
      </w:tr>
      <w:tr>
        <w:tc>
          <w:tcPr>
            <w:tcW w:type="dxa" w:w="576"/>
          </w:tcPr>
          <w:p>
            <w:pPr>
              <w:spacing w:after="40"/>
            </w:pPr>
            <w:r/>
            <w:r>
              <w:rPr>
                <w:sz w:val="20"/>
              </w:rPr>
              <w:t>5</w:t>
            </w:r>
          </w:p>
        </w:tc>
        <w:tc>
          <w:tcPr>
            <w:tcW w:type="dxa" w:w="2232"/>
          </w:tcPr>
          <w:p>
            <w:pPr>
              <w:spacing w:after="40"/>
            </w:pPr>
            <w:r/>
            <w:r>
              <w:rPr>
                <w:sz w:val="20"/>
              </w:rPr>
              <w:t>Chuẩn hóa mục tiêu tổng quát và 4 mục tiêu cụ thể bằng tiếng Anh; bổ sung phân tích khác biệt nhóm.</w:t>
            </w:r>
          </w:p>
        </w:tc>
        <w:tc>
          <w:tcPr>
            <w:tcW w:type="dxa" w:w="4320"/>
          </w:tcPr>
          <w:p>
            <w:pPr>
              <w:spacing w:after="40"/>
            </w:pPr>
            <w:r/>
            <w:r>
              <w:rPr>
                <w:sz w:val="20"/>
              </w:rPr>
              <w:t>Đã đưa nguyên văn mục tiêu tổng quát và 4 mục tiêu cụ thể của cô vào đề cương, đồng thời bổ sung mục Câu hỏi nghiên cứu (RQ1–RQ4) tương ứng một–một với bốn mục tiêu. Phân tích khác biệt nhóm được thiết kế thành một mục riêng, với bốn tiêu chí phân nhóm được thu thập sẵn tại Phần I của phiếu khảo sát.</w:t>
            </w:r>
          </w:p>
        </w:tc>
        <w:tc>
          <w:tcPr>
            <w:tcW w:type="dxa" w:w="1800"/>
          </w:tcPr>
          <w:p>
            <w:pPr>
              <w:spacing w:after="40"/>
            </w:pPr>
            <w:r/>
            <w:r>
              <w:rPr>
                <w:sz w:val="20"/>
              </w:rPr>
              <w:t>Đề cương mục 1.2, 1.3, 1.4 và 3.5</w:t>
            </w:r>
          </w:p>
        </w:tc>
      </w:tr>
    </w:tbl>
    <w:p>
      <w:pPr>
        <w:spacing w:before="240" w:after="100"/>
      </w:pPr>
      <w:r>
        <w:rPr>
          <w:b/>
          <w:color w:val="003366"/>
          <w:sz w:val="26"/>
        </w:rPr>
        <w:t>III. GIẢI TRÌNH VIỆC GIỮ LẠI BIẾN CHUYỂN ĐỔI SỐ eFAST (DIGITAL_CONV)</w:t>
      </w:r>
    </w:p>
    <w:p>
      <w:pPr>
        <w:spacing w:after="100" w:line="312" w:lineRule="auto"/>
        <w:jc w:val="both"/>
      </w:pPr>
      <w:r>
        <w:rPr>
          <w:b w:val="0"/>
          <w:i w:val="0"/>
          <w:sz w:val="23"/>
        </w:rPr>
        <w:t>Trong quá trình rút gọn mô hình, học viên xin phép giữ lại biến Chuyển đổi số eFAST với bốn căn cứ:</w:t>
      </w:r>
    </w:p>
    <w:p>
      <w:pPr>
        <w:spacing w:after="100" w:line="312" w:lineRule="auto"/>
        <w:ind w:left="360"/>
        <w:jc w:val="both"/>
      </w:pPr>
      <w:r>
        <w:rPr>
          <w:b w:val="0"/>
          <w:i w:val="0"/>
          <w:sz w:val="23"/>
        </w:rPr>
        <w:t>• Căn cứ pháp lý và tính thời sự: Thông tư 61/2024/TT-NHNN có hiệu lực từ 01/4/2025 đã thiết lập khung pháp lý đầy đủ cho bảo lãnh điện tử, đưa năng lực phát hành trực tuyến từ một tiện ích trở thành công cụ cạnh tranh trực tiếp giữa các ngân hàng.</w:t>
      </w:r>
    </w:p>
    <w:p>
      <w:pPr>
        <w:spacing w:after="100" w:line="312" w:lineRule="auto"/>
        <w:ind w:left="360"/>
        <w:jc w:val="both"/>
      </w:pPr>
      <w:r>
        <w:rPr>
          <w:b w:val="0"/>
          <w:i w:val="0"/>
          <w:sz w:val="23"/>
        </w:rPr>
        <w:t>• Căn cứ lý thuyết: biến được bảo chứng bởi Mô hình Chấp nhận Công nghệ (Davis, 1989; Venkatesh và cộng sự, 2003) thông qua hai cấu trúc tính hữu ích cảm nhận và tính dễ sử dụng.</w:t>
      </w:r>
    </w:p>
    <w:p>
      <w:pPr>
        <w:spacing w:after="100" w:line="312" w:lineRule="auto"/>
        <w:ind w:left="360"/>
        <w:jc w:val="both"/>
      </w:pPr>
      <w:r>
        <w:rPr>
          <w:b w:val="0"/>
          <w:i w:val="0"/>
          <w:sz w:val="23"/>
        </w:rPr>
        <w:t>• Phù hợp khuyến nghị về quy mô mô hình: sau khi giữ lại, mô hình có đúng 7 biến độc lập, nằm trong khoảng 6–7 biến cô đề nghị.</w:t>
      </w:r>
    </w:p>
    <w:p>
      <w:pPr>
        <w:spacing w:after="100" w:line="312" w:lineRule="auto"/>
        <w:ind w:left="360"/>
        <w:jc w:val="both"/>
      </w:pPr>
      <w:r>
        <w:rPr>
          <w:b w:val="0"/>
          <w:i w:val="0"/>
          <w:sz w:val="23"/>
        </w:rPr>
        <w:t>• Khoảng trống nghiên cứu: chưa có mô hình định lượng nào tại Việt Nam kết hợp tính cạnh tranh về phí với mức độ ứng dụng bảo lãnh điện tử trong cùng một phương trình lựa chọn ngân hàng.</w:t>
      </w:r>
    </w:p>
    <w:p>
      <w:pPr>
        <w:spacing w:before="240" w:after="100"/>
      </w:pPr>
      <w:r>
        <w:rPr>
          <w:b/>
          <w:color w:val="003366"/>
          <w:sz w:val="26"/>
        </w:rPr>
        <w:t>IV. GIẢI TRÌNH VIỆC LOẠI BA NHÓM BIẾN KHỎI BẢN THIẾT KẾ CŨ</w:t>
      </w:r>
    </w:p>
    <w:p>
      <w:pPr>
        <w:spacing w:after="100" w:line="312" w:lineRule="auto"/>
        <w:jc w:val="both"/>
      </w:pPr>
      <w:r>
        <w:rPr>
          <w:b w:val="0"/>
          <w:i w:val="0"/>
          <w:sz w:val="23"/>
        </w:rPr>
        <w:t>Bản thiết kế trước có 10 nhóm biến độc lập. Ba nhóm được loại khỏi mô hình và khỏi phiếu khảo sát để đạt đúng khuyến nghị 6–7 biến của cô:</w:t>
      </w:r>
    </w:p>
    <w:tbl>
      <w:tblPr>
        <w:tblStyle w:val="TableGrid"/>
        <w:tblW w:type="auto" w:w="0"/>
        <w:jc w:val="center"/>
        <w:tblLook w:firstColumn="1" w:firstRow="1" w:lastColumn="0" w:lastRow="0" w:noHBand="0" w:noVBand="1" w:val="04A0"/>
      </w:tblPr>
      <w:tblGrid>
        <w:gridCol w:w="4680"/>
        <w:gridCol w:w="4680"/>
      </w:tblGrid>
      <w:tr>
        <w:tc>
          <w:tcPr>
            <w:tcW w:type="dxa" w:w="2736"/>
            <w:shd w:val="clear" w:color="auto" w:fill="D9D9D9"/>
          </w:tcPr>
          <w:p>
            <w:pPr>
              <w:spacing w:after="40"/>
              <w:jc w:val="center"/>
            </w:pPr>
            <w:r/>
            <w:r>
              <w:rPr>
                <w:b/>
                <w:sz w:val="20"/>
              </w:rPr>
              <w:t>Nhóm biến bị loại</w:t>
            </w:r>
          </w:p>
        </w:tc>
        <w:tc>
          <w:tcPr>
            <w:tcW w:type="dxa" w:w="6192"/>
            <w:shd w:val="clear" w:color="auto" w:fill="D9D9D9"/>
          </w:tcPr>
          <w:p>
            <w:pPr>
              <w:spacing w:after="40"/>
              <w:jc w:val="center"/>
            </w:pPr>
            <w:r/>
            <w:r>
              <w:rPr>
                <w:b/>
                <w:sz w:val="20"/>
              </w:rPr>
              <w:t>Lý do loại</w:t>
            </w:r>
          </w:p>
        </w:tc>
      </w:tr>
      <w:tr>
        <w:tc>
          <w:tcPr>
            <w:tcW w:type="dxa" w:w="2736"/>
          </w:tcPr>
          <w:p>
            <w:pPr>
              <w:spacing w:after="40"/>
            </w:pPr>
            <w:r/>
            <w:r>
              <w:rPr>
                <w:sz w:val="20"/>
              </w:rPr>
              <w:t>CUS – Thiết kế giải pháp bảo lãnh theo yêu cầu</w:t>
            </w:r>
          </w:p>
        </w:tc>
        <w:tc>
          <w:tcPr>
            <w:tcW w:type="dxa" w:w="6192"/>
          </w:tcPr>
          <w:p>
            <w:pPr>
              <w:spacing w:after="40"/>
            </w:pPr>
            <w:r/>
            <w:r>
              <w:rPr>
                <w:sz w:val="20"/>
              </w:rPr>
              <w:t>Về khái niệm thuộc thành phần Empathy của SERVQUAL, có nguy cơ trùng lặp và tương quan cao với nhóm Năng lực cán bộ (STAFF_QUAL); hậu thuẫn thực nghiệm mới ở mức định tính.</w:t>
            </w:r>
          </w:p>
        </w:tc>
      </w:tr>
      <w:tr>
        <w:tc>
          <w:tcPr>
            <w:tcW w:type="dxa" w:w="2736"/>
          </w:tcPr>
          <w:p>
            <w:pPr>
              <w:spacing w:after="40"/>
            </w:pPr>
            <w:r/>
            <w:r>
              <w:rPr>
                <w:sz w:val="20"/>
              </w:rPr>
              <w:t>RSK – Tư vấn pháp lý và quản trị rủi ro</w:t>
            </w:r>
          </w:p>
        </w:tc>
        <w:tc>
          <w:tcPr>
            <w:tcW w:type="dxa" w:w="6192"/>
          </w:tcPr>
          <w:p>
            <w:pPr>
              <w:spacing w:after="40"/>
            </w:pPr>
            <w:r/>
            <w:r>
              <w:rPr>
                <w:sz w:val="20"/>
              </w:rPr>
              <w:t>Nội dung cốt lõi (tư vấn điều khoản theo Luật Đấu thầu, Thông tư 61 và URDG 758) đã được đưa vào biến quan sát STAFF2 thuộc nhóm STAFF_QUAL, nên không cần tách thành nhân tố riêng.</w:t>
            </w:r>
          </w:p>
        </w:tc>
      </w:tr>
      <w:tr>
        <w:tc>
          <w:tcPr>
            <w:tcW w:type="dxa" w:w="2736"/>
          </w:tcPr>
          <w:p>
            <w:pPr>
              <w:spacing w:after="40"/>
            </w:pPr>
            <w:r/>
            <w:r>
              <w:rPr>
                <w:sz w:val="20"/>
              </w:rPr>
              <w:t>NET – Mạng lưới ngân hàng đại lý quốc tế</w:t>
            </w:r>
          </w:p>
        </w:tc>
        <w:tc>
          <w:tcPr>
            <w:tcW w:type="dxa" w:w="6192"/>
          </w:tcPr>
          <w:p>
            <w:pPr>
              <w:spacing w:after="40"/>
            </w:pPr>
            <w:r/>
            <w:r>
              <w:rPr>
                <w:sz w:val="20"/>
              </w:rPr>
              <w:t>Chỉ có ý nghĩa với nhóm doanh nghiệp xuất nhập khẩu và FDI, không áp dụng được cho phần lớn mẫu khảo sát; giữ lại sẽ làm loãng mô hình và tạo nhiều giá trị khuyết.</w:t>
            </w:r>
          </w:p>
        </w:tc>
      </w:tr>
    </w:tbl>
    <w:p>
      <w:pPr>
        <w:spacing w:after="160" w:line="312" w:lineRule="auto"/>
        <w:jc w:val="both"/>
      </w:pPr>
      <w:r>
        <w:rPr>
          <w:b w:val="0"/>
          <w:i w:val="0"/>
          <w:sz w:val="23"/>
        </w:rPr>
        <w:t>Việc loại ba nhóm này được thực hiện ngay từ khâu thiết kế phiếu khảo sát, do đó bộ dữ liệu thu về sẽ không chứa biến quan sát nào nằm ngoài mô hình. Đây là cách xử lý triệt để hơn so với việc thu thập rồi loại bỏ ở khâu phân tích.</w:t>
      </w:r>
    </w:p>
    <w:p>
      <w:pPr>
        <w:spacing w:before="240" w:after="100"/>
      </w:pPr>
      <w:r>
        <w:rPr>
          <w:b/>
          <w:color w:val="003366"/>
          <w:sz w:val="26"/>
        </w:rPr>
        <w:t>V. CÁC NỘI DUNG HỌC VIÊN CHỦ ĐỘNG BỔ SUNG THÊM</w:t>
      </w:r>
    </w:p>
    <w:p>
      <w:pPr>
        <w:spacing w:after="100" w:line="312" w:lineRule="auto"/>
        <w:ind w:left="360"/>
        <w:jc w:val="both"/>
      </w:pPr>
      <w:r>
        <w:rPr>
          <w:b w:val="0"/>
          <w:i w:val="0"/>
          <w:sz w:val="23"/>
        </w:rPr>
        <w:t>• Nâng số biến quan sát của mỗi nhân tố từ 3 lên 4 câu. Với 3 câu, nếu phân tích nhân tố khám phá loại một biến quan sát thì nhân tố chỉ còn 2 câu — dưới ngưỡng tối thiểu để định danh, buộc phải giữ lại câu không đạt hoặc bỏ cả nhân tố. Với 4 câu, loại một vẫn còn 3 và mô hình vẫn vững. Việc này không đi ngược khuyến nghị của cô, vì cô yêu cầu rút gọn số biến độc lập chứ không phải số biến quan sát của mỗi biến; tổng phiếu là 32 câu, thời gian trả lời khoảng 7 phút.</w:t>
      </w:r>
    </w:p>
    <w:p>
      <w:pPr>
        <w:spacing w:after="100" w:line="312" w:lineRule="auto"/>
        <w:ind w:left="360"/>
        <w:jc w:val="both"/>
      </w:pPr>
      <w:r>
        <w:rPr>
          <w:b w:val="0"/>
          <w:i w:val="0"/>
          <w:sz w:val="23"/>
        </w:rPr>
        <w:t>• Bổ sung câu hỏi sàng lọc ở đầu phiếu: doanh nghiệp không phát hành thư bảo lãnh nào tại VietinBank trong 12 tháng gần đây sẽ dừng tại đó. Trước đây phiếu không có bước này nên doanh nghiệp không có trải nghiệm thực tế vẫn có thể điền, và toàn bộ đánh giá của họ là phỏng đoán.</w:t>
      </w:r>
    </w:p>
    <w:p>
      <w:pPr>
        <w:spacing w:after="100" w:line="312" w:lineRule="auto"/>
        <w:ind w:left="360"/>
        <w:jc w:val="both"/>
      </w:pPr>
      <w:r>
        <w:rPr>
          <w:b w:val="0"/>
          <w:i w:val="0"/>
          <w:sz w:val="23"/>
        </w:rPr>
        <w:t>• Bổ sung phương án “Chưa sử dụng” cho nhóm câu hỏi về bảo lãnh điện tử eFAST. Doanh nghiệp chưa từng dùng kênh này nếu buộc phải chấm điểm 1–5 thì sẽ đoán, làm nhiễu chính biến DIGITAL_CONV. Tỷ lệ doanh nghiệp chọn phương án này được báo cáo riêng và bản thân nó là một phát hiện có giá trị.</w:t>
      </w:r>
    </w:p>
    <w:p>
      <w:pPr>
        <w:spacing w:after="100" w:line="312" w:lineRule="auto"/>
        <w:ind w:left="360"/>
        <w:jc w:val="both"/>
      </w:pPr>
      <w:r>
        <w:rPr>
          <w:b w:val="0"/>
          <w:i w:val="0"/>
          <w:sz w:val="23"/>
        </w:rPr>
        <w:t>• Bổ sung một câu hỏi đối chứng ở cuối phiếu, đề nghị doanh nghiệp ước tính tỷ trọng giá trị bảo lãnh đặt tại VietinBank trong 12 tháng qua. Câu này không vào mô hình hồi quy mà dùng làm biến tiêu chuẩn: nếu thang đo DEC (đo thái độ) tương quan có ý nghĩa với tỷ trọng thực tế (đo hành vi), đó là bằng chứng thực nghiệm cho thấy thang đo đo đúng thứ cần đo.</w:t>
      </w:r>
    </w:p>
    <w:p>
      <w:pPr>
        <w:spacing w:after="100" w:line="312" w:lineRule="auto"/>
        <w:ind w:left="360"/>
        <w:jc w:val="both"/>
      </w:pPr>
      <w:r>
        <w:rPr>
          <w:b w:val="0"/>
          <w:i w:val="0"/>
          <w:sz w:val="23"/>
        </w:rPr>
        <w:t>• Tách các câu hỏi kép trong bản trước. Ví dụ câu về năng lực tư vấn pháp lý trước đây hỏi cùng lúc về Luật Đấu thầu, Thông tư 61 và thông lệ URDG 758 — doanh nghiệp đồng ý với phần này nhưng không đồng ý với phần kia sẽ buộc phải chọn bừa. Mỗi câu hỏi hiện chỉ đo một nội dung.</w:t>
      </w:r>
    </w:p>
    <w:p>
      <w:pPr>
        <w:spacing w:after="100" w:line="312" w:lineRule="auto"/>
        <w:ind w:left="360"/>
        <w:jc w:val="both"/>
      </w:pPr>
      <w:r>
        <w:rPr>
          <w:b w:val="0"/>
          <w:i w:val="0"/>
          <w:sz w:val="23"/>
        </w:rPr>
        <w:t>• Bổ sung mục Câu hỏi nghiên cứu (RQ1–RQ4) và bộ giả thuyết H1–H7 kèm H8 cho kiểm định khác biệt nhóm, do bản trước chỉ nêu kỳ vọng kết quả mà chưa phát biểu giả thuyết chính thức.</w:t>
      </w:r>
    </w:p>
    <w:p>
      <w:pPr>
        <w:spacing w:after="100" w:line="312" w:lineRule="auto"/>
        <w:ind w:left="360"/>
        <w:jc w:val="both"/>
      </w:pPr>
      <w:r>
        <w:rPr>
          <w:b w:val="0"/>
          <w:i w:val="0"/>
          <w:sz w:val="23"/>
        </w:rPr>
        <w:t>• Bổ sung mục Phạm vi nghiên cứu, xác định rõ đề tài đo mức độ ưu tiên lựa chọn và ý định duy trì trong nhóm khách hàng hiện hữu, không phải mô hình lựa chọn ngân hàng lần đầu của toàn thị trường.</w:t>
      </w:r>
    </w:p>
    <w:p>
      <w:pPr>
        <w:spacing w:after="100" w:line="312" w:lineRule="auto"/>
        <w:ind w:left="360"/>
        <w:jc w:val="both"/>
      </w:pPr>
      <w:r>
        <w:rPr>
          <w:b w:val="0"/>
          <w:i w:val="0"/>
          <w:sz w:val="23"/>
        </w:rPr>
        <w:t>• Thiết kế lại Phần I của phiếu khảo sát để phục vụ kiểm định khác biệt nhóm: tách doanh nghiệp nhà nước và doanh nghiệp FDI thành hai nhóm riêng, và chuyển câu hỏi về loại bảo lãnh sang dạng chọn một phương án để các nhóm loại trừ nhau, bảo đảm điều kiện áp dụng ANOVA một chiều.</w:t>
      </w:r>
    </w:p>
    <w:p>
      <w:pPr>
        <w:spacing w:after="100" w:line="312" w:lineRule="auto"/>
        <w:ind w:left="360"/>
        <w:jc w:val="both"/>
      </w:pPr>
      <w:r>
        <w:rPr>
          <w:b w:val="0"/>
          <w:i w:val="0"/>
          <w:sz w:val="23"/>
        </w:rPr>
        <w:t>• Bổ sung câu hỏi về số ngân hàng mà doanh nghiệp đang sử dụng dịch vụ bảo lãnh, dùng làm biến kiểm soát và làm căn cứ cho cách diễn giải so sánh cạnh tranh.</w:t>
      </w:r>
    </w:p>
    <w:p>
      <w:pPr>
        <w:spacing w:after="100" w:line="312" w:lineRule="auto"/>
        <w:ind w:left="360"/>
        <w:jc w:val="both"/>
      </w:pPr>
      <w:r>
        <w:rPr>
          <w:b w:val="0"/>
          <w:i w:val="0"/>
          <w:sz w:val="23"/>
        </w:rPr>
        <w:t>• Siết ngưỡng kiểm định đa cộng tuyến từ VIF &lt; 5 xuống VIF &lt; 3,0 và nâng ngưỡng Cronbach’s Alpha lên 0,70 theo Hair và cộng sự (2019).</w:t>
      </w:r>
    </w:p>
    <w:p>
      <w:pPr>
        <w:spacing w:after="100" w:line="312" w:lineRule="auto"/>
        <w:ind w:left="360"/>
        <w:jc w:val="both"/>
      </w:pPr>
      <w:r>
        <w:rPr>
          <w:b w:val="0"/>
          <w:i w:val="0"/>
          <w:sz w:val="23"/>
        </w:rPr>
        <w:t>• Rà soát lại toàn bộ danh mục tài liệu tham khảo, loại các tài liệu không được trích dẫn trong thân bài và cập nhật Luật Đấu thầu số 22/2023/QH15 theo văn bản sửa đổi.</w:t>
      </w:r>
    </w:p>
    <w:p>
      <w:pPr>
        <w:spacing w:before="240" w:after="100"/>
      </w:pPr>
      <w:r>
        <w:rPr>
          <w:b/>
          <w:color w:val="003366"/>
          <w:sz w:val="26"/>
        </w:rPr>
        <w:t>VI. CÁC NỘI DUNG HỌC VIÊN XIN Ý KIẾN CỦA CÔ</w:t>
      </w:r>
    </w:p>
    <w:p>
      <w:pPr>
        <w:spacing w:after="100" w:line="312" w:lineRule="auto"/>
        <w:ind w:left="360"/>
        <w:jc w:val="both"/>
      </w:pPr>
      <w:r>
        <w:rPr>
          <w:b w:val="0"/>
          <w:i w:val="0"/>
          <w:sz w:val="23"/>
        </w:rPr>
        <w:t>• Về phạm vi nghiên cứu: do mẫu khảo sát chỉ gồm doanh nghiệp đang sử dụng dịch vụ tại VietinBank, kết quả phản ánh mức độ ưu tiên và ý định duy trì trong nhóm khách hàng hiện hữu chứ chưa giải thích được đầy đủ quyết định lựa chọn ban đầu giữa các ngân hàng. Học viên xin ý kiến cô về việc giới hạn phạm vi theo hướng này, hay cần bổ sung nhóm doanh nghiệp đang sử dụng dịch vụ bảo lãnh tại ngân hàng khác để có nhóm đối chứng.</w:t>
      </w:r>
    </w:p>
    <w:p>
      <w:pPr>
        <w:spacing w:after="100" w:line="312" w:lineRule="auto"/>
        <w:ind w:left="360"/>
        <w:jc w:val="both"/>
      </w:pPr>
      <w:r>
        <w:rPr>
          <w:b w:val="0"/>
          <w:i w:val="0"/>
          <w:sz w:val="23"/>
        </w:rPr>
        <w:t>• Về kế hoạch thu thập dữ liệu: học viên xin báo cáo cô về tiến độ triển khai khảo sát và phương án phân bổ mẫu theo chi nhánh, để bảo đảm cỡ mẫu và cơ cấu mẫu đạt yêu cầu trước khi bước vào phân tích Chương 4.</w:t>
      </w:r>
    </w:p>
    <w:p>
      <w:pPr>
        <w:spacing w:after="100" w:line="312" w:lineRule="auto"/>
        <w:ind w:left="360"/>
        <w:jc w:val="both"/>
      </w:pPr>
      <w:r>
        <w:rPr>
          <w:b w:val="0"/>
          <w:i w:val="0"/>
          <w:sz w:val="23"/>
        </w:rPr>
        <w:t>• Về việc cập nhật văn bản pháp luật: học viên xin được xác nhận lại danh mục đầy đủ các luật sửa đổi, bổ sung Luật Đấu thầu số 22/2023/QH15 tính đến thời điểm nộp luận văn.</w:t>
      </w:r>
    </w:p>
    <w:p>
      <w:pPr>
        <w:spacing w:after="120" w:line="312" w:lineRule="auto"/>
        <w:jc w:val="both"/>
      </w:pPr>
      <w:r>
        <w:rPr>
          <w:b w:val="0"/>
          <w:i/>
          <w:sz w:val="23"/>
        </w:rPr>
        <w:t>Học viên trân trọng cảm ơn những góp ý sâu sắc của cô và kính mong tiếp tục nhận được hướng dẫn của cô trong các bước triển khai tiếp theo.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