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03366"/>
          <w:sz w:val="24"/>
        </w:rPr>
        <w:t>NGÂN HÀNG TMCP CÔNG THƯƠNG VIỆT NAM (VIETINBANK)</w:t>
      </w:r>
    </w:p>
    <w:p>
      <w:pPr>
        <w:spacing w:after="200"/>
        <w:jc w:val="center"/>
        <w:pBdr>
          <w:bottom w:val="single" w:sz="8" w:space="4" w:color="003366"/>
        </w:pBdr>
      </w:pPr>
      <w:r>
        <w:rPr>
          <w:b/>
          <w:color w:val="005599"/>
          <w:sz w:val="22"/>
        </w:rPr>
        <w:t>DỰ ÁN KHẢO SÁT Ý KIẾN KHÁCH HÀNG DOANH NGHIỆP VỀ DỊCH VỤ BẢO LÃNH</w:t>
      </w:r>
    </w:p>
    <w:p/>
    <w:p>
      <w:pPr>
        <w:spacing w:after="80"/>
        <w:jc w:val="center"/>
      </w:pPr>
      <w:r>
        <w:rPr>
          <w:b/>
          <w:color w:val="003366"/>
          <w:sz w:val="30"/>
        </w:rPr>
        <w:t>PHIẾU KHẢO SÁT CHÍNH THỨC</w:t>
      </w:r>
    </w:p>
    <w:p>
      <w:pPr>
        <w:spacing w:after="280"/>
        <w:jc w:val="center"/>
      </w:pPr>
      <w:r>
        <w:rPr>
          <w:b/>
          <w:color w:val="003366"/>
          <w:sz w:val="23"/>
        </w:rPr>
        <w:t>CÁC YẾU TỐ ẢNH HƯỞNG ĐẾN QUYẾT ĐỊNH LỰA CHỌN SẢN PHẨM BẢO LÃNH NGÂN HÀNG CỦA CÁC DOANH NGHIỆP TẠI VIETINBANK</w:t>
      </w:r>
    </w:p>
    <w:p>
      <w:pPr>
        <w:spacing w:after="80"/>
      </w:pPr>
      <w:r>
        <w:rPr>
          <w:b/>
          <w:i/>
        </w:rPr>
        <w:t>Kính gửi: Quý Doanh nghiệp,</w:t>
      </w:r>
    </w:p>
    <w:p>
      <w:pPr>
        <w:spacing w:line="276" w:lineRule="auto" w:after="80"/>
        <w:jc w:val="both"/>
      </w:pPr>
      <w:r>
        <w:rPr>
          <w:i/>
        </w:rPr>
        <w:t>Nhằm nâng cao chất lượng dịch vụ, tối ưu hóa quy trình và thiết kế các gói sản phẩm bảo lãnh đáp ứng tốt nhất nhu cầu của Quý Doanh nghiệp, VietinBank tiến hành cuộc khảo sát này. Kính mong Quý Doanh nghiệp dành chút thời gian quý báu để đưa ra những đánh giá khách quan.</w:t>
      </w:r>
    </w:p>
    <w:p>
      <w:pPr>
        <w:spacing w:line="276" w:lineRule="auto" w:after="80"/>
        <w:jc w:val="both"/>
      </w:pPr>
      <w:r>
        <w:rPr>
          <w:i/>
        </w:rPr>
        <w:t>VietinBank cam kết toàn bộ thông tin do Quý Doanh nghiệp cung cấp sẽ được giữ bí mật tuyệt đối và chỉ sử dụng cho mục đích phân tích tổng hợp.</w:t>
      </w:r>
    </w:p>
    <w:p>
      <w:pPr>
        <w:spacing w:after="280"/>
      </w:pPr>
      <w:r>
        <w:rPr>
          <w:b/>
          <w:i/>
        </w:rPr>
        <w:t>Xin chân thành cảm ơn sự hợp tác của Quý Doanh nghiệp!</w:t>
      </w:r>
    </w:p>
    <w:p>
      <w:r>
        <w:rPr>
          <w:b/>
          <w:color w:val="003366"/>
          <w:sz w:val="24"/>
        </w:rPr>
        <w:t>PHẦN I: THÔNG TIN CHUNG VỀ DOANH NGHIỆP</w:t>
      </w:r>
    </w:p>
    <w:p>
      <w:pPr>
        <w:spacing w:after="40"/>
      </w:pPr>
      <w:r>
        <w:rPr>
          <w:b/>
        </w:rPr>
        <w:t>1. Loại hình Doanh nghiệp:</w:t>
      </w:r>
    </w:p>
    <w:p>
      <w:pPr>
        <w:spacing w:after="120"/>
        <w:ind w:left="432"/>
      </w:pPr>
      <w:r>
        <w:t>[  ] DNTN / Công ty TNHH   [  ] Công ty Cổ phần   [  ] Doanh nghiệp Nhà nước / FDI   [  ] Loại hình khác</w:t>
      </w:r>
    </w:p>
    <w:p>
      <w:pPr>
        <w:spacing w:after="40"/>
      </w:pPr>
      <w:r>
        <w:rPr>
          <w:b/>
        </w:rPr>
        <w:t>2. Quy mô Doanh thu trung bình hằng năm:</w:t>
      </w:r>
    </w:p>
    <w:p>
      <w:pPr>
        <w:spacing w:after="120"/>
        <w:ind w:left="432"/>
      </w:pPr>
      <w:r>
        <w:t>[  ] Dưới 20 tỷ VNĐ   [  ] Từ 20 đến 100 tỷ VNĐ   [  ] Từ 100 đến 500 tỷ VNĐ   [  ] Trên 500 tỷ VNĐ</w:t>
      </w:r>
    </w:p>
    <w:p>
      <w:pPr>
        <w:spacing w:after="40"/>
      </w:pPr>
      <w:r>
        <w:rPr>
          <w:b/>
        </w:rPr>
        <w:t>3. Thâm niên hoạt động của Doanh nghiệp:</w:t>
      </w:r>
    </w:p>
    <w:p>
      <w:pPr>
        <w:spacing w:after="120"/>
        <w:ind w:left="432"/>
      </w:pPr>
      <w:r>
        <w:t>[  ] Dưới 3 năm   [  ] Từ 3 đến 5 năm   [  ] Từ 5 đến 10 năm   [  ] Trên 10 năm</w:t>
      </w:r>
    </w:p>
    <w:p>
      <w:pPr>
        <w:spacing w:after="40"/>
      </w:pPr>
      <w:r>
        <w:rPr>
          <w:b/>
        </w:rPr>
        <w:t>4. Loại hình Bảo lãnh thường xuyên sử dụng tại VietinBank (Có thể chọn nhiều mục):</w:t>
      </w:r>
    </w:p>
    <w:p>
      <w:pPr>
        <w:spacing w:after="120"/>
        <w:ind w:left="432"/>
      </w:pPr>
      <w:r>
        <w:t>[  ] Bảo lãnh dự thầu (TG)   [  ] Bảo lãnh thực hiện hợp đồng (PG)   [  ] Bảo lãnh tạm ứng / thanh toán (BG)   [  ] Bảo lãnh bảo hành / Tái bảo lãnh (RG)</w:t>
      </w:r>
    </w:p>
    <w:p>
      <w:pPr>
        <w:spacing w:after="40"/>
      </w:pPr>
      <w:r>
        <w:rPr>
          <w:b/>
        </w:rPr>
        <w:t>5. Chức danh / Vị trí của Người đại diện trả lời phiếu:</w:t>
      </w:r>
    </w:p>
    <w:p>
      <w:pPr>
        <w:spacing w:after="120"/>
        <w:ind w:left="432"/>
      </w:pPr>
      <w:r>
        <w:t>[  ] Ban Giám đốc / CFO   [  ] Kế toán trưởng / Trưởng phòng Tài chính   [  ] Trưởng phòng Thầu / Mua hàng   [  ] Chuyên viên phụ trách bảo lãnh</w:t>
      </w:r>
    </w:p>
    <w:p/>
    <w:p>
      <w:r>
        <w:rPr>
          <w:b/>
          <w:color w:val="003366"/>
          <w:sz w:val="24"/>
        </w:rPr>
        <w:t>PHẦN II: NỘI DUNG ĐÁNH GIÁ (THANG ĐO LIKERT 5 MỨC ĐỘ)</w:t>
      </w:r>
    </w:p>
    <w:p>
      <w:pPr>
        <w:spacing w:after="200"/>
      </w:pPr>
      <w:r>
        <w:rPr>
          <w:i/>
          <w:sz w:val="20"/>
        </w:rPr>
        <w:t>Quy ước mức độ đánh giá: 1 – Hoàn toàn không đồng ý  |  2 – Không đồng ý  |  3 – Phân vân / Trung lập  |  4 – Đồng ý  |  5 – Hoàn toàn đồng ý</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152"/>
            <w:tcMar>
              <w:top w:w="140" w:type="dxa"/>
              <w:bottom w:w="140" w:type="dxa"/>
              <w:left w:w="100" w:type="dxa"/>
              <w:right w:w="100" w:type="dxa"/>
            </w:tcMar>
            <w:shd w:val="clear" w:color="auto" w:fill="003366"/>
          </w:tcPr>
          <w:p>
            <w:pPr>
              <w:jc w:val="center"/>
            </w:pPr>
            <w:r>
              <w:rPr>
                <w:b/>
                <w:color w:val="FFFFFF"/>
                <w:sz w:val="20"/>
              </w:rPr>
              <w:t>Mã biến</w:t>
            </w:r>
          </w:p>
        </w:tc>
        <w:tc>
          <w:tcPr>
            <w:tcW w:type="dxa" w:w="5904"/>
            <w:tcMar>
              <w:top w:w="140" w:type="dxa"/>
              <w:bottom w:w="140" w:type="dxa"/>
              <w:left w:w="100" w:type="dxa"/>
              <w:right w:w="100" w:type="dxa"/>
            </w:tcMar>
            <w:shd w:val="clear" w:color="auto" w:fill="003366"/>
          </w:tcPr>
          <w:p>
            <w:pPr>
              <w:jc w:val="center"/>
            </w:pPr>
            <w:r>
              <w:rPr>
                <w:b/>
                <w:color w:val="FFFFFF"/>
                <w:sz w:val="20"/>
              </w:rPr>
              <w:t>Nội dung phát biểu đánh giá</w:t>
            </w:r>
          </w:p>
        </w:tc>
        <w:tc>
          <w:tcPr>
            <w:tcW w:type="dxa" w:w="504"/>
            <w:tcMar>
              <w:top w:w="140" w:type="dxa"/>
              <w:bottom w:w="140" w:type="dxa"/>
              <w:left w:w="100" w:type="dxa"/>
              <w:right w:w="100" w:type="dxa"/>
            </w:tcMar>
            <w:shd w:val="clear" w:color="auto" w:fill="003366"/>
          </w:tcPr>
          <w:p>
            <w:pPr>
              <w:jc w:val="center"/>
            </w:pPr>
            <w:r>
              <w:rPr>
                <w:b/>
                <w:color w:val="FFFFFF"/>
                <w:sz w:val="20"/>
              </w:rPr>
              <w:t>1</w:t>
            </w:r>
          </w:p>
        </w:tc>
        <w:tc>
          <w:tcPr>
            <w:tcW w:type="dxa" w:w="504"/>
            <w:tcMar>
              <w:top w:w="140" w:type="dxa"/>
              <w:bottom w:w="140" w:type="dxa"/>
              <w:left w:w="100" w:type="dxa"/>
              <w:right w:w="100" w:type="dxa"/>
            </w:tcMar>
            <w:shd w:val="clear" w:color="auto" w:fill="003366"/>
          </w:tcPr>
          <w:p>
            <w:pPr>
              <w:jc w:val="center"/>
            </w:pPr>
            <w:r>
              <w:rPr>
                <w:b/>
                <w:color w:val="FFFFFF"/>
                <w:sz w:val="20"/>
              </w:rPr>
              <w:t>2</w:t>
            </w:r>
          </w:p>
        </w:tc>
        <w:tc>
          <w:tcPr>
            <w:tcW w:type="dxa" w:w="504"/>
            <w:tcMar>
              <w:top w:w="140" w:type="dxa"/>
              <w:bottom w:w="140" w:type="dxa"/>
              <w:left w:w="100" w:type="dxa"/>
              <w:right w:w="100" w:type="dxa"/>
            </w:tcMar>
            <w:shd w:val="clear" w:color="auto" w:fill="003366"/>
          </w:tcPr>
          <w:p>
            <w:pPr>
              <w:jc w:val="center"/>
            </w:pPr>
            <w:r>
              <w:rPr>
                <w:b/>
                <w:color w:val="FFFFFF"/>
                <w:sz w:val="20"/>
              </w:rPr>
              <w:t>3</w:t>
            </w:r>
          </w:p>
        </w:tc>
        <w:tc>
          <w:tcPr>
            <w:tcW w:type="dxa" w:w="504"/>
            <w:tcMar>
              <w:top w:w="140" w:type="dxa"/>
              <w:bottom w:w="140" w:type="dxa"/>
              <w:left w:w="100" w:type="dxa"/>
              <w:right w:w="100" w:type="dxa"/>
            </w:tcMar>
            <w:shd w:val="clear" w:color="auto" w:fill="003366"/>
          </w:tcPr>
          <w:p>
            <w:pPr>
              <w:jc w:val="center"/>
            </w:pPr>
            <w:r>
              <w:rPr>
                <w:b/>
                <w:color w:val="FFFFFF"/>
                <w:sz w:val="20"/>
              </w:rPr>
              <w:t>4</w:t>
            </w:r>
          </w:p>
        </w:tc>
        <w:tc>
          <w:tcPr>
            <w:tcW w:type="dxa" w:w="504"/>
            <w:tcMar>
              <w:top w:w="140" w:type="dxa"/>
              <w:bottom w:w="140" w:type="dxa"/>
              <w:left w:w="100" w:type="dxa"/>
              <w:right w:w="100" w:type="dxa"/>
            </w:tcMar>
            <w:shd w:val="clear" w:color="auto" w:fill="003366"/>
          </w:tcPr>
          <w:p>
            <w:pPr>
              <w:jc w:val="center"/>
            </w:pPr>
            <w:r>
              <w:rPr>
                <w:b/>
                <w:color w:val="FFFFFF"/>
                <w:sz w:val="20"/>
              </w:rPr>
              <w:t>5</w:t>
            </w:r>
          </w:p>
        </w:tc>
      </w:tr>
      <w:tr>
        <w:tc>
          <w:tcPr>
            <w:tcW w:type="dxa" w:w="9359"/>
            <w:gridSpan w:val="7"/>
            <w:tcMar>
              <w:top w:w="100" w:type="dxa"/>
              <w:bottom w:w="100" w:type="dxa"/>
              <w:left w:w="120" w:type="dxa"/>
              <w:right w:w="120" w:type="dxa"/>
            </w:tcMar>
            <w:shd w:val="clear" w:color="auto" w:fill="E6F0FA"/>
          </w:tcPr>
          <w:p>
            <w:r>
              <w:rPr>
                <w:b/>
                <w:color w:val="003366"/>
                <w:sz w:val="21"/>
              </w:rPr>
              <w:t>A. CÁC YẾU TỐ ĐỘC LẬP (CÁC TIÊU CHÍ CHẤT LƯỢNG DỊCH VỤ)</w:t>
            </w:r>
          </w:p>
        </w:tc>
      </w:tr>
      <w:tr>
        <w:tc>
          <w:tcPr>
            <w:tcW w:type="dxa" w:w="9359"/>
            <w:gridSpan w:val="7"/>
            <w:tcMar>
              <w:top w:w="80" w:type="dxa"/>
              <w:bottom w:w="80" w:type="dxa"/>
              <w:left w:w="120" w:type="dxa"/>
              <w:right w:w="120" w:type="dxa"/>
            </w:tcMar>
            <w:shd w:val="clear" w:color="auto" w:fill="F4F4F4"/>
          </w:tcPr>
          <w:p>
            <w:r>
              <w:rPr>
                <w:b/>
                <w:sz w:val="20"/>
              </w:rPr>
              <w:t>I. Chi phí &amp; Biểu phí bảo lãnh (COST)</w:t>
            </w:r>
          </w:p>
        </w:tc>
      </w:tr>
      <w:tr>
        <w:tc>
          <w:tcPr>
            <w:tcW w:type="dxa" w:w="1152"/>
            <w:tcMar>
              <w:top w:w="80" w:type="dxa"/>
              <w:bottom w:w="80" w:type="dxa"/>
              <w:left w:w="100" w:type="dxa"/>
              <w:right w:w="100" w:type="dxa"/>
            </w:tcMar>
          </w:tcPr>
          <w:p>
            <w:pPr>
              <w:jc w:val="center"/>
            </w:pPr>
            <w:r>
              <w:rPr>
                <w:b/>
              </w:rPr>
              <w:t>COST1</w:t>
            </w:r>
          </w:p>
        </w:tc>
        <w:tc>
          <w:tcPr>
            <w:tcW w:type="dxa" w:w="5904"/>
            <w:tcMar>
              <w:top w:w="80" w:type="dxa"/>
              <w:bottom w:w="80" w:type="dxa"/>
              <w:left w:w="100" w:type="dxa"/>
              <w:right w:w="100" w:type="dxa"/>
            </w:tcMar>
          </w:tcPr>
          <w:p>
            <w:pPr>
              <w:spacing w:line="276" w:lineRule="auto"/>
              <w:jc w:val="both"/>
            </w:pPr>
            <w:r>
              <w:t>Mức phí phát hành bảo lãnh tại VietinBank là hợp lý so với chất lượng dịch vụ nhận được.</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r>
      <w:tr>
        <w:tc>
          <w:tcPr>
            <w:tcW w:type="dxa" w:w="1152"/>
            <w:tcMar>
              <w:top w:w="80" w:type="dxa"/>
              <w:bottom w:w="80" w:type="dxa"/>
              <w:left w:w="100" w:type="dxa"/>
              <w:right w:w="100" w:type="dxa"/>
            </w:tcMar>
          </w:tcPr>
          <w:p>
            <w:pPr>
              <w:jc w:val="center"/>
            </w:pPr>
            <w:r>
              <w:rPr>
                <w:b/>
              </w:rPr>
              <w:t>COST2</w:t>
            </w:r>
          </w:p>
        </w:tc>
        <w:tc>
          <w:tcPr>
            <w:tcW w:type="dxa" w:w="5904"/>
            <w:tcMar>
              <w:top w:w="80" w:type="dxa"/>
              <w:bottom w:w="80" w:type="dxa"/>
              <w:left w:w="100" w:type="dxa"/>
              <w:right w:w="100" w:type="dxa"/>
            </w:tcMar>
          </w:tcPr>
          <w:p>
            <w:pPr>
              <w:spacing w:line="276" w:lineRule="auto"/>
              <w:jc w:val="both"/>
            </w:pPr>
            <w:r>
              <w:t>Biểu phí bảo lãnh của VietinBank có tính cạnh tranh cao so với các ngân hàng thương mại khác.</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r>
      <w:tr>
        <w:tc>
          <w:tcPr>
            <w:tcW w:type="dxa" w:w="1152"/>
            <w:tcMar>
              <w:top w:w="80" w:type="dxa"/>
              <w:bottom w:w="80" w:type="dxa"/>
              <w:left w:w="100" w:type="dxa"/>
              <w:right w:w="100" w:type="dxa"/>
            </w:tcMar>
          </w:tcPr>
          <w:p>
            <w:pPr>
              <w:jc w:val="center"/>
            </w:pPr>
            <w:r>
              <w:rPr>
                <w:b/>
              </w:rPr>
              <w:t>COST3</w:t>
            </w:r>
          </w:p>
        </w:tc>
        <w:tc>
          <w:tcPr>
            <w:tcW w:type="dxa" w:w="5904"/>
            <w:tcMar>
              <w:top w:w="80" w:type="dxa"/>
              <w:bottom w:w="80" w:type="dxa"/>
              <w:left w:w="100" w:type="dxa"/>
              <w:right w:w="100" w:type="dxa"/>
            </w:tcMar>
          </w:tcPr>
          <w:p>
            <w:pPr>
              <w:spacing w:line="276" w:lineRule="auto"/>
              <w:jc w:val="both"/>
            </w:pPr>
            <w:r>
              <w:t>VietinBank có chính sách ưu đãi và giảm phí bảo lãnh linh hoạt cho các khách hàng thường xuyên.</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r>
      <w:tr>
        <w:tc>
          <w:tcPr>
            <w:tcW w:type="dxa" w:w="9359"/>
            <w:gridSpan w:val="7"/>
            <w:tcMar>
              <w:top w:w="80" w:type="dxa"/>
              <w:bottom w:w="80" w:type="dxa"/>
              <w:left w:w="120" w:type="dxa"/>
              <w:right w:w="120" w:type="dxa"/>
            </w:tcMar>
            <w:shd w:val="clear" w:color="auto" w:fill="F4F4F4"/>
          </w:tcPr>
          <w:p>
            <w:r>
              <w:rPr>
                <w:b/>
                <w:sz w:val="20"/>
              </w:rPr>
              <w:t>II. Yêu cầu Tài sản đảm bảo &amp; Tỷ lệ Ký quỹ (COL)</w:t>
            </w:r>
          </w:p>
        </w:tc>
      </w:tr>
      <w:tr>
        <w:tc>
          <w:tcPr>
            <w:tcW w:type="dxa" w:w="1152"/>
            <w:tcMar>
              <w:top w:w="80" w:type="dxa"/>
              <w:bottom w:w="80" w:type="dxa"/>
              <w:left w:w="100" w:type="dxa"/>
              <w:right w:w="100" w:type="dxa"/>
            </w:tcMar>
          </w:tcPr>
          <w:p>
            <w:pPr>
              <w:jc w:val="center"/>
            </w:pPr>
            <w:r>
              <w:rPr>
                <w:b/>
              </w:rPr>
              <w:t>COL1</w:t>
            </w:r>
          </w:p>
        </w:tc>
        <w:tc>
          <w:tcPr>
            <w:tcW w:type="dxa" w:w="5904"/>
            <w:tcMar>
              <w:top w:w="80" w:type="dxa"/>
              <w:bottom w:w="80" w:type="dxa"/>
              <w:left w:w="100" w:type="dxa"/>
              <w:right w:w="100" w:type="dxa"/>
            </w:tcMar>
          </w:tcPr>
          <w:p>
            <w:pPr>
              <w:spacing w:line="276" w:lineRule="auto"/>
              <w:jc w:val="both"/>
            </w:pPr>
            <w:r>
              <w:t>VietinBank áp dụng tỷ lệ ký quỹ bảo lãnh linh hoạt (có chính sách giảm hoặc miễn ký quỹ).</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r>
      <w:tr>
        <w:tc>
          <w:tcPr>
            <w:tcW w:type="dxa" w:w="1152"/>
            <w:tcMar>
              <w:top w:w="80" w:type="dxa"/>
              <w:bottom w:w="80" w:type="dxa"/>
              <w:left w:w="100" w:type="dxa"/>
              <w:right w:w="100" w:type="dxa"/>
            </w:tcMar>
          </w:tcPr>
          <w:p>
            <w:pPr>
              <w:jc w:val="center"/>
            </w:pPr>
            <w:r>
              <w:rPr>
                <w:b/>
              </w:rPr>
              <w:t>COL2</w:t>
            </w:r>
          </w:p>
        </w:tc>
        <w:tc>
          <w:tcPr>
            <w:tcW w:type="dxa" w:w="5904"/>
            <w:tcMar>
              <w:top w:w="80" w:type="dxa"/>
              <w:bottom w:w="80" w:type="dxa"/>
              <w:left w:w="100" w:type="dxa"/>
              <w:right w:w="100" w:type="dxa"/>
            </w:tcMar>
          </w:tcPr>
          <w:p>
            <w:pPr>
              <w:spacing w:line="276" w:lineRule="auto"/>
              <w:jc w:val="both"/>
            </w:pPr>
            <w:r>
              <w:t>VietinBank chấp nhận đa dạng các loại tài sản đảm bảo (BĐS, máy móc, dòng tiền hợp đồng...).</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r>
      <w:tr>
        <w:tc>
          <w:tcPr>
            <w:tcW w:type="dxa" w:w="1152"/>
            <w:tcMar>
              <w:top w:w="80" w:type="dxa"/>
              <w:bottom w:w="80" w:type="dxa"/>
              <w:left w:w="100" w:type="dxa"/>
              <w:right w:w="100" w:type="dxa"/>
            </w:tcMar>
          </w:tcPr>
          <w:p>
            <w:pPr>
              <w:jc w:val="center"/>
            </w:pPr>
            <w:r>
              <w:rPr>
                <w:b/>
              </w:rPr>
              <w:t>COL3</w:t>
            </w:r>
          </w:p>
        </w:tc>
        <w:tc>
          <w:tcPr>
            <w:tcW w:type="dxa" w:w="5904"/>
            <w:tcMar>
              <w:top w:w="80" w:type="dxa"/>
              <w:bottom w:w="80" w:type="dxa"/>
              <w:left w:w="100" w:type="dxa"/>
              <w:right w:w="100" w:type="dxa"/>
            </w:tcMar>
          </w:tcPr>
          <w:p>
            <w:pPr>
              <w:spacing w:line="276" w:lineRule="auto"/>
              <w:jc w:val="both"/>
            </w:pPr>
            <w:r>
              <w:t>Thủ tục định giá và thế chấp tài sản đảm bảo tại VietinBank được thực hiện nhanh chóng, thuận tiện.</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r>
      <w:tr>
        <w:tc>
          <w:tcPr>
            <w:tcW w:type="dxa" w:w="9359"/>
            <w:gridSpan w:val="7"/>
            <w:tcMar>
              <w:top w:w="80" w:type="dxa"/>
              <w:bottom w:w="80" w:type="dxa"/>
              <w:left w:w="120" w:type="dxa"/>
              <w:right w:w="120" w:type="dxa"/>
            </w:tcMar>
            <w:shd w:val="clear" w:color="auto" w:fill="F4F4F4"/>
          </w:tcPr>
          <w:p>
            <w:r>
              <w:rPr>
                <w:b/>
                <w:sz w:val="20"/>
              </w:rPr>
              <w:t>III. Thời gian &amp; Tốc độ xử lý hồ sơ (SPE)</w:t>
            </w:r>
          </w:p>
        </w:tc>
      </w:tr>
      <w:tr>
        <w:tc>
          <w:tcPr>
            <w:tcW w:type="dxa" w:w="1152"/>
            <w:tcMar>
              <w:top w:w="80" w:type="dxa"/>
              <w:bottom w:w="80" w:type="dxa"/>
              <w:left w:w="100" w:type="dxa"/>
              <w:right w:w="100" w:type="dxa"/>
            </w:tcMar>
          </w:tcPr>
          <w:p>
            <w:pPr>
              <w:jc w:val="center"/>
            </w:pPr>
            <w:r>
              <w:rPr>
                <w:b/>
              </w:rPr>
              <w:t>SPE1</w:t>
            </w:r>
          </w:p>
        </w:tc>
        <w:tc>
          <w:tcPr>
            <w:tcW w:type="dxa" w:w="5904"/>
            <w:tcMar>
              <w:top w:w="80" w:type="dxa"/>
              <w:bottom w:w="80" w:type="dxa"/>
              <w:left w:w="100" w:type="dxa"/>
              <w:right w:w="100" w:type="dxa"/>
            </w:tcMar>
          </w:tcPr>
          <w:p>
            <w:pPr>
              <w:spacing w:line="276" w:lineRule="auto"/>
              <w:jc w:val="both"/>
            </w:pPr>
            <w:r>
              <w:t>Thời gian thẩm định và phê duyệt hạn mức bảo lãnh tại VietinBank rất nhanh chóng.</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r>
      <w:tr>
        <w:tc>
          <w:tcPr>
            <w:tcW w:type="dxa" w:w="1152"/>
            <w:tcMar>
              <w:top w:w="80" w:type="dxa"/>
              <w:bottom w:w="80" w:type="dxa"/>
              <w:left w:w="100" w:type="dxa"/>
              <w:right w:w="100" w:type="dxa"/>
            </w:tcMar>
          </w:tcPr>
          <w:p>
            <w:pPr>
              <w:jc w:val="center"/>
            </w:pPr>
            <w:r>
              <w:rPr>
                <w:b/>
              </w:rPr>
              <w:t>SPE2</w:t>
            </w:r>
          </w:p>
        </w:tc>
        <w:tc>
          <w:tcPr>
            <w:tcW w:type="dxa" w:w="5904"/>
            <w:tcMar>
              <w:top w:w="80" w:type="dxa"/>
              <w:bottom w:w="80" w:type="dxa"/>
              <w:left w:w="100" w:type="dxa"/>
              <w:right w:w="100" w:type="dxa"/>
            </w:tcMar>
          </w:tcPr>
          <w:p>
            <w:pPr>
              <w:spacing w:line="276" w:lineRule="auto"/>
              <w:jc w:val="both"/>
            </w:pPr>
            <w:r>
              <w:t>Quy trình thủ tục hồ sơ đề nghị cấp bảo lãnh tại VietinBank được đơn giản hóa tối đa.</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r>
      <w:tr>
        <w:tc>
          <w:tcPr>
            <w:tcW w:type="dxa" w:w="1152"/>
            <w:tcMar>
              <w:top w:w="80" w:type="dxa"/>
              <w:bottom w:w="80" w:type="dxa"/>
              <w:left w:w="100" w:type="dxa"/>
              <w:right w:w="100" w:type="dxa"/>
            </w:tcMar>
          </w:tcPr>
          <w:p>
            <w:pPr>
              <w:jc w:val="center"/>
            </w:pPr>
            <w:r>
              <w:rPr>
                <w:b/>
              </w:rPr>
              <w:t>SPE3</w:t>
            </w:r>
          </w:p>
        </w:tc>
        <w:tc>
          <w:tcPr>
            <w:tcW w:type="dxa" w:w="5904"/>
            <w:tcMar>
              <w:top w:w="80" w:type="dxa"/>
              <w:bottom w:w="80" w:type="dxa"/>
              <w:left w:w="100" w:type="dxa"/>
              <w:right w:w="100" w:type="dxa"/>
            </w:tcMar>
          </w:tcPr>
          <w:p>
            <w:pPr>
              <w:spacing w:line="276" w:lineRule="auto"/>
              <w:jc w:val="both"/>
            </w:pPr>
            <w:r>
              <w:t>Thời gian từ khi nộp đủ hồ sơ đến khi nhận Thư bảo lãnh gốc đáp ứng kịp thời tiến độ hợp đồng.</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r>
      <w:tr>
        <w:tc>
          <w:tcPr>
            <w:tcW w:type="dxa" w:w="9359"/>
            <w:gridSpan w:val="7"/>
            <w:tcMar>
              <w:top w:w="80" w:type="dxa"/>
              <w:bottom w:w="80" w:type="dxa"/>
              <w:left w:w="120" w:type="dxa"/>
              <w:right w:w="120" w:type="dxa"/>
            </w:tcMar>
            <w:shd w:val="clear" w:color="auto" w:fill="F4F4F4"/>
          </w:tcPr>
          <w:p>
            <w:r>
              <w:rPr>
                <w:b/>
                <w:sz w:val="20"/>
              </w:rPr>
              <w:t>IV. Uy tín &amp; Thương hiệu VietinBank (REP)</w:t>
            </w:r>
          </w:p>
        </w:tc>
      </w:tr>
      <w:tr>
        <w:tc>
          <w:tcPr>
            <w:tcW w:type="dxa" w:w="1152"/>
            <w:tcMar>
              <w:top w:w="80" w:type="dxa"/>
              <w:bottom w:w="80" w:type="dxa"/>
              <w:left w:w="100" w:type="dxa"/>
              <w:right w:w="100" w:type="dxa"/>
            </w:tcMar>
          </w:tcPr>
          <w:p>
            <w:pPr>
              <w:jc w:val="center"/>
            </w:pPr>
            <w:r>
              <w:rPr>
                <w:b/>
              </w:rPr>
              <w:t>REP1</w:t>
            </w:r>
          </w:p>
        </w:tc>
        <w:tc>
          <w:tcPr>
            <w:tcW w:type="dxa" w:w="5904"/>
            <w:tcMar>
              <w:top w:w="80" w:type="dxa"/>
              <w:bottom w:w="80" w:type="dxa"/>
              <w:left w:w="100" w:type="dxa"/>
              <w:right w:w="100" w:type="dxa"/>
            </w:tcMar>
          </w:tcPr>
          <w:p>
            <w:pPr>
              <w:spacing w:line="276" w:lineRule="auto"/>
              <w:jc w:val="both"/>
            </w:pPr>
            <w:r>
              <w:t>VietinBank là ngân hàng thương mại lớn, có uy tín và thương hiệu mạnh hàng đầu Việt Nam.</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r>
      <w:tr>
        <w:tc>
          <w:tcPr>
            <w:tcW w:type="dxa" w:w="1152"/>
            <w:tcMar>
              <w:top w:w="80" w:type="dxa"/>
              <w:bottom w:w="80" w:type="dxa"/>
              <w:left w:w="100" w:type="dxa"/>
              <w:right w:w="100" w:type="dxa"/>
            </w:tcMar>
          </w:tcPr>
          <w:p>
            <w:pPr>
              <w:jc w:val="center"/>
            </w:pPr>
            <w:r>
              <w:rPr>
                <w:b/>
              </w:rPr>
              <w:t>REP2</w:t>
            </w:r>
          </w:p>
        </w:tc>
        <w:tc>
          <w:tcPr>
            <w:tcW w:type="dxa" w:w="5904"/>
            <w:tcMar>
              <w:top w:w="80" w:type="dxa"/>
              <w:bottom w:w="80" w:type="dxa"/>
              <w:left w:w="100" w:type="dxa"/>
              <w:right w:w="100" w:type="dxa"/>
            </w:tcMar>
          </w:tcPr>
          <w:p>
            <w:pPr>
              <w:spacing w:line="276" w:lineRule="auto"/>
              <w:jc w:val="both"/>
            </w:pPr>
            <w:r>
              <w:t>Thư bảo lãnh do VietinBank phát hành luôn được các Chủ đầu tư và Bên mời thầu tin tưởng chấp nhận.</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r>
      <w:tr>
        <w:tc>
          <w:tcPr>
            <w:tcW w:type="dxa" w:w="1152"/>
            <w:tcMar>
              <w:top w:w="80" w:type="dxa"/>
              <w:bottom w:w="80" w:type="dxa"/>
              <w:left w:w="100" w:type="dxa"/>
              <w:right w:w="100" w:type="dxa"/>
            </w:tcMar>
          </w:tcPr>
          <w:p>
            <w:pPr>
              <w:jc w:val="center"/>
            </w:pPr>
            <w:r>
              <w:rPr>
                <w:b/>
              </w:rPr>
              <w:t>REP3</w:t>
            </w:r>
          </w:p>
        </w:tc>
        <w:tc>
          <w:tcPr>
            <w:tcW w:type="dxa" w:w="5904"/>
            <w:tcMar>
              <w:top w:w="80" w:type="dxa"/>
              <w:bottom w:w="80" w:type="dxa"/>
              <w:left w:w="100" w:type="dxa"/>
              <w:right w:w="100" w:type="dxa"/>
            </w:tcMar>
          </w:tcPr>
          <w:p>
            <w:pPr>
              <w:spacing w:line="276" w:lineRule="auto"/>
              <w:jc w:val="both"/>
            </w:pPr>
            <w:r>
              <w:t>Năng lực tài chính vững mạnh của VietinBank giúp gia tăng uy tín cho doanh nghiệp khi giao dịch.</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r>
      <w:tr>
        <w:tc>
          <w:tcPr>
            <w:tcW w:type="dxa" w:w="9359"/>
            <w:gridSpan w:val="7"/>
            <w:tcMar>
              <w:top w:w="80" w:type="dxa"/>
              <w:bottom w:w="80" w:type="dxa"/>
              <w:left w:w="120" w:type="dxa"/>
              <w:right w:w="120" w:type="dxa"/>
            </w:tcMar>
            <w:shd w:val="clear" w:color="auto" w:fill="F4F4F4"/>
          </w:tcPr>
          <w:p>
            <w:r>
              <w:rPr>
                <w:b/>
                <w:sz w:val="20"/>
              </w:rPr>
              <w:t>V. Trình độ &amp; Thái độ phục vụ của Cán bộ (STA)</w:t>
            </w:r>
          </w:p>
        </w:tc>
      </w:tr>
      <w:tr>
        <w:tc>
          <w:tcPr>
            <w:tcW w:type="dxa" w:w="1152"/>
            <w:tcMar>
              <w:top w:w="80" w:type="dxa"/>
              <w:bottom w:w="80" w:type="dxa"/>
              <w:left w:w="100" w:type="dxa"/>
              <w:right w:w="100" w:type="dxa"/>
            </w:tcMar>
          </w:tcPr>
          <w:p>
            <w:pPr>
              <w:jc w:val="center"/>
            </w:pPr>
            <w:r>
              <w:rPr>
                <w:b/>
              </w:rPr>
              <w:t>STA1</w:t>
            </w:r>
          </w:p>
        </w:tc>
        <w:tc>
          <w:tcPr>
            <w:tcW w:type="dxa" w:w="5904"/>
            <w:tcMar>
              <w:top w:w="80" w:type="dxa"/>
              <w:bottom w:w="80" w:type="dxa"/>
              <w:left w:w="100" w:type="dxa"/>
              <w:right w:w="100" w:type="dxa"/>
            </w:tcMar>
          </w:tcPr>
          <w:p>
            <w:pPr>
              <w:spacing w:line="276" w:lineRule="auto"/>
              <w:jc w:val="both"/>
            </w:pPr>
            <w:r>
              <w:t>Cán bộ quan hệ khách hàng (RM) VietinBank có năng lực chuyên môn sâu về nghiệp vụ bảo lãnh.</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r>
      <w:tr>
        <w:tc>
          <w:tcPr>
            <w:tcW w:type="dxa" w:w="1152"/>
            <w:tcMar>
              <w:top w:w="80" w:type="dxa"/>
              <w:bottom w:w="80" w:type="dxa"/>
              <w:left w:w="100" w:type="dxa"/>
              <w:right w:w="100" w:type="dxa"/>
            </w:tcMar>
          </w:tcPr>
          <w:p>
            <w:pPr>
              <w:jc w:val="center"/>
            </w:pPr>
            <w:r>
              <w:rPr>
                <w:b/>
              </w:rPr>
              <w:t>STA2</w:t>
            </w:r>
          </w:p>
        </w:tc>
        <w:tc>
          <w:tcPr>
            <w:tcW w:type="dxa" w:w="5904"/>
            <w:tcMar>
              <w:top w:w="80" w:type="dxa"/>
              <w:bottom w:w="80" w:type="dxa"/>
              <w:left w:w="100" w:type="dxa"/>
              <w:right w:w="100" w:type="dxa"/>
            </w:tcMar>
          </w:tcPr>
          <w:p>
            <w:pPr>
              <w:spacing w:line="276" w:lineRule="auto"/>
              <w:jc w:val="both"/>
            </w:pPr>
            <w:r>
              <w:t>Cán bộ VietinBank am hiểu đặc thù ngành nghề kinh doanh và luôn tư vấn giải pháp phù hợp.</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r>
      <w:tr>
        <w:tc>
          <w:tcPr>
            <w:tcW w:type="dxa" w:w="1152"/>
            <w:tcMar>
              <w:top w:w="80" w:type="dxa"/>
              <w:bottom w:w="80" w:type="dxa"/>
              <w:left w:w="100" w:type="dxa"/>
              <w:right w:w="100" w:type="dxa"/>
            </w:tcMar>
          </w:tcPr>
          <w:p>
            <w:pPr>
              <w:jc w:val="center"/>
            </w:pPr>
            <w:r>
              <w:rPr>
                <w:b/>
              </w:rPr>
              <w:t>STA3</w:t>
            </w:r>
          </w:p>
        </w:tc>
        <w:tc>
          <w:tcPr>
            <w:tcW w:type="dxa" w:w="5904"/>
            <w:tcMar>
              <w:top w:w="80" w:type="dxa"/>
              <w:bottom w:w="80" w:type="dxa"/>
              <w:left w:w="100" w:type="dxa"/>
              <w:right w:w="100" w:type="dxa"/>
            </w:tcMar>
          </w:tcPr>
          <w:p>
            <w:pPr>
              <w:spacing w:line="276" w:lineRule="auto"/>
              <w:jc w:val="both"/>
            </w:pPr>
            <w:r>
              <w:t>Thái độ phục vụ của nhân viên VietinBank luôn tận tình, chuyên nghiệp và hỗ trợ kịp thời.</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r>
      <w:tr>
        <w:tc>
          <w:tcPr>
            <w:tcW w:type="dxa" w:w="9359"/>
            <w:gridSpan w:val="7"/>
            <w:tcMar>
              <w:top w:w="80" w:type="dxa"/>
              <w:bottom w:w="80" w:type="dxa"/>
              <w:left w:w="120" w:type="dxa"/>
              <w:right w:w="120" w:type="dxa"/>
            </w:tcMar>
            <w:shd w:val="clear" w:color="auto" w:fill="F4F4F4"/>
          </w:tcPr>
          <w:p>
            <w:r>
              <w:rPr>
                <w:b/>
                <w:sz w:val="20"/>
              </w:rPr>
              <w:t>VI. Mối quan hệ tín dụng sẵn có (REL)</w:t>
            </w:r>
          </w:p>
        </w:tc>
      </w:tr>
      <w:tr>
        <w:tc>
          <w:tcPr>
            <w:tcW w:type="dxa" w:w="1152"/>
            <w:tcMar>
              <w:top w:w="80" w:type="dxa"/>
              <w:bottom w:w="80" w:type="dxa"/>
              <w:left w:w="100" w:type="dxa"/>
              <w:right w:w="100" w:type="dxa"/>
            </w:tcMar>
          </w:tcPr>
          <w:p>
            <w:pPr>
              <w:jc w:val="center"/>
            </w:pPr>
            <w:r>
              <w:rPr>
                <w:b/>
              </w:rPr>
              <w:t>REL1</w:t>
            </w:r>
          </w:p>
        </w:tc>
        <w:tc>
          <w:tcPr>
            <w:tcW w:type="dxa" w:w="5904"/>
            <w:tcMar>
              <w:top w:w="80" w:type="dxa"/>
              <w:bottom w:w="80" w:type="dxa"/>
              <w:left w:w="100" w:type="dxa"/>
              <w:right w:w="100" w:type="dxa"/>
            </w:tcMar>
          </w:tcPr>
          <w:p>
            <w:pPr>
              <w:spacing w:line="276" w:lineRule="auto"/>
              <w:jc w:val="both"/>
            </w:pPr>
            <w:r>
              <w:t>Doanh nghiệp có lịch sử tín dụng tốt và mối quan hệ gắn kết lâu năm với VietinBank.</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r>
      <w:tr>
        <w:tc>
          <w:tcPr>
            <w:tcW w:type="dxa" w:w="1152"/>
            <w:tcMar>
              <w:top w:w="80" w:type="dxa"/>
              <w:bottom w:w="80" w:type="dxa"/>
              <w:left w:w="100" w:type="dxa"/>
              <w:right w:w="100" w:type="dxa"/>
            </w:tcMar>
          </w:tcPr>
          <w:p>
            <w:pPr>
              <w:jc w:val="center"/>
            </w:pPr>
            <w:r>
              <w:rPr>
                <w:b/>
              </w:rPr>
              <w:t>REL2</w:t>
            </w:r>
          </w:p>
        </w:tc>
        <w:tc>
          <w:tcPr>
            <w:tcW w:type="dxa" w:w="5904"/>
            <w:tcMar>
              <w:top w:w="80" w:type="dxa"/>
              <w:bottom w:w="80" w:type="dxa"/>
              <w:left w:w="100" w:type="dxa"/>
              <w:right w:w="100" w:type="dxa"/>
            </w:tcMar>
          </w:tcPr>
          <w:p>
            <w:pPr>
              <w:spacing w:line="276" w:lineRule="auto"/>
              <w:jc w:val="both"/>
            </w:pPr>
            <w:r>
              <w:t>Việc đang mở tài khoản thanh toán / trả lương tại VietinBank giúp thủ tục bảo lãnh thuận lợi hơn.</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r>
      <w:tr>
        <w:tc>
          <w:tcPr>
            <w:tcW w:type="dxa" w:w="1152"/>
            <w:tcMar>
              <w:top w:w="80" w:type="dxa"/>
              <w:bottom w:w="80" w:type="dxa"/>
              <w:left w:w="100" w:type="dxa"/>
              <w:right w:w="100" w:type="dxa"/>
            </w:tcMar>
          </w:tcPr>
          <w:p>
            <w:pPr>
              <w:jc w:val="center"/>
            </w:pPr>
            <w:r>
              <w:rPr>
                <w:b/>
              </w:rPr>
              <w:t>REL3</w:t>
            </w:r>
          </w:p>
        </w:tc>
        <w:tc>
          <w:tcPr>
            <w:tcW w:type="dxa" w:w="5904"/>
            <w:tcMar>
              <w:top w:w="80" w:type="dxa"/>
              <w:bottom w:w="80" w:type="dxa"/>
              <w:left w:w="100" w:type="dxa"/>
              <w:right w:w="100" w:type="dxa"/>
            </w:tcMar>
          </w:tcPr>
          <w:p>
            <w:pPr>
              <w:spacing w:line="276" w:lineRule="auto"/>
              <w:jc w:val="both"/>
            </w:pPr>
            <w:r>
              <w:t>Doanh nghiệp dễ dàng được cấp hạn mức bảo lãnh nhờ đã từng sử dụng các dịch vụ tài trợ khác.</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r>
      <w:tr>
        <w:tc>
          <w:tcPr>
            <w:tcW w:type="dxa" w:w="9359"/>
            <w:gridSpan w:val="7"/>
            <w:tcMar>
              <w:top w:w="80" w:type="dxa"/>
              <w:bottom w:w="80" w:type="dxa"/>
              <w:left w:w="120" w:type="dxa"/>
              <w:right w:w="120" w:type="dxa"/>
            </w:tcMar>
            <w:shd w:val="clear" w:color="auto" w:fill="F4F4F4"/>
          </w:tcPr>
          <w:p>
            <w:r>
              <w:rPr>
                <w:b/>
                <w:sz w:val="20"/>
              </w:rPr>
              <w:t>VII. Mức độ Chuyển đổi số &amp; Bảo lãnh điện tử (DIG - Biến mới 1)</w:t>
            </w:r>
          </w:p>
        </w:tc>
      </w:tr>
      <w:tr>
        <w:tc>
          <w:tcPr>
            <w:tcW w:type="dxa" w:w="1152"/>
            <w:tcMar>
              <w:top w:w="80" w:type="dxa"/>
              <w:bottom w:w="80" w:type="dxa"/>
              <w:left w:w="100" w:type="dxa"/>
              <w:right w:w="100" w:type="dxa"/>
            </w:tcMar>
          </w:tcPr>
          <w:p>
            <w:pPr>
              <w:jc w:val="center"/>
            </w:pPr>
            <w:r>
              <w:rPr>
                <w:b/>
              </w:rPr>
              <w:t>DIG1</w:t>
            </w:r>
          </w:p>
        </w:tc>
        <w:tc>
          <w:tcPr>
            <w:tcW w:type="dxa" w:w="5904"/>
            <w:tcMar>
              <w:top w:w="80" w:type="dxa"/>
              <w:bottom w:w="80" w:type="dxa"/>
              <w:left w:w="100" w:type="dxa"/>
              <w:right w:w="100" w:type="dxa"/>
            </w:tcMar>
          </w:tcPr>
          <w:p>
            <w:pPr>
              <w:spacing w:line="276" w:lineRule="auto"/>
              <w:jc w:val="both"/>
            </w:pPr>
            <w:r>
              <w:t>Doanh nghiệp có thể dễ dàng nộp đề nghị cấp bảo lãnh online 24/7 qua VietinBank eFAST.</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r>
      <w:tr>
        <w:tc>
          <w:tcPr>
            <w:tcW w:type="dxa" w:w="1152"/>
            <w:tcMar>
              <w:top w:w="80" w:type="dxa"/>
              <w:bottom w:w="80" w:type="dxa"/>
              <w:left w:w="100" w:type="dxa"/>
              <w:right w:w="100" w:type="dxa"/>
            </w:tcMar>
          </w:tcPr>
          <w:p>
            <w:pPr>
              <w:jc w:val="center"/>
            </w:pPr>
            <w:r>
              <w:rPr>
                <w:b/>
              </w:rPr>
              <w:t>DIG2</w:t>
            </w:r>
          </w:p>
        </w:tc>
        <w:tc>
          <w:tcPr>
            <w:tcW w:type="dxa" w:w="5904"/>
            <w:tcMar>
              <w:top w:w="80" w:type="dxa"/>
              <w:bottom w:w="80" w:type="dxa"/>
              <w:left w:w="100" w:type="dxa"/>
              <w:right w:w="100" w:type="dxa"/>
            </w:tcMar>
          </w:tcPr>
          <w:p>
            <w:pPr>
              <w:spacing w:line="276" w:lineRule="auto"/>
              <w:jc w:val="both"/>
            </w:pPr>
            <w:r>
              <w:t>VietinBank phát hành Thư bảo lãnh điện tử ứng dụng chữ ký số CA nhanh chóng, không cần bản giấy.</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r>
      <w:tr>
        <w:tc>
          <w:tcPr>
            <w:tcW w:type="dxa" w:w="1152"/>
            <w:tcMar>
              <w:top w:w="80" w:type="dxa"/>
              <w:bottom w:w="80" w:type="dxa"/>
              <w:left w:w="100" w:type="dxa"/>
              <w:right w:w="100" w:type="dxa"/>
            </w:tcMar>
          </w:tcPr>
          <w:p>
            <w:pPr>
              <w:jc w:val="center"/>
            </w:pPr>
            <w:r>
              <w:rPr>
                <w:b/>
              </w:rPr>
              <w:t>DIG3</w:t>
            </w:r>
          </w:p>
        </w:tc>
        <w:tc>
          <w:tcPr>
            <w:tcW w:type="dxa" w:w="5904"/>
            <w:tcMar>
              <w:top w:w="80" w:type="dxa"/>
              <w:bottom w:w="80" w:type="dxa"/>
              <w:left w:w="100" w:type="dxa"/>
              <w:right w:w="100" w:type="dxa"/>
            </w:tcMar>
          </w:tcPr>
          <w:p>
            <w:pPr>
              <w:spacing w:line="276" w:lineRule="auto"/>
              <w:jc w:val="both"/>
            </w:pPr>
            <w:r>
              <w:t>Tính năng tra cứu mã QR xác thực Thư bảo lãnh thật/giả online trên hệ thống rất tiện ích và an toàn.</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r>
      <w:tr>
        <w:tc>
          <w:tcPr>
            <w:tcW w:type="dxa" w:w="9359"/>
            <w:gridSpan w:val="7"/>
            <w:tcMar>
              <w:top w:w="80" w:type="dxa"/>
              <w:bottom w:w="80" w:type="dxa"/>
              <w:left w:w="120" w:type="dxa"/>
              <w:right w:w="120" w:type="dxa"/>
            </w:tcMar>
            <w:shd w:val="clear" w:color="auto" w:fill="F4F4F4"/>
          </w:tcPr>
          <w:p>
            <w:r>
              <w:rPr>
                <w:b/>
                <w:sz w:val="20"/>
              </w:rPr>
              <w:t>VIII. Thiết kế Giải pháp Bảo lãnh theo yêu cầu (CUS - Biến mới 2)</w:t>
            </w:r>
          </w:p>
        </w:tc>
      </w:tr>
      <w:tr>
        <w:tc>
          <w:tcPr>
            <w:tcW w:type="dxa" w:w="1152"/>
            <w:tcMar>
              <w:top w:w="80" w:type="dxa"/>
              <w:bottom w:w="80" w:type="dxa"/>
              <w:left w:w="100" w:type="dxa"/>
              <w:right w:w="100" w:type="dxa"/>
            </w:tcMar>
          </w:tcPr>
          <w:p>
            <w:pPr>
              <w:jc w:val="center"/>
            </w:pPr>
            <w:r>
              <w:rPr>
                <w:b/>
              </w:rPr>
              <w:t>CUS1</w:t>
            </w:r>
          </w:p>
        </w:tc>
        <w:tc>
          <w:tcPr>
            <w:tcW w:type="dxa" w:w="5904"/>
            <w:tcMar>
              <w:top w:w="80" w:type="dxa"/>
              <w:bottom w:w="80" w:type="dxa"/>
              <w:left w:w="100" w:type="dxa"/>
              <w:right w:w="100" w:type="dxa"/>
            </w:tcMar>
          </w:tcPr>
          <w:p>
            <w:pPr>
              <w:spacing w:line="276" w:lineRule="auto"/>
              <w:jc w:val="both"/>
            </w:pPr>
            <w:r>
              <w:t>VietinBank có khả năng thiết kế linh hoạt mẫu thư bảo lãnh theo yêu cầu riêng của Chủ đầu tư.</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r>
      <w:tr>
        <w:tc>
          <w:tcPr>
            <w:tcW w:type="dxa" w:w="1152"/>
            <w:tcMar>
              <w:top w:w="80" w:type="dxa"/>
              <w:bottom w:w="80" w:type="dxa"/>
              <w:left w:w="100" w:type="dxa"/>
              <w:right w:w="100" w:type="dxa"/>
            </w:tcMar>
          </w:tcPr>
          <w:p>
            <w:pPr>
              <w:jc w:val="center"/>
            </w:pPr>
            <w:r>
              <w:rPr>
                <w:b/>
              </w:rPr>
              <w:t>CUS2</w:t>
            </w:r>
          </w:p>
        </w:tc>
        <w:tc>
          <w:tcPr>
            <w:tcW w:type="dxa" w:w="5904"/>
            <w:tcMar>
              <w:top w:w="80" w:type="dxa"/>
              <w:bottom w:w="80" w:type="dxa"/>
              <w:left w:w="100" w:type="dxa"/>
              <w:right w:w="100" w:type="dxa"/>
            </w:tcMar>
          </w:tcPr>
          <w:p>
            <w:pPr>
              <w:spacing w:line="276" w:lineRule="auto"/>
              <w:jc w:val="both"/>
            </w:pPr>
            <w:r>
              <w:t>VietinBank cung cấp cấu trúc bảo lãnh đa dạng (bảo lãnh tạm ứng, bảo lãnh thanh toán, đối ứng...).</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r>
      <w:tr>
        <w:tc>
          <w:tcPr>
            <w:tcW w:type="dxa" w:w="1152"/>
            <w:tcMar>
              <w:top w:w="80" w:type="dxa"/>
              <w:bottom w:w="80" w:type="dxa"/>
              <w:left w:w="100" w:type="dxa"/>
              <w:right w:w="100" w:type="dxa"/>
            </w:tcMar>
          </w:tcPr>
          <w:p>
            <w:pPr>
              <w:jc w:val="center"/>
            </w:pPr>
            <w:r>
              <w:rPr>
                <w:b/>
              </w:rPr>
              <w:t>CUS3</w:t>
            </w:r>
          </w:p>
        </w:tc>
        <w:tc>
          <w:tcPr>
            <w:tcW w:type="dxa" w:w="5904"/>
            <w:tcMar>
              <w:top w:w="80" w:type="dxa"/>
              <w:bottom w:w="80" w:type="dxa"/>
              <w:left w:w="100" w:type="dxa"/>
              <w:right w:w="100" w:type="dxa"/>
            </w:tcMar>
          </w:tcPr>
          <w:p>
            <w:pPr>
              <w:spacing w:line="276" w:lineRule="auto"/>
              <w:jc w:val="both"/>
            </w:pPr>
            <w:r>
              <w:t>Ngân hàng sẵn sàng điều chỉnh các điều khoản bảo lãnh phù hợp với tiến độ thi công thực tế.</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r>
      <w:tr>
        <w:tc>
          <w:tcPr>
            <w:tcW w:type="dxa" w:w="9359"/>
            <w:gridSpan w:val="7"/>
            <w:tcMar>
              <w:top w:w="80" w:type="dxa"/>
              <w:bottom w:w="80" w:type="dxa"/>
              <w:left w:w="120" w:type="dxa"/>
              <w:right w:w="120" w:type="dxa"/>
            </w:tcMar>
            <w:shd w:val="clear" w:color="auto" w:fill="F4F4F4"/>
          </w:tcPr>
          <w:p>
            <w:r>
              <w:rPr>
                <w:b/>
                <w:sz w:val="20"/>
              </w:rPr>
              <w:t>IX. Năng lực Tư vấn Pháp lý &amp; Quản trị Rủi ro (RSK - Biến mới 3)</w:t>
            </w:r>
          </w:p>
        </w:tc>
      </w:tr>
      <w:tr>
        <w:tc>
          <w:tcPr>
            <w:tcW w:type="dxa" w:w="1152"/>
            <w:tcMar>
              <w:top w:w="80" w:type="dxa"/>
              <w:bottom w:w="80" w:type="dxa"/>
              <w:left w:w="100" w:type="dxa"/>
              <w:right w:w="100" w:type="dxa"/>
            </w:tcMar>
          </w:tcPr>
          <w:p>
            <w:pPr>
              <w:jc w:val="center"/>
            </w:pPr>
            <w:r>
              <w:rPr>
                <w:b/>
              </w:rPr>
              <w:t>RSK1</w:t>
            </w:r>
          </w:p>
        </w:tc>
        <w:tc>
          <w:tcPr>
            <w:tcW w:type="dxa" w:w="5904"/>
            <w:tcMar>
              <w:top w:w="80" w:type="dxa"/>
              <w:bottom w:w="80" w:type="dxa"/>
              <w:left w:w="100" w:type="dxa"/>
              <w:right w:w="100" w:type="dxa"/>
            </w:tcMar>
          </w:tcPr>
          <w:p>
            <w:pPr>
              <w:spacing w:line="276" w:lineRule="auto"/>
              <w:jc w:val="both"/>
            </w:pPr>
            <w:r>
              <w:t>VietinBank hỗ trợ tư vấn rà soát tính pháp lý của hợp đồng gốc trước khi phát hành bảo lãnh.</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r>
      <w:tr>
        <w:tc>
          <w:tcPr>
            <w:tcW w:type="dxa" w:w="1152"/>
            <w:tcMar>
              <w:top w:w="80" w:type="dxa"/>
              <w:bottom w:w="80" w:type="dxa"/>
              <w:left w:w="100" w:type="dxa"/>
              <w:right w:w="100" w:type="dxa"/>
            </w:tcMar>
          </w:tcPr>
          <w:p>
            <w:pPr>
              <w:jc w:val="center"/>
            </w:pPr>
            <w:r>
              <w:rPr>
                <w:b/>
              </w:rPr>
              <w:t>RSK2</w:t>
            </w:r>
          </w:p>
        </w:tc>
        <w:tc>
          <w:tcPr>
            <w:tcW w:type="dxa" w:w="5904"/>
            <w:tcMar>
              <w:top w:w="80" w:type="dxa"/>
              <w:bottom w:w="80" w:type="dxa"/>
              <w:left w:w="100" w:type="dxa"/>
              <w:right w:w="100" w:type="dxa"/>
            </w:tcMar>
          </w:tcPr>
          <w:p>
            <w:pPr>
              <w:spacing w:line="276" w:lineRule="auto"/>
              <w:jc w:val="both"/>
            </w:pPr>
            <w:r>
              <w:t>Cán bộ VietinBank tư vấn cấu trúc điều khoản bảo lãnh giúp phòng ngừa rủi ro bị tịch thu vô lý.</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r>
      <w:tr>
        <w:tc>
          <w:tcPr>
            <w:tcW w:type="dxa" w:w="1152"/>
            <w:tcMar>
              <w:top w:w="80" w:type="dxa"/>
              <w:bottom w:w="80" w:type="dxa"/>
              <w:left w:w="100" w:type="dxa"/>
              <w:right w:w="100" w:type="dxa"/>
            </w:tcMar>
          </w:tcPr>
          <w:p>
            <w:pPr>
              <w:jc w:val="center"/>
            </w:pPr>
            <w:r>
              <w:rPr>
                <w:b/>
              </w:rPr>
              <w:t>RSK3</w:t>
            </w:r>
          </w:p>
        </w:tc>
        <w:tc>
          <w:tcPr>
            <w:tcW w:type="dxa" w:w="5904"/>
            <w:tcMar>
              <w:top w:w="80" w:type="dxa"/>
              <w:bottom w:w="80" w:type="dxa"/>
              <w:left w:w="100" w:type="dxa"/>
              <w:right w:w="100" w:type="dxa"/>
            </w:tcMar>
          </w:tcPr>
          <w:p>
            <w:pPr>
              <w:spacing w:line="276" w:lineRule="auto"/>
              <w:jc w:val="both"/>
            </w:pPr>
            <w:r>
              <w:t>VietinBank áp dụng tốt các tập quán bảo lãnh quốc tế (URDG 758) giúp bảo vệ quyền lợi doanh nghiệp.</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r>
      <w:tr>
        <w:tc>
          <w:tcPr>
            <w:tcW w:type="dxa" w:w="9359"/>
            <w:gridSpan w:val="7"/>
            <w:tcMar>
              <w:top w:w="80" w:type="dxa"/>
              <w:bottom w:w="80" w:type="dxa"/>
              <w:left w:w="120" w:type="dxa"/>
              <w:right w:w="120" w:type="dxa"/>
            </w:tcMar>
            <w:shd w:val="clear" w:color="auto" w:fill="F4F4F4"/>
          </w:tcPr>
          <w:p>
            <w:r>
              <w:rPr>
                <w:b/>
                <w:sz w:val="20"/>
              </w:rPr>
              <w:t>X. Mạng lưới Ngân hàng Đại lý Quốc tế (NET - Biến mới 4)</w:t>
            </w:r>
          </w:p>
        </w:tc>
      </w:tr>
      <w:tr>
        <w:tc>
          <w:tcPr>
            <w:tcW w:type="dxa" w:w="1152"/>
            <w:tcMar>
              <w:top w:w="80" w:type="dxa"/>
              <w:bottom w:w="80" w:type="dxa"/>
              <w:left w:w="100" w:type="dxa"/>
              <w:right w:w="100" w:type="dxa"/>
            </w:tcMar>
          </w:tcPr>
          <w:p>
            <w:pPr>
              <w:jc w:val="center"/>
            </w:pPr>
            <w:r>
              <w:rPr>
                <w:b/>
              </w:rPr>
              <w:t>NET1</w:t>
            </w:r>
          </w:p>
        </w:tc>
        <w:tc>
          <w:tcPr>
            <w:tcW w:type="dxa" w:w="5904"/>
            <w:tcMar>
              <w:top w:w="80" w:type="dxa"/>
              <w:bottom w:w="80" w:type="dxa"/>
              <w:left w:w="100" w:type="dxa"/>
              <w:right w:w="100" w:type="dxa"/>
            </w:tcMar>
          </w:tcPr>
          <w:p>
            <w:pPr>
              <w:spacing w:line="276" w:lineRule="auto"/>
              <w:jc w:val="both"/>
            </w:pPr>
            <w:r>
              <w:t>VietinBank có mạng lưới ngân hàng đại lý rộng khắp toàn cầu, hỗ trợ tốt cho giao dịch quốc tế.</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r>
      <w:tr>
        <w:tc>
          <w:tcPr>
            <w:tcW w:type="dxa" w:w="1152"/>
            <w:tcMar>
              <w:top w:w="80" w:type="dxa"/>
              <w:bottom w:w="80" w:type="dxa"/>
              <w:left w:w="100" w:type="dxa"/>
              <w:right w:w="100" w:type="dxa"/>
            </w:tcMar>
          </w:tcPr>
          <w:p>
            <w:pPr>
              <w:jc w:val="center"/>
            </w:pPr>
            <w:r>
              <w:rPr>
                <w:b/>
              </w:rPr>
              <w:t>NET2</w:t>
            </w:r>
          </w:p>
        </w:tc>
        <w:tc>
          <w:tcPr>
            <w:tcW w:type="dxa" w:w="5904"/>
            <w:tcMar>
              <w:top w:w="80" w:type="dxa"/>
              <w:bottom w:w="80" w:type="dxa"/>
              <w:left w:w="100" w:type="dxa"/>
              <w:right w:w="100" w:type="dxa"/>
            </w:tcMar>
          </w:tcPr>
          <w:p>
            <w:pPr>
              <w:spacing w:line="276" w:lineRule="auto"/>
              <w:jc w:val="both"/>
            </w:pPr>
            <w:r>
              <w:t>Thư bảo lãnh đối ứng (Counter-Guarantee) của VietinBank dễ dàng được các đối tác nước ngoài chấp nhận.</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r>
      <w:tr>
        <w:tc>
          <w:tcPr>
            <w:tcW w:type="dxa" w:w="1152"/>
            <w:tcMar>
              <w:top w:w="80" w:type="dxa"/>
              <w:bottom w:w="80" w:type="dxa"/>
              <w:left w:w="100" w:type="dxa"/>
              <w:right w:w="100" w:type="dxa"/>
            </w:tcMar>
          </w:tcPr>
          <w:p>
            <w:pPr>
              <w:jc w:val="center"/>
            </w:pPr>
            <w:r>
              <w:rPr>
                <w:b/>
              </w:rPr>
              <w:t>NET3</w:t>
            </w:r>
          </w:p>
        </w:tc>
        <w:tc>
          <w:tcPr>
            <w:tcW w:type="dxa" w:w="5904"/>
            <w:tcMar>
              <w:top w:w="80" w:type="dxa"/>
              <w:bottom w:w="80" w:type="dxa"/>
              <w:left w:w="100" w:type="dxa"/>
              <w:right w:w="100" w:type="dxa"/>
            </w:tcMar>
          </w:tcPr>
          <w:p>
            <w:pPr>
              <w:spacing w:line="276" w:lineRule="auto"/>
              <w:jc w:val="both"/>
            </w:pPr>
            <w:r>
              <w:t>VietinBank hỗ trợ hiệu quả các thủ tục bảo lãnh bằng ngoại tệ đối với các hợp đồng xuất nhập khẩu.</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r>
      <w:tr>
        <w:tc>
          <w:tcPr>
            <w:tcW w:type="dxa" w:w="9359"/>
            <w:gridSpan w:val="7"/>
            <w:tcMar>
              <w:top w:w="100" w:type="dxa"/>
              <w:bottom w:w="100" w:type="dxa"/>
              <w:left w:w="120" w:type="dxa"/>
              <w:right w:w="120" w:type="dxa"/>
            </w:tcMar>
            <w:shd w:val="clear" w:color="auto" w:fill="E6F0FA"/>
          </w:tcPr>
          <w:p>
            <w:r>
              <w:rPr>
                <w:b/>
                <w:color w:val="003366"/>
                <w:sz w:val="21"/>
              </w:rPr>
              <w:t>B. QUYẾT ĐỊNH LỰA CHỌN VIETINBANK (BIẾN MỤC TIÊU Y)</w:t>
            </w:r>
          </w:p>
        </w:tc>
      </w:tr>
      <w:tr>
        <w:tc>
          <w:tcPr>
            <w:tcW w:type="dxa" w:w="9359"/>
            <w:gridSpan w:val="7"/>
            <w:tcMar>
              <w:top w:w="80" w:type="dxa"/>
              <w:bottom w:w="80" w:type="dxa"/>
              <w:left w:w="120" w:type="dxa"/>
              <w:right w:w="120" w:type="dxa"/>
            </w:tcMar>
            <w:shd w:val="clear" w:color="auto" w:fill="F4F4F4"/>
          </w:tcPr>
          <w:p>
            <w:r>
              <w:rPr>
                <w:b/>
                <w:sz w:val="20"/>
              </w:rPr>
              <w:t>XI. Quyết định Lựa chọn &amp; Sự hài lòng của Doanh nghiệp (DEC)</w:t>
            </w:r>
          </w:p>
        </w:tc>
      </w:tr>
      <w:tr>
        <w:tc>
          <w:tcPr>
            <w:tcW w:type="dxa" w:w="1152"/>
            <w:tcMar>
              <w:top w:w="80" w:type="dxa"/>
              <w:bottom w:w="80" w:type="dxa"/>
              <w:left w:w="100" w:type="dxa"/>
              <w:right w:w="100" w:type="dxa"/>
            </w:tcMar>
          </w:tcPr>
          <w:p>
            <w:pPr>
              <w:jc w:val="center"/>
            </w:pPr>
            <w:r>
              <w:rPr>
                <w:b/>
              </w:rPr>
              <w:t>DEC1</w:t>
            </w:r>
          </w:p>
        </w:tc>
        <w:tc>
          <w:tcPr>
            <w:tcW w:type="dxa" w:w="5904"/>
            <w:tcMar>
              <w:top w:w="80" w:type="dxa"/>
              <w:bottom w:w="80" w:type="dxa"/>
              <w:left w:w="100" w:type="dxa"/>
              <w:right w:w="100" w:type="dxa"/>
            </w:tcMar>
          </w:tcPr>
          <w:p>
            <w:pPr>
              <w:spacing w:line="276" w:lineRule="auto"/>
              <w:jc w:val="both"/>
            </w:pPr>
            <w:r>
              <w:t>Doanh nghiệp của bạn luôn ưu tiên lựa chọn VietinBank để phát hành các thư bảo lãnh.</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r>
      <w:tr>
        <w:tc>
          <w:tcPr>
            <w:tcW w:type="dxa" w:w="1152"/>
            <w:tcMar>
              <w:top w:w="80" w:type="dxa"/>
              <w:bottom w:w="80" w:type="dxa"/>
              <w:left w:w="100" w:type="dxa"/>
              <w:right w:w="100" w:type="dxa"/>
            </w:tcMar>
          </w:tcPr>
          <w:p>
            <w:pPr>
              <w:jc w:val="center"/>
            </w:pPr>
            <w:r>
              <w:rPr>
                <w:b/>
              </w:rPr>
              <w:t>DEC2</w:t>
            </w:r>
          </w:p>
        </w:tc>
        <w:tc>
          <w:tcPr>
            <w:tcW w:type="dxa" w:w="5904"/>
            <w:tcMar>
              <w:top w:w="80" w:type="dxa"/>
              <w:bottom w:w="80" w:type="dxa"/>
              <w:left w:w="100" w:type="dxa"/>
              <w:right w:w="100" w:type="dxa"/>
            </w:tcMar>
          </w:tcPr>
          <w:p>
            <w:pPr>
              <w:spacing w:line="276" w:lineRule="auto"/>
              <w:jc w:val="both"/>
            </w:pPr>
            <w:r>
              <w:t>Doanh nghiệp sẵn sàng tăng quy mô và tần suất sử dụng dịch vụ bảo lãnh tại VietinBank trong tương lai.</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r>
      <w:tr>
        <w:tc>
          <w:tcPr>
            <w:tcW w:type="dxa" w:w="1152"/>
            <w:tcMar>
              <w:top w:w="80" w:type="dxa"/>
              <w:bottom w:w="80" w:type="dxa"/>
              <w:left w:w="100" w:type="dxa"/>
              <w:right w:w="100" w:type="dxa"/>
            </w:tcMar>
          </w:tcPr>
          <w:p>
            <w:pPr>
              <w:jc w:val="center"/>
            </w:pPr>
            <w:r>
              <w:rPr>
                <w:b/>
              </w:rPr>
              <w:t>DEC3</w:t>
            </w:r>
          </w:p>
        </w:tc>
        <w:tc>
          <w:tcPr>
            <w:tcW w:type="dxa" w:w="5904"/>
            <w:tcMar>
              <w:top w:w="80" w:type="dxa"/>
              <w:bottom w:w="80" w:type="dxa"/>
              <w:left w:w="100" w:type="dxa"/>
              <w:right w:w="100" w:type="dxa"/>
            </w:tcMar>
          </w:tcPr>
          <w:p>
            <w:pPr>
              <w:spacing w:line="276" w:lineRule="auto"/>
              <w:jc w:val="both"/>
            </w:pPr>
            <w:r>
              <w:t>Doanh nghiệp sẵn sàng giới thiệu dịch vụ bảo lãnh của VietinBank cho các đối tác, khách hàng khác.</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r>
      <w:tr>
        <w:tc>
          <w:tcPr>
            <w:tcW w:type="dxa" w:w="1152"/>
            <w:tcMar>
              <w:top w:w="80" w:type="dxa"/>
              <w:bottom w:w="80" w:type="dxa"/>
              <w:left w:w="100" w:type="dxa"/>
              <w:right w:w="100" w:type="dxa"/>
            </w:tcMar>
          </w:tcPr>
          <w:p>
            <w:pPr>
              <w:jc w:val="center"/>
            </w:pPr>
            <w:r>
              <w:rPr>
                <w:b/>
              </w:rPr>
              <w:t>DEC4</w:t>
            </w:r>
          </w:p>
        </w:tc>
        <w:tc>
          <w:tcPr>
            <w:tcW w:type="dxa" w:w="5904"/>
            <w:tcMar>
              <w:top w:w="80" w:type="dxa"/>
              <w:bottom w:w="80" w:type="dxa"/>
              <w:left w:w="100" w:type="dxa"/>
              <w:right w:w="100" w:type="dxa"/>
            </w:tcMar>
          </w:tcPr>
          <w:p>
            <w:pPr>
              <w:spacing w:line="276" w:lineRule="auto"/>
              <w:jc w:val="both"/>
            </w:pPr>
            <w:r>
              <w:t>Nhìn chung, VietinBank là lựa chọn tối ưu nhất của doanh nghiệp khi phát sinh nhu cầu bảo lãnh.</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c>
          <w:tcPr>
            <w:tcW w:type="dxa" w:w="504"/>
            <w:tcMar>
              <w:top w:w="80" w:type="dxa"/>
              <w:bottom w:w="80" w:type="dxa"/>
              <w:left w:w="100" w:type="dxa"/>
              <w:right w:w="100" w:type="dxa"/>
            </w:tcMar>
          </w:tcPr>
          <w:p>
            <w:pPr>
              <w:jc w:val="center"/>
            </w:pPr>
            <w:r>
              <w:t>(  )</w:t>
            </w:r>
          </w:p>
        </w:tc>
      </w:tr>
    </w:tbl>
    <w:p/>
    <w:p>
      <w:pPr>
        <w:spacing w:before="240"/>
        <w:jc w:val="center"/>
      </w:pPr>
      <w:r>
        <w:rPr>
          <w:b/>
          <w:color w:val="003366"/>
          <w:sz w:val="22"/>
        </w:rPr>
        <w:t>XIN CHÂN THÀNH CẢM ƠN QUÝ DOANH NGHIỆP ĐÃ HOÀN THÀNH PHIẾU KHẢO SÁT!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