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89D" w:rsidRPr="006814AA" w:rsidRDefault="003871A1" w:rsidP="00AA2F1C">
      <w:pPr>
        <w:spacing w:after="40"/>
        <w:jc w:val="center"/>
        <w:rPr>
          <w:rFonts w:cs="Times New Roman"/>
          <w:color w:val="auto"/>
          <w:sz w:val="26"/>
          <w:szCs w:val="26"/>
        </w:rPr>
      </w:pPr>
      <w:r w:rsidRPr="006814AA">
        <w:rPr>
          <w:rFonts w:cs="Times New Roman"/>
          <w:b/>
          <w:color w:val="auto"/>
          <w:sz w:val="26"/>
          <w:szCs w:val="26"/>
        </w:rPr>
        <w:t>VIETNAM-NETHERLANDS MASTER’S PROGRAM IN DEVELOPMENT ECONOMICS (MDE)</w:t>
      </w:r>
    </w:p>
    <w:p w:rsidR="00C1289D" w:rsidRPr="006814AA" w:rsidRDefault="003871A1" w:rsidP="00AA2F1C">
      <w:pPr>
        <w:spacing w:after="360"/>
        <w:jc w:val="center"/>
        <w:rPr>
          <w:rFonts w:cs="Times New Roman"/>
          <w:color w:val="auto"/>
          <w:sz w:val="26"/>
          <w:szCs w:val="26"/>
        </w:rPr>
      </w:pPr>
      <w:r w:rsidRPr="006814AA">
        <w:rPr>
          <w:rFonts w:cs="Times New Roman"/>
          <w:b/>
          <w:color w:val="auto"/>
          <w:sz w:val="26"/>
          <w:szCs w:val="26"/>
        </w:rPr>
        <w:t>THESIS DESIGN</w:t>
      </w:r>
    </w:p>
    <w:p w:rsidR="00C1289D" w:rsidRPr="006814AA" w:rsidRDefault="003871A1" w:rsidP="00AA2F1C">
      <w:pPr>
        <w:spacing w:after="720"/>
        <w:jc w:val="center"/>
        <w:rPr>
          <w:rFonts w:cs="Times New Roman"/>
          <w:color w:val="auto"/>
          <w:sz w:val="26"/>
          <w:szCs w:val="26"/>
        </w:rPr>
      </w:pPr>
      <w:r w:rsidRPr="006814AA">
        <w:rPr>
          <w:rFonts w:cs="Times New Roman"/>
          <w:b/>
          <w:color w:val="auto"/>
          <w:sz w:val="26"/>
          <w:szCs w:val="26"/>
        </w:rPr>
        <w:t>FACTORS AFFECTING CORPORATE CUSTOMERS' DECISION TO CHOOSE BANK GUARANTEE PRODUCTS AT VIETNAM JOINT STOCK COMMERCIAL BANK FOR INDUS</w:t>
      </w:r>
      <w:bookmarkStart w:id="0" w:name="_GoBack"/>
      <w:bookmarkEnd w:id="0"/>
      <w:r w:rsidRPr="006814AA">
        <w:rPr>
          <w:rFonts w:cs="Times New Roman"/>
          <w:b/>
          <w:color w:val="auto"/>
          <w:sz w:val="26"/>
          <w:szCs w:val="26"/>
        </w:rPr>
        <w:t>TRY AND TRADE (VIETINBANK)</w:t>
      </w:r>
    </w:p>
    <w:p w:rsidR="00C1289D" w:rsidRPr="006814AA" w:rsidRDefault="003871A1" w:rsidP="00AA2F1C">
      <w:pPr>
        <w:spacing w:after="80"/>
        <w:jc w:val="center"/>
        <w:rPr>
          <w:rFonts w:cs="Times New Roman"/>
          <w:color w:val="auto"/>
          <w:sz w:val="26"/>
          <w:szCs w:val="26"/>
        </w:rPr>
      </w:pPr>
      <w:r w:rsidRPr="006814AA">
        <w:rPr>
          <w:rFonts w:cs="Times New Roman"/>
          <w:b/>
          <w:color w:val="auto"/>
          <w:sz w:val="26"/>
          <w:szCs w:val="26"/>
        </w:rPr>
        <w:t xml:space="preserve">Supervisor(s): </w:t>
      </w:r>
      <w:r w:rsidRPr="006814AA">
        <w:rPr>
          <w:rFonts w:cs="Times New Roman"/>
          <w:b/>
          <w:color w:val="auto"/>
          <w:sz w:val="26"/>
          <w:szCs w:val="26"/>
        </w:rPr>
        <w:t>Dr. Hoang Thi Thuy Nga</w:t>
      </w:r>
    </w:p>
    <w:p w:rsidR="00C1289D" w:rsidRPr="006814AA" w:rsidRDefault="003871A1" w:rsidP="00AA2F1C">
      <w:pPr>
        <w:spacing w:after="360"/>
        <w:jc w:val="center"/>
        <w:rPr>
          <w:rFonts w:cs="Times New Roman"/>
          <w:color w:val="auto"/>
          <w:sz w:val="26"/>
          <w:szCs w:val="26"/>
        </w:rPr>
      </w:pPr>
      <w:r w:rsidRPr="006814AA">
        <w:rPr>
          <w:rFonts w:cs="Times New Roman"/>
          <w:b/>
          <w:color w:val="auto"/>
          <w:sz w:val="26"/>
          <w:szCs w:val="26"/>
        </w:rPr>
        <w:t>Student: Dang Tu Linh, MDE Class 31</w:t>
      </w:r>
    </w:p>
    <w:p w:rsidR="00C1289D" w:rsidRPr="006814AA" w:rsidRDefault="003871A1" w:rsidP="00AA2F1C">
      <w:pPr>
        <w:jc w:val="center"/>
        <w:rPr>
          <w:rFonts w:cs="Times New Roman"/>
          <w:color w:val="auto"/>
          <w:sz w:val="26"/>
          <w:szCs w:val="26"/>
        </w:rPr>
      </w:pPr>
      <w:r w:rsidRPr="006814AA">
        <w:rPr>
          <w:rFonts w:cs="Times New Roman"/>
          <w:i/>
          <w:color w:val="auto"/>
          <w:sz w:val="26"/>
          <w:szCs w:val="26"/>
        </w:rPr>
        <w:t>Hanoi, 06/2026</w:t>
      </w:r>
    </w:p>
    <w:p w:rsidR="00C1289D" w:rsidRPr="006814AA" w:rsidRDefault="003871A1" w:rsidP="00AA2F1C">
      <w:pPr>
        <w:jc w:val="center"/>
        <w:rPr>
          <w:rFonts w:cs="Times New Roman"/>
          <w:color w:val="auto"/>
          <w:sz w:val="26"/>
          <w:szCs w:val="26"/>
        </w:rPr>
      </w:pPr>
      <w:r w:rsidRPr="006814AA">
        <w:rPr>
          <w:rFonts w:cs="Times New Roman"/>
          <w:color w:val="auto"/>
          <w:sz w:val="26"/>
          <w:szCs w:val="26"/>
        </w:rPr>
        <w:br w:type="page"/>
      </w:r>
    </w:p>
    <w:p w:rsidR="00C1289D" w:rsidRPr="006814AA" w:rsidRDefault="003871A1" w:rsidP="006814AA">
      <w:pPr>
        <w:pStyle w:val="Heading1"/>
        <w:jc w:val="both"/>
        <w:rPr>
          <w:rFonts w:ascii="Times New Roman" w:hAnsi="Times New Roman" w:cs="Times New Roman"/>
          <w:color w:val="auto"/>
          <w:sz w:val="26"/>
          <w:szCs w:val="26"/>
        </w:rPr>
      </w:pPr>
      <w:r w:rsidRPr="006814AA">
        <w:rPr>
          <w:rFonts w:ascii="Times New Roman" w:hAnsi="Times New Roman" w:cs="Times New Roman"/>
          <w:color w:val="auto"/>
          <w:sz w:val="26"/>
          <w:szCs w:val="26"/>
        </w:rPr>
        <w:lastRenderedPageBreak/>
        <w:t>I. Introduction</w:t>
      </w:r>
    </w:p>
    <w:p w:rsidR="00C1289D" w:rsidRPr="006814AA" w:rsidRDefault="003871A1" w:rsidP="006814AA">
      <w:pPr>
        <w:pStyle w:val="Heading2"/>
        <w:jc w:val="both"/>
        <w:rPr>
          <w:rFonts w:ascii="Times New Roman" w:hAnsi="Times New Roman" w:cs="Times New Roman"/>
          <w:color w:val="auto"/>
          <w:sz w:val="26"/>
        </w:rPr>
      </w:pPr>
      <w:r w:rsidRPr="006814AA">
        <w:rPr>
          <w:rFonts w:ascii="Times New Roman" w:hAnsi="Times New Roman" w:cs="Times New Roman"/>
          <w:color w:val="auto"/>
          <w:sz w:val="26"/>
        </w:rPr>
        <w:t>1.1. Research Rationales</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Bank guarantee is an indispensable security instrument closely tied to almost all high-value commercial transactions of corporate enterpris</w:t>
      </w:r>
      <w:r w:rsidRPr="006814AA">
        <w:rPr>
          <w:rFonts w:cs="Times New Roman"/>
          <w:color w:val="auto"/>
          <w:sz w:val="26"/>
          <w:szCs w:val="26"/>
        </w:rPr>
        <w:t>es. In the construction and engineering sector, Article 18 of Decree No. 37/2015/ND-CP (amended and supplemented by Decree No. 35/2023/ND-CP) mandates that contractors must submit an advance payment guarantee for contracts with advance payments exceeding 1</w:t>
      </w:r>
      <w:r w:rsidRPr="006814AA">
        <w:rPr>
          <w:rFonts w:cs="Times New Roman"/>
          <w:color w:val="auto"/>
          <w:sz w:val="26"/>
          <w:szCs w:val="26"/>
        </w:rPr>
        <w:t xml:space="preserve"> billion VND; Bidding Law No. 22/2023/QH15 strictly regulates tender security and performance security obligations. In international trade, bank guarantees issued under the Uniform Rules for Demand Guarantees (URDG 758) substitute cash margin deposits, lib</w:t>
      </w:r>
      <w:r w:rsidRPr="006814AA">
        <w:rPr>
          <w:rFonts w:cs="Times New Roman"/>
          <w:color w:val="auto"/>
          <w:sz w:val="26"/>
          <w:szCs w:val="26"/>
        </w:rPr>
        <w:t>erating corporate working capital. Demand for bank guarantee products is therefore mandatory rather than a discretionary corporate choice.</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For commercial banks, guarantee issuance is a signature credit operation—commonly referred to as an off-balance sheet</w:t>
      </w:r>
      <w:r w:rsidRPr="006814AA">
        <w:rPr>
          <w:rFonts w:cs="Times New Roman"/>
          <w:color w:val="auto"/>
          <w:sz w:val="26"/>
          <w:szCs w:val="26"/>
        </w:rPr>
        <w:t xml:space="preserve"> commitment. At the time of issuing a letter of guarantee, the bank does not disburse cash upfront but provides an irrevocable commitment to pay on behalf of the principal if the principal defaults. This contingent liability is monitored off-balance sheet </w:t>
      </w:r>
      <w:r w:rsidRPr="006814AA">
        <w:rPr>
          <w:rFonts w:cs="Times New Roman"/>
          <w:color w:val="auto"/>
          <w:sz w:val="26"/>
          <w:szCs w:val="26"/>
        </w:rPr>
        <w:t>and is converted into an on-balance sheet forced loan only when the bank actually executes the payout.</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This economic mechanism creates three strategic benefits for commercial banks: (i) banks generate steady issuing and maintenance fee income throughout th</w:t>
      </w:r>
      <w:r w:rsidRPr="006814AA">
        <w:rPr>
          <w:rFonts w:cs="Times New Roman"/>
          <w:color w:val="auto"/>
          <w:sz w:val="26"/>
          <w:szCs w:val="26"/>
        </w:rPr>
        <w:t>e guarantee term without disbursing capital, building high-margin non-interest income that is resilient to interest rate volatility; (ii) guarantee limits anchor corporate clients into long-term credit relationships, opening cross-selling avenues for depos</w:t>
      </w:r>
      <w:r w:rsidRPr="006814AA">
        <w:rPr>
          <w:rFonts w:cs="Times New Roman"/>
          <w:color w:val="auto"/>
          <w:sz w:val="26"/>
          <w:szCs w:val="26"/>
        </w:rPr>
        <w:t>it, payment, trade finance, and FX products; and (iii) default risk materialises with low probability while off-balance sheet commitments consume regulatory capital at lower Credit Conversion Factors (CCF) compared to funded loans of equivalent value.</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This</w:t>
      </w:r>
      <w:r w:rsidRPr="006814AA">
        <w:rPr>
          <w:rFonts w:cs="Times New Roman"/>
          <w:color w:val="auto"/>
          <w:sz w:val="26"/>
          <w:szCs w:val="26"/>
        </w:rPr>
        <w:t xml:space="preserve"> low-capital, high-fee, customer-anchoring profile makes the guarantee segment intensely competitive among commercial banks. Banks simultaneously lower fee schedules, compress appraisal and issuance lead times, relax collateral and margin requirements, and</w:t>
      </w:r>
      <w:r w:rsidRPr="006814AA">
        <w:rPr>
          <w:rFonts w:cs="Times New Roman"/>
          <w:color w:val="auto"/>
          <w:sz w:val="26"/>
          <w:szCs w:val="26"/>
        </w:rPr>
        <w:t xml:space="preserve"> digitalise procedures to retain and acquire corporate clients. Given that corporate switching costs between issuing banks are relatively low, identifying which criteria corporate clients evaluate and which criteria carry decisive weight provides direct em</w:t>
      </w:r>
      <w:r w:rsidRPr="006814AA">
        <w:rPr>
          <w:rFonts w:cs="Times New Roman"/>
          <w:color w:val="auto"/>
          <w:sz w:val="26"/>
          <w:szCs w:val="26"/>
        </w:rPr>
        <w:t>pirical value for VietinBank's product strategy.</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Vietnam's regulatory landscape for guarantee operations has recently undergone fundamental transformation. Circular No. 61/2024/TT-NHNN (effective April 1, 2025, </w:t>
      </w:r>
      <w:r w:rsidRPr="006814AA">
        <w:rPr>
          <w:rFonts w:cs="Times New Roman"/>
          <w:color w:val="auto"/>
          <w:sz w:val="26"/>
          <w:szCs w:val="26"/>
        </w:rPr>
        <w:lastRenderedPageBreak/>
        <w:t>replacing Circular No. 11/2022/TT-NHNN) estab</w:t>
      </w:r>
      <w:r w:rsidRPr="006814AA">
        <w:rPr>
          <w:rFonts w:cs="Times New Roman"/>
          <w:color w:val="auto"/>
          <w:sz w:val="26"/>
          <w:szCs w:val="26"/>
        </w:rPr>
        <w:t>lishes an updated legal framework for electronic guarantees (e-guarantees). Concurrently, commercial bank digital transformation and cross-border guarantee demand are reshaping corporate selection criteria—factors virtually absent from earlier empirical mo</w:t>
      </w:r>
      <w:r w:rsidRPr="006814AA">
        <w:rPr>
          <w:rFonts w:cs="Times New Roman"/>
          <w:color w:val="auto"/>
          <w:sz w:val="26"/>
          <w:szCs w:val="26"/>
        </w:rPr>
        <w:t xml:space="preserve">dels. Existing literature shows that bank guarantee products remain under-researched, particularly in Vietnam, where studies focus on retail banking or legal aspects. VietinBank—a Big4 state-owned commercial bank with its VietinBank eFAST digital platform </w:t>
      </w:r>
      <w:r w:rsidRPr="006814AA">
        <w:rPr>
          <w:rFonts w:cs="Times New Roman"/>
          <w:color w:val="auto"/>
          <w:sz w:val="26"/>
          <w:szCs w:val="26"/>
        </w:rPr>
        <w:t>and global correspondent network—provides an ideal empirical context. Hence, the author selects the topic: "Factors Affecting Corporate Customers' Decision to Choose Bank Guarantee Products at Vietnam Joint Stock Commercial Bank for Industry and Trade (Vie</w:t>
      </w:r>
      <w:r w:rsidRPr="006814AA">
        <w:rPr>
          <w:rFonts w:cs="Times New Roman"/>
          <w:color w:val="auto"/>
          <w:sz w:val="26"/>
          <w:szCs w:val="26"/>
        </w:rPr>
        <w:t>tinBank)".</w:t>
      </w:r>
    </w:p>
    <w:p w:rsidR="00C1289D" w:rsidRPr="006814AA" w:rsidRDefault="003871A1" w:rsidP="006814AA">
      <w:pPr>
        <w:pStyle w:val="Heading2"/>
        <w:jc w:val="both"/>
        <w:rPr>
          <w:rFonts w:ascii="Times New Roman" w:hAnsi="Times New Roman" w:cs="Times New Roman"/>
          <w:color w:val="auto"/>
          <w:sz w:val="26"/>
        </w:rPr>
      </w:pPr>
      <w:r w:rsidRPr="006814AA">
        <w:rPr>
          <w:rFonts w:ascii="Times New Roman" w:hAnsi="Times New Roman" w:cs="Times New Roman"/>
          <w:color w:val="auto"/>
          <w:sz w:val="26"/>
        </w:rPr>
        <w:t>1.2. General Objectives</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The general objective of this research is to identify and measure the impact magnitude of factors influencing corporate customers' decision to choose bank guarantee products at VietinBank, and on that basis, to propose ac</w:t>
      </w:r>
      <w:r w:rsidRPr="006814AA">
        <w:rPr>
          <w:rFonts w:cs="Times New Roman"/>
          <w:color w:val="auto"/>
          <w:sz w:val="26"/>
          <w:szCs w:val="26"/>
        </w:rPr>
        <w:t>tionable managerial implications helping VietinBank enhance competitiveness and expand market share in this strategic product segment.</w:t>
      </w:r>
    </w:p>
    <w:p w:rsidR="00C1289D" w:rsidRPr="006814AA" w:rsidRDefault="003871A1" w:rsidP="006814AA">
      <w:pPr>
        <w:pStyle w:val="Heading2"/>
        <w:jc w:val="both"/>
        <w:rPr>
          <w:rFonts w:ascii="Times New Roman" w:hAnsi="Times New Roman" w:cs="Times New Roman"/>
          <w:color w:val="auto"/>
          <w:sz w:val="26"/>
        </w:rPr>
      </w:pPr>
      <w:r w:rsidRPr="006814AA">
        <w:rPr>
          <w:rFonts w:ascii="Times New Roman" w:hAnsi="Times New Roman" w:cs="Times New Roman"/>
          <w:color w:val="auto"/>
          <w:sz w:val="26"/>
        </w:rPr>
        <w:t>1.3. Specific Objectives</w:t>
      </w:r>
    </w:p>
    <w:p w:rsidR="00C1289D" w:rsidRPr="006814AA" w:rsidRDefault="003871A1" w:rsidP="006814AA">
      <w:pPr>
        <w:spacing w:after="80"/>
        <w:jc w:val="both"/>
        <w:rPr>
          <w:rFonts w:cs="Times New Roman"/>
          <w:color w:val="auto"/>
          <w:sz w:val="26"/>
          <w:szCs w:val="26"/>
        </w:rPr>
      </w:pPr>
      <w:r w:rsidRPr="006814AA">
        <w:rPr>
          <w:rFonts w:cs="Times New Roman"/>
          <w:color w:val="auto"/>
          <w:sz w:val="26"/>
          <w:szCs w:val="26"/>
        </w:rPr>
        <w:t>The following sub-questions will be investigated to answer the general objective:</w:t>
      </w:r>
    </w:p>
    <w:p w:rsidR="00C1289D" w:rsidRPr="006814AA" w:rsidRDefault="003871A1" w:rsidP="006814AA">
      <w:pPr>
        <w:spacing w:after="80"/>
        <w:ind w:left="432"/>
        <w:jc w:val="both"/>
        <w:rPr>
          <w:rFonts w:cs="Times New Roman"/>
          <w:color w:val="auto"/>
          <w:sz w:val="26"/>
          <w:szCs w:val="26"/>
        </w:rPr>
      </w:pPr>
      <w:r w:rsidRPr="006814AA">
        <w:rPr>
          <w:rFonts w:cs="Times New Roman"/>
          <w:b/>
          <w:color w:val="auto"/>
          <w:sz w:val="26"/>
          <w:szCs w:val="26"/>
        </w:rPr>
        <w:t xml:space="preserve">1. </w:t>
      </w:r>
      <w:r w:rsidRPr="006814AA">
        <w:rPr>
          <w:rFonts w:cs="Times New Roman"/>
          <w:color w:val="auto"/>
          <w:sz w:val="26"/>
          <w:szCs w:val="26"/>
        </w:rPr>
        <w:t>What factor</w:t>
      </w:r>
      <w:r w:rsidRPr="006814AA">
        <w:rPr>
          <w:rFonts w:cs="Times New Roman"/>
          <w:color w:val="auto"/>
          <w:sz w:val="26"/>
          <w:szCs w:val="26"/>
        </w:rPr>
        <w:t>s affect corporate customers' decision to choose bank guarantee products at VietinBank?</w:t>
      </w:r>
    </w:p>
    <w:p w:rsidR="00C1289D" w:rsidRPr="006814AA" w:rsidRDefault="003871A1" w:rsidP="006814AA">
      <w:pPr>
        <w:spacing w:after="80"/>
        <w:ind w:left="432"/>
        <w:jc w:val="both"/>
        <w:rPr>
          <w:rFonts w:cs="Times New Roman"/>
          <w:color w:val="auto"/>
          <w:sz w:val="26"/>
          <w:szCs w:val="26"/>
        </w:rPr>
      </w:pPr>
      <w:r w:rsidRPr="006814AA">
        <w:rPr>
          <w:rFonts w:cs="Times New Roman"/>
          <w:b/>
          <w:color w:val="auto"/>
          <w:sz w:val="26"/>
          <w:szCs w:val="26"/>
        </w:rPr>
        <w:t xml:space="preserve">2. </w:t>
      </w:r>
      <w:r w:rsidRPr="006814AA">
        <w:rPr>
          <w:rFonts w:cs="Times New Roman"/>
          <w:color w:val="auto"/>
          <w:sz w:val="26"/>
          <w:szCs w:val="26"/>
        </w:rPr>
        <w:t>What is the direction and magnitude of each factor's impact on the selection decision?</w:t>
      </w:r>
    </w:p>
    <w:p w:rsidR="00C1289D" w:rsidRPr="006814AA" w:rsidRDefault="003871A1" w:rsidP="006814AA">
      <w:pPr>
        <w:spacing w:after="80"/>
        <w:ind w:left="432"/>
        <w:jc w:val="both"/>
        <w:rPr>
          <w:rFonts w:cs="Times New Roman"/>
          <w:color w:val="auto"/>
          <w:sz w:val="26"/>
          <w:szCs w:val="26"/>
        </w:rPr>
      </w:pPr>
      <w:r w:rsidRPr="006814AA">
        <w:rPr>
          <w:rFonts w:cs="Times New Roman"/>
          <w:b/>
          <w:color w:val="auto"/>
          <w:sz w:val="26"/>
          <w:szCs w:val="26"/>
        </w:rPr>
        <w:t xml:space="preserve">3. </w:t>
      </w:r>
      <w:r w:rsidRPr="006814AA">
        <w:rPr>
          <w:rFonts w:cs="Times New Roman"/>
          <w:color w:val="auto"/>
          <w:sz w:val="26"/>
          <w:szCs w:val="26"/>
        </w:rPr>
        <w:t>Do impact magnitudes differ across corporate subgroups categorized by owner</w:t>
      </w:r>
      <w:r w:rsidRPr="006814AA">
        <w:rPr>
          <w:rFonts w:cs="Times New Roman"/>
          <w:color w:val="auto"/>
          <w:sz w:val="26"/>
          <w:szCs w:val="26"/>
        </w:rPr>
        <w:t>ship structure, revenue scale, operating age, and guarantee types used?</w:t>
      </w:r>
    </w:p>
    <w:p w:rsidR="00C1289D" w:rsidRPr="006814AA" w:rsidRDefault="003871A1" w:rsidP="006814AA">
      <w:pPr>
        <w:spacing w:after="80"/>
        <w:ind w:left="432"/>
        <w:jc w:val="both"/>
        <w:rPr>
          <w:rFonts w:cs="Times New Roman"/>
          <w:color w:val="auto"/>
          <w:sz w:val="26"/>
          <w:szCs w:val="26"/>
        </w:rPr>
      </w:pPr>
      <w:r w:rsidRPr="006814AA">
        <w:rPr>
          <w:rFonts w:cs="Times New Roman"/>
          <w:b/>
          <w:color w:val="auto"/>
          <w:sz w:val="26"/>
          <w:szCs w:val="26"/>
        </w:rPr>
        <w:t xml:space="preserve">4. </w:t>
      </w:r>
      <w:r w:rsidRPr="006814AA">
        <w:rPr>
          <w:rFonts w:cs="Times New Roman"/>
          <w:color w:val="auto"/>
          <w:sz w:val="26"/>
          <w:szCs w:val="26"/>
        </w:rPr>
        <w:t>What managerial implications should VietinBank prioritize to enhance its selection probability as the preferred issuing bank?</w:t>
      </w:r>
    </w:p>
    <w:p w:rsidR="00C1289D" w:rsidRPr="006814AA" w:rsidRDefault="003871A1" w:rsidP="006814AA">
      <w:pPr>
        <w:pStyle w:val="Heading2"/>
        <w:jc w:val="both"/>
        <w:rPr>
          <w:rFonts w:ascii="Times New Roman" w:hAnsi="Times New Roman" w:cs="Times New Roman"/>
          <w:color w:val="auto"/>
          <w:sz w:val="26"/>
        </w:rPr>
      </w:pPr>
      <w:r w:rsidRPr="006814AA">
        <w:rPr>
          <w:rFonts w:ascii="Times New Roman" w:hAnsi="Times New Roman" w:cs="Times New Roman"/>
          <w:color w:val="auto"/>
          <w:sz w:val="26"/>
        </w:rPr>
        <w:t>1.4. Thesis Structure</w:t>
      </w:r>
    </w:p>
    <w:p w:rsidR="00C1289D" w:rsidRPr="006814AA" w:rsidRDefault="003871A1" w:rsidP="006814AA">
      <w:pPr>
        <w:spacing w:after="80"/>
        <w:jc w:val="both"/>
        <w:rPr>
          <w:rFonts w:cs="Times New Roman"/>
          <w:color w:val="auto"/>
          <w:sz w:val="26"/>
          <w:szCs w:val="26"/>
        </w:rPr>
      </w:pPr>
      <w:r w:rsidRPr="006814AA">
        <w:rPr>
          <w:rFonts w:cs="Times New Roman"/>
          <w:color w:val="auto"/>
          <w:sz w:val="26"/>
          <w:szCs w:val="26"/>
        </w:rPr>
        <w:t xml:space="preserve">This thesis comprises four main </w:t>
      </w:r>
      <w:r w:rsidRPr="006814AA">
        <w:rPr>
          <w:rFonts w:cs="Times New Roman"/>
          <w:color w:val="auto"/>
          <w:sz w:val="26"/>
          <w:szCs w:val="26"/>
        </w:rPr>
        <w:t>chapters:</w:t>
      </w:r>
    </w:p>
    <w:p w:rsidR="00C1289D" w:rsidRPr="006814AA" w:rsidRDefault="003871A1" w:rsidP="006814AA">
      <w:pPr>
        <w:spacing w:after="80"/>
        <w:ind w:left="432"/>
        <w:jc w:val="both"/>
        <w:rPr>
          <w:rFonts w:cs="Times New Roman"/>
          <w:color w:val="auto"/>
          <w:sz w:val="26"/>
          <w:szCs w:val="26"/>
        </w:rPr>
      </w:pPr>
      <w:r w:rsidRPr="006814AA">
        <w:rPr>
          <w:rFonts w:cs="Times New Roman"/>
          <w:color w:val="auto"/>
          <w:sz w:val="26"/>
          <w:szCs w:val="26"/>
        </w:rPr>
        <w:t>• Chapter 1: Introduction – Presents research rationales, general and specific objectives, sub-questions, and thesis structure.</w:t>
      </w:r>
    </w:p>
    <w:p w:rsidR="00C1289D" w:rsidRPr="006814AA" w:rsidRDefault="003871A1" w:rsidP="006814AA">
      <w:pPr>
        <w:spacing w:after="80"/>
        <w:ind w:left="432"/>
        <w:jc w:val="both"/>
        <w:rPr>
          <w:rFonts w:cs="Times New Roman"/>
          <w:color w:val="auto"/>
          <w:sz w:val="26"/>
          <w:szCs w:val="26"/>
        </w:rPr>
      </w:pPr>
      <w:r w:rsidRPr="006814AA">
        <w:rPr>
          <w:rFonts w:cs="Times New Roman"/>
          <w:color w:val="auto"/>
          <w:sz w:val="26"/>
          <w:szCs w:val="26"/>
        </w:rPr>
        <w:t>• Chapter 2: Literature Review and Theoretical Framework – Synthesizes legal and economic foundations of bank guarante</w:t>
      </w:r>
      <w:r w:rsidRPr="006814AA">
        <w:rPr>
          <w:rFonts w:cs="Times New Roman"/>
          <w:color w:val="auto"/>
          <w:sz w:val="26"/>
          <w:szCs w:val="26"/>
        </w:rPr>
        <w:t xml:space="preserve">es; presents theoretical frameworks </w:t>
      </w:r>
      <w:r w:rsidRPr="006814AA">
        <w:rPr>
          <w:rFonts w:cs="Times New Roman"/>
          <w:color w:val="auto"/>
          <w:sz w:val="26"/>
          <w:szCs w:val="26"/>
        </w:rPr>
        <w:lastRenderedPageBreak/>
        <w:t>(SERVQUAL, TRA/TPB, Oliver's Loyalty Model); reviews empirical studies; and identifies four research gaps underlying the proposed 10-independent-variable model.</w:t>
      </w:r>
    </w:p>
    <w:p w:rsidR="00C1289D" w:rsidRPr="006814AA" w:rsidRDefault="003871A1" w:rsidP="006814AA">
      <w:pPr>
        <w:spacing w:after="80"/>
        <w:ind w:left="432"/>
        <w:jc w:val="both"/>
        <w:rPr>
          <w:rFonts w:cs="Times New Roman"/>
          <w:color w:val="auto"/>
          <w:sz w:val="26"/>
          <w:szCs w:val="26"/>
        </w:rPr>
      </w:pPr>
      <w:r w:rsidRPr="006814AA">
        <w:rPr>
          <w:rFonts w:cs="Times New Roman"/>
          <w:color w:val="auto"/>
          <w:sz w:val="26"/>
          <w:szCs w:val="26"/>
        </w:rPr>
        <w:t>• Chapter 3: Research Methodology and Empirical Design – Pr</w:t>
      </w:r>
      <w:r w:rsidRPr="006814AA">
        <w:rPr>
          <w:rFonts w:cs="Times New Roman"/>
          <w:color w:val="auto"/>
          <w:sz w:val="26"/>
          <w:szCs w:val="26"/>
        </w:rPr>
        <w:t>esents the multiple linear regression model and 10 hypotheses; constructs the 5-point Likert scale with 37 items; describes data sources from VietinBank's existing corporate survey dataset; and details Python statistical procedures.</w:t>
      </w:r>
    </w:p>
    <w:p w:rsidR="00C1289D" w:rsidRPr="006814AA" w:rsidRDefault="003871A1" w:rsidP="006814AA">
      <w:pPr>
        <w:spacing w:after="160"/>
        <w:ind w:left="432"/>
        <w:jc w:val="both"/>
        <w:rPr>
          <w:rFonts w:cs="Times New Roman"/>
          <w:color w:val="auto"/>
          <w:sz w:val="26"/>
          <w:szCs w:val="26"/>
        </w:rPr>
      </w:pPr>
      <w:r w:rsidRPr="006814AA">
        <w:rPr>
          <w:rFonts w:cs="Times New Roman"/>
          <w:color w:val="auto"/>
          <w:sz w:val="26"/>
          <w:szCs w:val="26"/>
        </w:rPr>
        <w:t xml:space="preserve">• Chapter 4: Empirical </w:t>
      </w:r>
      <w:r w:rsidRPr="006814AA">
        <w:rPr>
          <w:rFonts w:cs="Times New Roman"/>
          <w:color w:val="auto"/>
          <w:sz w:val="26"/>
          <w:szCs w:val="26"/>
        </w:rPr>
        <w:t>Results, Discussion and Policy Recommendations – Reports descriptive statistics, reliability tests, EFA, and regression results; discusses findings; and details managerial recommendations for VietinBank.</w:t>
      </w:r>
    </w:p>
    <w:p w:rsidR="00C1289D" w:rsidRPr="006814AA" w:rsidRDefault="003871A1" w:rsidP="006814AA">
      <w:pPr>
        <w:pStyle w:val="Heading1"/>
        <w:jc w:val="both"/>
        <w:rPr>
          <w:rFonts w:ascii="Times New Roman" w:hAnsi="Times New Roman" w:cs="Times New Roman"/>
          <w:color w:val="auto"/>
          <w:sz w:val="26"/>
          <w:szCs w:val="26"/>
        </w:rPr>
      </w:pPr>
      <w:r w:rsidRPr="006814AA">
        <w:rPr>
          <w:rFonts w:ascii="Times New Roman" w:hAnsi="Times New Roman" w:cs="Times New Roman"/>
          <w:color w:val="auto"/>
          <w:sz w:val="26"/>
          <w:szCs w:val="26"/>
        </w:rPr>
        <w:t>II. Literature Review</w:t>
      </w:r>
    </w:p>
    <w:p w:rsidR="00C1289D" w:rsidRPr="006814AA" w:rsidRDefault="003871A1" w:rsidP="006814AA">
      <w:pPr>
        <w:pStyle w:val="Heading2"/>
        <w:jc w:val="both"/>
        <w:rPr>
          <w:rFonts w:ascii="Times New Roman" w:hAnsi="Times New Roman" w:cs="Times New Roman"/>
          <w:color w:val="auto"/>
          <w:sz w:val="26"/>
        </w:rPr>
      </w:pPr>
      <w:r w:rsidRPr="006814AA">
        <w:rPr>
          <w:rFonts w:ascii="Times New Roman" w:hAnsi="Times New Roman" w:cs="Times New Roman"/>
          <w:color w:val="auto"/>
          <w:sz w:val="26"/>
        </w:rPr>
        <w:t>2.1. Theoretical Foundations a</w:t>
      </w:r>
      <w:r w:rsidRPr="006814AA">
        <w:rPr>
          <w:rFonts w:ascii="Times New Roman" w:hAnsi="Times New Roman" w:cs="Times New Roman"/>
          <w:color w:val="auto"/>
          <w:sz w:val="26"/>
        </w:rPr>
        <w:t>nd Legal Context</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Under Vietnamese law, Circular No. 61/2024/TT-NHNN (effective April 1, 2025, replacing Circular No. 11/2022/TT-NHNN and Circular No. 49/2024/TT-NHNN) defines bank guarantee as a form of credit extension wherein the guarantor (credit instit</w:t>
      </w:r>
      <w:r w:rsidRPr="006814AA">
        <w:rPr>
          <w:rFonts w:cs="Times New Roman"/>
          <w:color w:val="auto"/>
          <w:sz w:val="26"/>
          <w:szCs w:val="26"/>
        </w:rPr>
        <w:t>ution) commits to the beneficiary to perform financial obligations on behalf of the principal should the principal fail to perform. Article 335 of the 2015 Civil Code establishes general guarantee principles. Economically, bank guarantees are non-funded cr</w:t>
      </w:r>
      <w:r w:rsidRPr="006814AA">
        <w:rPr>
          <w:rFonts w:cs="Times New Roman"/>
          <w:color w:val="auto"/>
          <w:sz w:val="26"/>
          <w:szCs w:val="26"/>
        </w:rPr>
        <w:t>edit instruments that reallocate default risk, enable trust in commercial dealings, and conserve corporate cash flow. International practice under ICC URDG 758 highlights the principle of independence and documentary character.</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Guarantee operations involve</w:t>
      </w:r>
      <w:r w:rsidRPr="006814AA">
        <w:rPr>
          <w:rFonts w:cs="Times New Roman"/>
          <w:color w:val="auto"/>
          <w:sz w:val="26"/>
          <w:szCs w:val="26"/>
        </w:rPr>
        <w:t xml:space="preserve"> a tri-partite relationship comprising the Guarantor (VietinBank), Principal (Corporate Client), and Beneficiary (Project Owner/Buyer). Key product lines include Tender Guarantee (TG), Performance Guarantee (PG), Advance Payment Guarantee, Payment Guarante</w:t>
      </w:r>
      <w:r w:rsidRPr="006814AA">
        <w:rPr>
          <w:rFonts w:cs="Times New Roman"/>
          <w:color w:val="auto"/>
          <w:sz w:val="26"/>
          <w:szCs w:val="26"/>
        </w:rPr>
        <w:t>e (BG), Maintenance Guarantee, and Counter Guarantee.</w:t>
      </w:r>
    </w:p>
    <w:p w:rsidR="00C1289D" w:rsidRPr="006814AA" w:rsidRDefault="003871A1" w:rsidP="006814AA">
      <w:pPr>
        <w:spacing w:after="80"/>
        <w:jc w:val="both"/>
        <w:rPr>
          <w:rFonts w:cs="Times New Roman"/>
          <w:color w:val="auto"/>
          <w:sz w:val="26"/>
          <w:szCs w:val="26"/>
        </w:rPr>
      </w:pPr>
      <w:r w:rsidRPr="006814AA">
        <w:rPr>
          <w:rFonts w:cs="Times New Roman"/>
          <w:color w:val="auto"/>
          <w:sz w:val="26"/>
          <w:szCs w:val="26"/>
        </w:rPr>
        <w:t>Corporate bank selection represents organizational buying behavior explained by three integrated theoretical models:</w:t>
      </w:r>
    </w:p>
    <w:p w:rsidR="00C1289D" w:rsidRPr="006814AA" w:rsidRDefault="003871A1" w:rsidP="006814AA">
      <w:pPr>
        <w:spacing w:after="80"/>
        <w:ind w:left="432"/>
        <w:jc w:val="both"/>
        <w:rPr>
          <w:rFonts w:cs="Times New Roman"/>
          <w:color w:val="auto"/>
          <w:sz w:val="26"/>
          <w:szCs w:val="26"/>
        </w:rPr>
      </w:pPr>
      <w:r w:rsidRPr="006814AA">
        <w:rPr>
          <w:rFonts w:cs="Times New Roman"/>
          <w:b/>
          <w:color w:val="auto"/>
          <w:sz w:val="26"/>
          <w:szCs w:val="26"/>
        </w:rPr>
        <w:t xml:space="preserve">1. </w:t>
      </w:r>
      <w:r w:rsidRPr="006814AA">
        <w:rPr>
          <w:rFonts w:cs="Times New Roman"/>
          <w:color w:val="auto"/>
          <w:sz w:val="26"/>
          <w:szCs w:val="26"/>
        </w:rPr>
        <w:t>Theory of Reasoned Action (TRA, Fishbein &amp; Ajzen, 1975) &amp; Theory of Planned Behavi</w:t>
      </w:r>
      <w:r w:rsidRPr="006814AA">
        <w:rPr>
          <w:rFonts w:cs="Times New Roman"/>
          <w:color w:val="auto"/>
          <w:sz w:val="26"/>
          <w:szCs w:val="26"/>
        </w:rPr>
        <w:t>or (TPB, Ajzen, 1991): Establishes that beliefs regarding service attributes form attitudes and perceived behavioral control, driving selection intention.</w:t>
      </w:r>
    </w:p>
    <w:p w:rsidR="00C1289D" w:rsidRPr="006814AA" w:rsidRDefault="003871A1" w:rsidP="006814AA">
      <w:pPr>
        <w:spacing w:after="80"/>
        <w:ind w:left="432"/>
        <w:jc w:val="both"/>
        <w:rPr>
          <w:rFonts w:cs="Times New Roman"/>
          <w:color w:val="auto"/>
          <w:sz w:val="26"/>
          <w:szCs w:val="26"/>
        </w:rPr>
      </w:pPr>
      <w:r w:rsidRPr="006814AA">
        <w:rPr>
          <w:rFonts w:cs="Times New Roman"/>
          <w:b/>
          <w:color w:val="auto"/>
          <w:sz w:val="26"/>
          <w:szCs w:val="26"/>
        </w:rPr>
        <w:t xml:space="preserve">2. </w:t>
      </w:r>
      <w:r w:rsidRPr="006814AA">
        <w:rPr>
          <w:rFonts w:cs="Times New Roman"/>
          <w:color w:val="auto"/>
          <w:sz w:val="26"/>
          <w:szCs w:val="26"/>
        </w:rPr>
        <w:t>SERVQUAL Model (Parasuraman, Zeithaml &amp; Berry, 1985, 1988): Maps service quality dimensions—Reliab</w:t>
      </w:r>
      <w:r w:rsidRPr="006814AA">
        <w:rPr>
          <w:rFonts w:cs="Times New Roman"/>
          <w:color w:val="auto"/>
          <w:sz w:val="26"/>
          <w:szCs w:val="26"/>
        </w:rPr>
        <w:t>ility, Responsiveness, Assurance, Empathy, and Tangibles—to bank guarantee attributes (SPE, STA, REP, CUS, DIG).</w:t>
      </w:r>
    </w:p>
    <w:p w:rsidR="00C1289D" w:rsidRPr="006814AA" w:rsidRDefault="003871A1" w:rsidP="006814AA">
      <w:pPr>
        <w:spacing w:after="160"/>
        <w:ind w:left="432"/>
        <w:jc w:val="both"/>
        <w:rPr>
          <w:rFonts w:cs="Times New Roman"/>
          <w:color w:val="auto"/>
          <w:sz w:val="26"/>
          <w:szCs w:val="26"/>
        </w:rPr>
      </w:pPr>
      <w:r w:rsidRPr="006814AA">
        <w:rPr>
          <w:rFonts w:cs="Times New Roman"/>
          <w:b/>
          <w:color w:val="auto"/>
          <w:sz w:val="26"/>
          <w:szCs w:val="26"/>
        </w:rPr>
        <w:lastRenderedPageBreak/>
        <w:t xml:space="preserve">3. </w:t>
      </w:r>
      <w:r w:rsidRPr="006814AA">
        <w:rPr>
          <w:rFonts w:cs="Times New Roman"/>
          <w:color w:val="auto"/>
          <w:sz w:val="26"/>
          <w:szCs w:val="26"/>
        </w:rPr>
        <w:t>Customer Perceived Value (Zeithaml, 1988) &amp; Oliver's 4-Stage Loyalty Model (1999) / Zeithaml et al. (1996): Ground the price dimension (COST</w:t>
      </w:r>
      <w:r w:rsidRPr="006814AA">
        <w:rPr>
          <w:rFonts w:cs="Times New Roman"/>
          <w:color w:val="auto"/>
          <w:sz w:val="26"/>
          <w:szCs w:val="26"/>
        </w:rPr>
        <w:t>) and operationalize the dependent variable (DEC) across Cognitive, Affective, Conative, and Action dimensions (DEC1–DEC4).</w:t>
      </w:r>
    </w:p>
    <w:p w:rsidR="00C1289D" w:rsidRPr="006814AA" w:rsidRDefault="003871A1" w:rsidP="006814AA">
      <w:pPr>
        <w:pStyle w:val="Heading2"/>
        <w:jc w:val="both"/>
        <w:rPr>
          <w:rFonts w:ascii="Times New Roman" w:hAnsi="Times New Roman" w:cs="Times New Roman"/>
          <w:color w:val="auto"/>
          <w:sz w:val="26"/>
        </w:rPr>
      </w:pPr>
      <w:r w:rsidRPr="006814AA">
        <w:rPr>
          <w:rFonts w:ascii="Times New Roman" w:hAnsi="Times New Roman" w:cs="Times New Roman"/>
          <w:color w:val="auto"/>
          <w:sz w:val="26"/>
        </w:rPr>
        <w:t>2.2. Empirical Review and Research Gaps</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Empirical literature spans corporate bank selection (Turnbull &amp; Gibbs, 1989; Narteh, 2013; K</w:t>
      </w:r>
      <w:r w:rsidRPr="006814AA">
        <w:rPr>
          <w:rFonts w:cs="Times New Roman"/>
          <w:color w:val="auto"/>
          <w:sz w:val="26"/>
          <w:szCs w:val="26"/>
        </w:rPr>
        <w:t>aur et al., 2021; Zelie, 2023), Vietnamese banking service quality (Phan Thi Hang Nga et al., 2024; Ho Dinh Phi et al., 2023; Nguyen et al., 2024), and trade/construction guarantees (Oke, 2018; Hassan et al., 2018; Carletti et al., 2023). Four critical res</w:t>
      </w:r>
      <w:r w:rsidRPr="006814AA">
        <w:rPr>
          <w:rFonts w:cs="Times New Roman"/>
          <w:color w:val="auto"/>
          <w:sz w:val="26"/>
          <w:szCs w:val="26"/>
        </w:rPr>
        <w:t>earch gaps emerge: (i) separation between general bank selection literature and guarantee-specific empirical quantitative models; (ii) lack of guarantee-focused corporate selection studies in Vietnam; (iii) omission of modern digital (e-guarantees), custom</w:t>
      </w:r>
      <w:r w:rsidRPr="006814AA">
        <w:rPr>
          <w:rFonts w:cs="Times New Roman"/>
          <w:color w:val="auto"/>
          <w:sz w:val="26"/>
          <w:szCs w:val="26"/>
        </w:rPr>
        <w:t>ization, and legal risk advisory dimensions; and (iv) absence of large-scale system-wide empirical studies at VietinBank.</w:t>
      </w:r>
    </w:p>
    <w:p w:rsidR="00C1289D" w:rsidRPr="006814AA" w:rsidRDefault="003871A1" w:rsidP="006814AA">
      <w:pPr>
        <w:pStyle w:val="Heading1"/>
        <w:jc w:val="both"/>
        <w:rPr>
          <w:rFonts w:ascii="Times New Roman" w:hAnsi="Times New Roman" w:cs="Times New Roman"/>
          <w:color w:val="auto"/>
          <w:sz w:val="26"/>
          <w:szCs w:val="26"/>
        </w:rPr>
      </w:pPr>
      <w:r w:rsidRPr="006814AA">
        <w:rPr>
          <w:rFonts w:ascii="Times New Roman" w:hAnsi="Times New Roman" w:cs="Times New Roman"/>
          <w:color w:val="auto"/>
          <w:sz w:val="26"/>
          <w:szCs w:val="26"/>
        </w:rPr>
        <w:t>III. Empirical Analysis</w:t>
      </w:r>
    </w:p>
    <w:p w:rsidR="00C1289D" w:rsidRPr="006814AA" w:rsidRDefault="003871A1" w:rsidP="006814AA">
      <w:pPr>
        <w:pStyle w:val="Heading2"/>
        <w:jc w:val="both"/>
        <w:rPr>
          <w:rFonts w:ascii="Times New Roman" w:hAnsi="Times New Roman" w:cs="Times New Roman"/>
          <w:color w:val="auto"/>
          <w:sz w:val="26"/>
        </w:rPr>
      </w:pPr>
      <w:r w:rsidRPr="006814AA">
        <w:rPr>
          <w:rFonts w:ascii="Times New Roman" w:hAnsi="Times New Roman" w:cs="Times New Roman"/>
          <w:color w:val="auto"/>
          <w:sz w:val="26"/>
        </w:rPr>
        <w:t>3.1. Methodology and Proposed Model</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The study employs a multiple linear regression model with one dependent </w:t>
      </w:r>
      <w:r w:rsidRPr="006814AA">
        <w:rPr>
          <w:rFonts w:cs="Times New Roman"/>
          <w:color w:val="auto"/>
          <w:sz w:val="26"/>
          <w:szCs w:val="26"/>
        </w:rPr>
        <w:t>variable—Corporate Selection Decision (DEC)—and 10 independent variables (X1 to X10). All variables are latent constructs measured via 5-point Likert scale items. The primary regression equation is specified as:</w:t>
      </w:r>
    </w:p>
    <w:p w:rsidR="00C1289D" w:rsidRPr="006814AA" w:rsidRDefault="003871A1" w:rsidP="006814AA">
      <w:pPr>
        <w:spacing w:after="200"/>
        <w:jc w:val="center"/>
        <w:rPr>
          <w:rFonts w:cs="Times New Roman"/>
          <w:color w:val="auto"/>
          <w:sz w:val="26"/>
          <w:szCs w:val="26"/>
        </w:rPr>
      </w:pPr>
      <w:r w:rsidRPr="006814AA">
        <w:rPr>
          <w:rFonts w:cs="Times New Roman"/>
          <w:b/>
          <w:color w:val="auto"/>
          <w:sz w:val="26"/>
          <w:szCs w:val="26"/>
        </w:rPr>
        <w:t>DEC = β0 + β1*COST + β2*COL + β3*SPE + β4*RE</w:t>
      </w:r>
      <w:r w:rsidRPr="006814AA">
        <w:rPr>
          <w:rFonts w:cs="Times New Roman"/>
          <w:b/>
          <w:color w:val="auto"/>
          <w:sz w:val="26"/>
          <w:szCs w:val="26"/>
        </w:rPr>
        <w:t xml:space="preserve">P + β5*STA + β6*REL + β7*DIG + β8*CUS + β9*RSK + β10*NET </w:t>
      </w:r>
      <w:r w:rsidR="006814AA" w:rsidRPr="006814AA">
        <w:rPr>
          <w:rFonts w:cs="Times New Roman"/>
          <w:b/>
          <w:color w:val="auto"/>
          <w:sz w:val="26"/>
          <w:szCs w:val="26"/>
        </w:rPr>
        <w:t xml:space="preserve">+ ε </w:t>
      </w:r>
      <w:r w:rsidRPr="006814AA">
        <w:rPr>
          <w:rFonts w:cs="Times New Roman"/>
          <w:b/>
          <w:color w:val="auto"/>
          <w:sz w:val="26"/>
          <w:szCs w:val="26"/>
        </w:rPr>
        <w:t>(1)</w:t>
      </w:r>
    </w:p>
    <w:p w:rsidR="00C1289D" w:rsidRPr="006814AA" w:rsidRDefault="003871A1" w:rsidP="006814AA">
      <w:pPr>
        <w:spacing w:after="80"/>
        <w:jc w:val="both"/>
        <w:rPr>
          <w:rFonts w:cs="Times New Roman"/>
          <w:color w:val="auto"/>
          <w:sz w:val="26"/>
          <w:szCs w:val="26"/>
        </w:rPr>
      </w:pPr>
      <w:r w:rsidRPr="006814AA">
        <w:rPr>
          <w:rFonts w:cs="Times New Roman"/>
          <w:b/>
          <w:color w:val="auto"/>
          <w:sz w:val="26"/>
          <w:szCs w:val="26"/>
        </w:rPr>
        <w:t>Table 1: Variable Definitions and Measurement Items</w:t>
      </w:r>
    </w:p>
    <w:tbl>
      <w:tblPr>
        <w:tblW w:w="9936" w:type="dxa"/>
        <w:jc w:val="center"/>
        <w:tblLayout w:type="fixed"/>
        <w:tblLook w:val="04A0" w:firstRow="1" w:lastRow="0" w:firstColumn="1" w:lastColumn="0" w:noHBand="0" w:noVBand="1"/>
      </w:tblPr>
      <w:tblGrid>
        <w:gridCol w:w="1152"/>
        <w:gridCol w:w="2592"/>
        <w:gridCol w:w="3744"/>
        <w:gridCol w:w="1584"/>
        <w:gridCol w:w="864"/>
      </w:tblGrid>
      <w:tr w:rsidR="006814AA" w:rsidRPr="006814AA" w:rsidTr="006814AA">
        <w:trPr>
          <w:jc w:val="center"/>
        </w:trPr>
        <w:tc>
          <w:tcPr>
            <w:tcW w:w="1152" w:type="dxa"/>
            <w:shd w:val="clear" w:color="auto" w:fill="003366"/>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Code</w:t>
            </w:r>
          </w:p>
        </w:tc>
        <w:tc>
          <w:tcPr>
            <w:tcW w:w="2592" w:type="dxa"/>
            <w:shd w:val="clear" w:color="auto" w:fill="003366"/>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Variable Name</w:t>
            </w:r>
          </w:p>
        </w:tc>
        <w:tc>
          <w:tcPr>
            <w:tcW w:w="3744" w:type="dxa"/>
            <w:shd w:val="clear" w:color="auto" w:fill="003366"/>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Measurement Content</w:t>
            </w:r>
          </w:p>
        </w:tc>
        <w:tc>
          <w:tcPr>
            <w:tcW w:w="1584" w:type="dxa"/>
            <w:shd w:val="clear" w:color="auto" w:fill="003366"/>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Type</w:t>
            </w:r>
          </w:p>
        </w:tc>
        <w:tc>
          <w:tcPr>
            <w:tcW w:w="864" w:type="dxa"/>
            <w:shd w:val="clear" w:color="auto" w:fill="003366"/>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Sign</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DEC</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Selection Decision</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4 items (DEC1-DEC4): Preference, </w:t>
            </w:r>
            <w:r w:rsidRPr="006814AA">
              <w:rPr>
                <w:rFonts w:cs="Times New Roman"/>
                <w:color w:val="auto"/>
                <w:sz w:val="26"/>
                <w:szCs w:val="26"/>
              </w:rPr>
              <w:t>Future growth, Recommendation, Overall relative choice</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Dependent</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N/A</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COST</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Fee &amp; Cost Structure</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3 items (COST1-COST3): Fee reasonableness, competitiveness, discount policy</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lastRenderedPageBreak/>
              <w:t>COL</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Collateral &amp; Margin</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3 items (COL1-COL3): Flexible margin ratio, </w:t>
            </w:r>
            <w:r w:rsidRPr="006814AA">
              <w:rPr>
                <w:rFonts w:cs="Times New Roman"/>
                <w:color w:val="auto"/>
                <w:sz w:val="26"/>
                <w:szCs w:val="26"/>
              </w:rPr>
              <w:t>collateral diversity, appraisal speed</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SPE</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Processing Speed</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3 items (SPE1-SPE3): Fast appraisal, simplified procedures, lead time compliance</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REP</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Bank Reputation</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3 items (REP1-REP3): Big4 brand power, beneficiary acceptance, fin</w:t>
            </w:r>
            <w:r w:rsidRPr="006814AA">
              <w:rPr>
                <w:rFonts w:cs="Times New Roman"/>
                <w:color w:val="auto"/>
                <w:sz w:val="26"/>
                <w:szCs w:val="26"/>
              </w:rPr>
              <w:t>ancial standing</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STA</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Staff Competence</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3 items (STA1-STA3): Technical expertise, industry understanding, service attitude</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REL</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Relationship Banking</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3 items (REL1-REL3): Credit history, payroll/account ties, existing credit line</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DIG</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Digitalisation (e-FAST)</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3 items (DIG1-DIG3): 24/7 online submission, CA digital signature, QR verification</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 (New)</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CUS</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Customised Solutions</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3 items (CUS1-CUS3): Tailored wording, multi-party structure, progress adjustment</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 (New)</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RSK</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Legal Risk Advisory</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3 items (RSK1-RSK3): Base contract legal review, unfair calling protection, URDG 758</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 (New)</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r w:rsidR="006814AA" w:rsidRPr="006814AA" w:rsidTr="006814AA">
        <w:trPr>
          <w:jc w:val="center"/>
        </w:trPr>
        <w:tc>
          <w:tcPr>
            <w:tcW w:w="1152"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NET</w:t>
            </w:r>
          </w:p>
        </w:tc>
        <w:tc>
          <w:tcPr>
            <w:tcW w:w="2592"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Global Correspondent Net</w:t>
            </w:r>
          </w:p>
        </w:tc>
        <w:tc>
          <w:tcPr>
            <w:tcW w:w="374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3 items (NET1-NET3): Global bank network, counter-guarantee acceptance, FX h</w:t>
            </w:r>
            <w:r w:rsidRPr="006814AA">
              <w:rPr>
                <w:rFonts w:cs="Times New Roman"/>
                <w:color w:val="auto"/>
                <w:sz w:val="26"/>
                <w:szCs w:val="26"/>
              </w:rPr>
              <w:t>andling</w:t>
            </w:r>
          </w:p>
        </w:tc>
        <w:tc>
          <w:tcPr>
            <w:tcW w:w="1584" w:type="dxa"/>
          </w:tcPr>
          <w:p w:rsidR="00C1289D" w:rsidRPr="006814AA" w:rsidRDefault="003871A1" w:rsidP="006814AA">
            <w:pPr>
              <w:jc w:val="both"/>
              <w:rPr>
                <w:rFonts w:cs="Times New Roman"/>
                <w:color w:val="auto"/>
                <w:sz w:val="26"/>
                <w:szCs w:val="26"/>
              </w:rPr>
            </w:pPr>
            <w:r w:rsidRPr="006814AA">
              <w:rPr>
                <w:rFonts w:cs="Times New Roman"/>
                <w:color w:val="auto"/>
                <w:sz w:val="26"/>
                <w:szCs w:val="26"/>
              </w:rPr>
              <w:t>Independent (New)</w:t>
            </w:r>
          </w:p>
        </w:tc>
        <w:tc>
          <w:tcPr>
            <w:tcW w:w="864" w:type="dxa"/>
          </w:tcPr>
          <w:p w:rsidR="00C1289D" w:rsidRPr="006814AA" w:rsidRDefault="003871A1" w:rsidP="006814AA">
            <w:pPr>
              <w:jc w:val="both"/>
              <w:rPr>
                <w:rFonts w:cs="Times New Roman"/>
                <w:color w:val="auto"/>
                <w:sz w:val="26"/>
                <w:szCs w:val="26"/>
              </w:rPr>
            </w:pPr>
            <w:r w:rsidRPr="006814AA">
              <w:rPr>
                <w:rFonts w:cs="Times New Roman"/>
                <w:b/>
                <w:color w:val="auto"/>
                <w:sz w:val="26"/>
                <w:szCs w:val="26"/>
              </w:rPr>
              <w:t>+</w:t>
            </w:r>
          </w:p>
        </w:tc>
      </w:tr>
    </w:tbl>
    <w:p w:rsidR="00C1289D" w:rsidRPr="006814AA" w:rsidRDefault="003871A1" w:rsidP="006814AA">
      <w:pPr>
        <w:spacing w:before="80" w:after="240"/>
        <w:jc w:val="center"/>
        <w:rPr>
          <w:rFonts w:cs="Times New Roman"/>
          <w:color w:val="auto"/>
          <w:sz w:val="26"/>
          <w:szCs w:val="26"/>
        </w:rPr>
      </w:pPr>
      <w:r w:rsidRPr="006814AA">
        <w:rPr>
          <w:rFonts w:cs="Times New Roman"/>
          <w:i/>
          <w:color w:val="auto"/>
          <w:sz w:val="26"/>
          <w:szCs w:val="26"/>
        </w:rPr>
        <w:t>Source: Author's design based on reference thesis and literature.</w:t>
      </w:r>
    </w:p>
    <w:p w:rsidR="00C1289D" w:rsidRPr="006814AA" w:rsidRDefault="003871A1" w:rsidP="006814AA">
      <w:pPr>
        <w:pStyle w:val="Heading2"/>
        <w:jc w:val="both"/>
        <w:rPr>
          <w:rFonts w:ascii="Times New Roman" w:hAnsi="Times New Roman" w:cs="Times New Roman"/>
          <w:color w:val="auto"/>
          <w:sz w:val="26"/>
        </w:rPr>
      </w:pPr>
      <w:r w:rsidRPr="006814AA">
        <w:rPr>
          <w:rFonts w:ascii="Times New Roman" w:hAnsi="Times New Roman" w:cs="Times New Roman"/>
          <w:color w:val="auto"/>
          <w:sz w:val="26"/>
        </w:rPr>
        <w:t>3.2. Data Collection and Pre-Tests</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Rather than administering a new small-scale survey, this study inherits an existing system-wide corporate survey dataset </w:t>
      </w:r>
      <w:r w:rsidRPr="006814AA">
        <w:rPr>
          <w:rFonts w:cs="Times New Roman"/>
          <w:color w:val="auto"/>
          <w:sz w:val="26"/>
          <w:szCs w:val="26"/>
        </w:rPr>
        <w:t xml:space="preserve">conducted by VietinBank across its corporate client base nationwide. The sampling frame covers corporate enterprises actively utilizing guarantee services across 155 VietinBank branches. The target dataset comprises n = 800 corporate </w:t>
      </w:r>
      <w:r w:rsidRPr="006814AA">
        <w:rPr>
          <w:rFonts w:cs="Times New Roman"/>
          <w:color w:val="auto"/>
          <w:sz w:val="26"/>
          <w:szCs w:val="26"/>
        </w:rPr>
        <w:lastRenderedPageBreak/>
        <w:t>respondents, far excee</w:t>
      </w:r>
      <w:r w:rsidRPr="006814AA">
        <w:rPr>
          <w:rFonts w:cs="Times New Roman"/>
          <w:color w:val="auto"/>
          <w:sz w:val="26"/>
          <w:szCs w:val="26"/>
        </w:rPr>
        <w:t>ding minimum sample size thresholds (n &gt;= 185 for EFA; n &gt;= 138 for regression). Pre-tests include data cleaning (removing missing values and straight-lining responses), descriptive statistics, Cronbach's Alpha reliability testing (threshold &gt;= 0.6), Explo</w:t>
      </w:r>
      <w:r w:rsidRPr="006814AA">
        <w:rPr>
          <w:rFonts w:cs="Times New Roman"/>
          <w:color w:val="auto"/>
          <w:sz w:val="26"/>
          <w:szCs w:val="26"/>
        </w:rPr>
        <w:t>ratory Factor Analysis (KMO &gt;= 0.5, Bartlett sig &lt; 0.05, Variance Explained &gt; 50%), Pearson correlation, and VIF multicollinearity diagnostics (VIF &lt; 10, ideally &lt; 2). All data processing, factor analyses, and regression estimations are executed in Python.</w:t>
      </w:r>
    </w:p>
    <w:p w:rsidR="00C1289D" w:rsidRPr="006814AA" w:rsidRDefault="003871A1" w:rsidP="006814AA">
      <w:pPr>
        <w:pStyle w:val="Heading2"/>
        <w:jc w:val="both"/>
        <w:rPr>
          <w:rFonts w:ascii="Times New Roman" w:hAnsi="Times New Roman" w:cs="Times New Roman"/>
          <w:color w:val="auto"/>
          <w:sz w:val="26"/>
        </w:rPr>
      </w:pPr>
      <w:r w:rsidRPr="006814AA">
        <w:rPr>
          <w:rFonts w:ascii="Times New Roman" w:hAnsi="Times New Roman" w:cs="Times New Roman"/>
          <w:color w:val="auto"/>
          <w:sz w:val="26"/>
        </w:rPr>
        <w:t>3.3. Anticipated Findings and Interpretation</w:t>
      </w:r>
    </w:p>
    <w:p w:rsidR="00C1289D" w:rsidRPr="006814AA" w:rsidRDefault="003871A1" w:rsidP="006814AA">
      <w:pPr>
        <w:spacing w:after="80"/>
        <w:jc w:val="both"/>
        <w:rPr>
          <w:rFonts w:cs="Times New Roman"/>
          <w:color w:val="auto"/>
          <w:sz w:val="26"/>
          <w:szCs w:val="26"/>
        </w:rPr>
      </w:pPr>
      <w:r w:rsidRPr="006814AA">
        <w:rPr>
          <w:rFonts w:cs="Times New Roman"/>
          <w:color w:val="auto"/>
          <w:sz w:val="26"/>
          <w:szCs w:val="26"/>
        </w:rPr>
        <w:t>Based on theoretical frameworks and banking context, the following results are anticipated:</w:t>
      </w:r>
    </w:p>
    <w:p w:rsidR="00C1289D" w:rsidRPr="006814AA" w:rsidRDefault="003871A1" w:rsidP="006814AA">
      <w:pPr>
        <w:spacing w:after="80"/>
        <w:ind w:left="432"/>
        <w:jc w:val="both"/>
        <w:rPr>
          <w:rFonts w:cs="Times New Roman"/>
          <w:color w:val="auto"/>
          <w:sz w:val="26"/>
          <w:szCs w:val="26"/>
        </w:rPr>
      </w:pPr>
      <w:r w:rsidRPr="006814AA">
        <w:rPr>
          <w:rFonts w:cs="Times New Roman"/>
          <w:color w:val="auto"/>
          <w:sz w:val="26"/>
          <w:szCs w:val="26"/>
        </w:rPr>
        <w:t>• COST (X1) is expected to exert a statistically significant negative impact (β1 &lt; 0), confirming price sensitivity.</w:t>
      </w:r>
    </w:p>
    <w:p w:rsidR="00C1289D" w:rsidRPr="006814AA" w:rsidRDefault="003871A1" w:rsidP="006814AA">
      <w:pPr>
        <w:spacing w:after="160"/>
        <w:ind w:left="432"/>
        <w:jc w:val="both"/>
        <w:rPr>
          <w:rFonts w:cs="Times New Roman"/>
          <w:color w:val="auto"/>
          <w:sz w:val="26"/>
          <w:szCs w:val="26"/>
        </w:rPr>
      </w:pPr>
      <w:r w:rsidRPr="006814AA">
        <w:rPr>
          <w:rFonts w:cs="Times New Roman"/>
          <w:color w:val="auto"/>
          <w:sz w:val="26"/>
          <w:szCs w:val="26"/>
        </w:rPr>
        <w:t>•</w:t>
      </w:r>
      <w:r w:rsidRPr="006814AA">
        <w:rPr>
          <w:rFonts w:cs="Times New Roman"/>
          <w:color w:val="auto"/>
          <w:sz w:val="26"/>
          <w:szCs w:val="26"/>
        </w:rPr>
        <w:t xml:space="preserve"> All positive-dimension attributes (X2 to X10) are expected to yield positive coefficients (β2 to β10 &gt; 0). Digitalisation (DIG) and Processing Speed (SPE) are projected to emerge among the strongest determinants, reflecting corporate urgency in tender dea</w:t>
      </w:r>
      <w:r w:rsidRPr="006814AA">
        <w:rPr>
          <w:rFonts w:cs="Times New Roman"/>
          <w:color w:val="auto"/>
          <w:sz w:val="26"/>
          <w:szCs w:val="26"/>
        </w:rPr>
        <w:t>dlines. Customisation (CUS) and Legal Risk Advisory (RSK) will validate the strategic value of tailored banking solutions.</w:t>
      </w:r>
    </w:p>
    <w:p w:rsidR="00C1289D" w:rsidRPr="006814AA" w:rsidRDefault="003871A1" w:rsidP="006814AA">
      <w:pPr>
        <w:pStyle w:val="Heading1"/>
        <w:jc w:val="both"/>
        <w:rPr>
          <w:rFonts w:ascii="Times New Roman" w:hAnsi="Times New Roman" w:cs="Times New Roman"/>
          <w:color w:val="auto"/>
          <w:sz w:val="26"/>
          <w:szCs w:val="26"/>
        </w:rPr>
      </w:pPr>
      <w:r w:rsidRPr="006814AA">
        <w:rPr>
          <w:rFonts w:ascii="Times New Roman" w:hAnsi="Times New Roman" w:cs="Times New Roman"/>
          <w:color w:val="auto"/>
          <w:sz w:val="26"/>
          <w:szCs w:val="26"/>
        </w:rPr>
        <w:t>IV. Conclusions</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This thesis design establishes a comprehensive empirical framework investigating corporate bank guarantee selection d</w:t>
      </w:r>
      <w:r w:rsidRPr="006814AA">
        <w:rPr>
          <w:rFonts w:cs="Times New Roman"/>
          <w:color w:val="auto"/>
          <w:sz w:val="26"/>
          <w:szCs w:val="26"/>
        </w:rPr>
        <w:t>ecisions at VietinBank. By integrating classical SERVQUAL and TPB frameworks with four novel operational dimensions (e-guarantees, customization, legal risk advisory, and global correspondent network), the study fills critical empirical gaps in Vietnam's b</w:t>
      </w:r>
      <w:r w:rsidRPr="006814AA">
        <w:rPr>
          <w:rFonts w:cs="Times New Roman"/>
          <w:color w:val="auto"/>
          <w:sz w:val="26"/>
          <w:szCs w:val="26"/>
        </w:rPr>
        <w:t>anking literature. Managerial recommendations will guide VietinBank in risk-based fee optimization, eFAST Straight-Through Processing (STP) auto-approval limits, flexible margin policies, and international correspondent network expansion.</w:t>
      </w:r>
    </w:p>
    <w:p w:rsidR="00C1289D" w:rsidRPr="006814AA" w:rsidRDefault="003871A1" w:rsidP="006814AA">
      <w:pPr>
        <w:pStyle w:val="Heading1"/>
        <w:jc w:val="both"/>
        <w:rPr>
          <w:rFonts w:ascii="Times New Roman" w:hAnsi="Times New Roman" w:cs="Times New Roman"/>
          <w:color w:val="auto"/>
          <w:sz w:val="26"/>
          <w:szCs w:val="26"/>
        </w:rPr>
      </w:pPr>
      <w:r w:rsidRPr="006814AA">
        <w:rPr>
          <w:rFonts w:ascii="Times New Roman" w:hAnsi="Times New Roman" w:cs="Times New Roman"/>
          <w:color w:val="auto"/>
          <w:sz w:val="26"/>
          <w:szCs w:val="26"/>
        </w:rPr>
        <w:t>V. References</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Ajz</w:t>
      </w:r>
      <w:r w:rsidRPr="006814AA">
        <w:rPr>
          <w:rFonts w:cs="Times New Roman"/>
          <w:color w:val="auto"/>
          <w:sz w:val="26"/>
          <w:szCs w:val="26"/>
        </w:rPr>
        <w:t>en, I. (1991) 'The Theory of Planned Behavior', Organizational Behavior and Human Decision Processes, 50(2), pp. 179–211.</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Al-Sabbagh, M. and Al-Khathlan, K. (2018) 'Factors influencing corporate clients’ choice of commercial banks for trade finance service</w:t>
      </w:r>
      <w:r w:rsidRPr="006814AA">
        <w:rPr>
          <w:rFonts w:cs="Times New Roman"/>
          <w:color w:val="auto"/>
          <w:sz w:val="26"/>
          <w:szCs w:val="26"/>
        </w:rPr>
        <w:t>s', Journal of Financial Services Marketing, 23(2), pp. 71–82.</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Baltagi, B.H. (2008) Econometric Analysis of Panel Data. 4th edn. Chichester: Wiley.</w:t>
      </w:r>
    </w:p>
    <w:p w:rsidR="00C1289D" w:rsidRPr="006814AA" w:rsidRDefault="003871A1" w:rsidP="006814AA">
      <w:pPr>
        <w:jc w:val="both"/>
        <w:rPr>
          <w:rFonts w:cs="Times New Roman"/>
          <w:color w:val="auto"/>
          <w:sz w:val="26"/>
          <w:szCs w:val="26"/>
        </w:rPr>
      </w:pPr>
      <w:r w:rsidRPr="006814AA">
        <w:rPr>
          <w:rFonts w:cs="Times New Roman"/>
          <w:color w:val="auto"/>
          <w:sz w:val="26"/>
          <w:szCs w:val="26"/>
        </w:rPr>
        <w:lastRenderedPageBreak/>
        <w:t>Barru, D.J. (2005) 'How to Guarantee Contractor Performance on International Construction Projects: Comparin</w:t>
      </w:r>
      <w:r w:rsidRPr="006814AA">
        <w:rPr>
          <w:rFonts w:cs="Times New Roman"/>
          <w:color w:val="auto"/>
          <w:sz w:val="26"/>
          <w:szCs w:val="26"/>
        </w:rPr>
        <w:t>g Surety Bonds with Bank Guarantees and Standby Letters of Credit', The George Washington International Law Review, 37(1), pp. 51–94.</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Bertrams, R.I.V.F. (2013) Bank Guarantees in International Trade. 4th edn. The Hague: Kluwer Law International.</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Carletti, </w:t>
      </w:r>
      <w:r w:rsidRPr="006814AA">
        <w:rPr>
          <w:rFonts w:cs="Times New Roman"/>
          <w:color w:val="auto"/>
          <w:sz w:val="26"/>
          <w:szCs w:val="26"/>
        </w:rPr>
        <w:t>E., Leonello, A. and Marquez, R. (2023) 'Loan guarantees, bank underwriting policies and financial fragility', Journal of Financial Economics, 149(2), pp. 260–295.</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Fishbein, M. and Ajzen, I. (1975) Belief, Attitude, Intention and Behavior: An Introduction </w:t>
      </w:r>
      <w:r w:rsidRPr="006814AA">
        <w:rPr>
          <w:rFonts w:cs="Times New Roman"/>
          <w:color w:val="auto"/>
          <w:sz w:val="26"/>
          <w:szCs w:val="26"/>
        </w:rPr>
        <w:t>to Theory and Research. Reading, MA: Addison-Wesley.</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Hassan, A.A. et al. (2018) 'The problems and abuse of performance bond in the construction industry', IOP Conference Series: Earth and Environmental Science, 143, p. 012045.</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Ho Dinh Phi et al. (2023) 'Ef</w:t>
      </w:r>
      <w:r w:rsidRPr="006814AA">
        <w:rPr>
          <w:rFonts w:cs="Times New Roman"/>
          <w:color w:val="auto"/>
          <w:sz w:val="26"/>
          <w:szCs w:val="26"/>
        </w:rPr>
        <w:t>fect of Service Quality on Customer Loyalty: the Mediation of Customer Satisfaction, and Corporate Reputation in Banking Industry', Eurasian Journal of Business and Management, 11(3), pp. 145–160.</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International Chamber of Commerce (2010) Uniform Rules for </w:t>
      </w:r>
      <w:r w:rsidRPr="006814AA">
        <w:rPr>
          <w:rFonts w:cs="Times New Roman"/>
          <w:color w:val="auto"/>
          <w:sz w:val="26"/>
          <w:szCs w:val="26"/>
        </w:rPr>
        <w:t>Demand Guarantees (URDG 758). ICC Publication No. 758. Paris: ICC.</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Kaur, M. (2015) 'Bank Selection Process and Market Segmentation: Evidence from Indian Exporting SMEs', Vision: The Journal of Business Perspective, 19(3), pp. 214–226.</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Kaur, M. et al. (2021</w:t>
      </w:r>
      <w:r w:rsidRPr="006814AA">
        <w:rPr>
          <w:rFonts w:cs="Times New Roman"/>
          <w:color w:val="auto"/>
          <w:sz w:val="26"/>
          <w:szCs w:val="26"/>
        </w:rPr>
        <w:t>) 'The determinants of bank selection criteria of SMEs: a fuzzy analytic hierarchy approach', Journal of Science and Technology Policy Management, 12(4), pp. 580–605.</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Le Van Dung (2021) 'The nature of payment guarantee relationships at credit institutions'</w:t>
      </w:r>
      <w:r w:rsidRPr="006814AA">
        <w:rPr>
          <w:rFonts w:cs="Times New Roman"/>
          <w:color w:val="auto"/>
          <w:sz w:val="26"/>
          <w:szCs w:val="26"/>
        </w:rPr>
        <w:t>, Industry and Trade Magazine, 8(April), pp. 45–52.</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Narteh, B. (2013) 'SME bank selection and patronage behaviour in the Ghanaian banking industry', Management Research Review, 36(11), pp. 1061–1080.</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Ngo, M.V. and Nguyen, H.H. (2016) 'The Relationship betw</w:t>
      </w:r>
      <w:r w:rsidRPr="006814AA">
        <w:rPr>
          <w:rFonts w:cs="Times New Roman"/>
          <w:color w:val="auto"/>
          <w:sz w:val="26"/>
          <w:szCs w:val="26"/>
        </w:rPr>
        <w:t>een Service Quality, Customer Satisfaction and Customer Loyalty: An Investigation in Vietnamese Retail Banking Sector', Journal of Competitiveness, 8(2), pp. 103–116.</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Nguyen, H. et al. (2024) 'The impact of service innovation on customer satisfaction and c</w:t>
      </w:r>
      <w:r w:rsidRPr="006814AA">
        <w:rPr>
          <w:rFonts w:cs="Times New Roman"/>
          <w:color w:val="auto"/>
          <w:sz w:val="26"/>
          <w:szCs w:val="26"/>
        </w:rPr>
        <w:t>ustomer loyalty: a case in Vietnamese retail banks', Future Business Journal, 10(1), p. 14.</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Nguyen Thi Nhung and Nguyen Duy Phu (2015) 'Payment guarantees at Vietnamese commercial banks', Development and Integration Magazine, 25(35), pp. 62–67.</w:t>
      </w:r>
    </w:p>
    <w:p w:rsidR="00C1289D" w:rsidRPr="006814AA" w:rsidRDefault="003871A1" w:rsidP="006814AA">
      <w:pPr>
        <w:jc w:val="both"/>
        <w:rPr>
          <w:rFonts w:cs="Times New Roman"/>
          <w:color w:val="auto"/>
          <w:sz w:val="26"/>
          <w:szCs w:val="26"/>
        </w:rPr>
      </w:pPr>
      <w:r w:rsidRPr="006814AA">
        <w:rPr>
          <w:rFonts w:cs="Times New Roman"/>
          <w:color w:val="auto"/>
          <w:sz w:val="26"/>
          <w:szCs w:val="26"/>
        </w:rPr>
        <w:lastRenderedPageBreak/>
        <w:t xml:space="preserve">Oke, A.E. </w:t>
      </w:r>
      <w:r w:rsidRPr="006814AA">
        <w:rPr>
          <w:rFonts w:cs="Times New Roman"/>
          <w:color w:val="auto"/>
          <w:sz w:val="26"/>
          <w:szCs w:val="26"/>
        </w:rPr>
        <w:t>(2018) 'Bonding capability of Nigerian contracting firms', Engineering, Construction and Architectural Management, 25(8), pp. 1012–1024.</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Oliver, R.L. (1999) 'Whence Consumer Loyalty?', Journal of Marketing, 63(Special Issue), pp. 33–44.</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Parasuraman, A., </w:t>
      </w:r>
      <w:r w:rsidRPr="006814AA">
        <w:rPr>
          <w:rFonts w:cs="Times New Roman"/>
          <w:color w:val="auto"/>
          <w:sz w:val="26"/>
          <w:szCs w:val="26"/>
        </w:rPr>
        <w:t>Zeithaml, V.A. and Berry, L.L. (1985) 'A Conceptual Model of Service Quality and Its Implications for Future Research', Journal of Marketing, 49(4), pp. 41–50.</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Parasuraman, A., Zeithaml, V.A. and Berry, L.L. (1988) 'SERVQUAL: A Multiple-Item Scale for Meas</w:t>
      </w:r>
      <w:r w:rsidRPr="006814AA">
        <w:rPr>
          <w:rFonts w:cs="Times New Roman"/>
          <w:color w:val="auto"/>
          <w:sz w:val="26"/>
          <w:szCs w:val="26"/>
        </w:rPr>
        <w:t>uring Consumer Perceptions of Service Quality', Journal of Retailing, 64(1), pp. 12–40.</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Phan Thi Hang Nga et al. (2024) 'Service quality, customer satisfaction and loyalty: a case study in Vietnamese SMEs', Cogent Business &amp; Management, 11(1), p. 2304512.</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State Bank of Vietnam (2024) Circular No. 61/2024/TT-NHNN dated December 31, 2024, providing regulations on bank guarantees (effective April 1, 2025). Hanoi: SBV.</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Turnbull, P.W. and Gibbs, M.L. (1989) 'The Selection of Banks and Banking Services among Corp</w:t>
      </w:r>
      <w:r w:rsidRPr="006814AA">
        <w:rPr>
          <w:rFonts w:cs="Times New Roman"/>
          <w:color w:val="auto"/>
          <w:sz w:val="26"/>
          <w:szCs w:val="26"/>
        </w:rPr>
        <w:t>orate Customers in South Africa', International Journal of Bank Marketing, 7(5), pp. 36–42.</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Zeithaml, V.A. (1988) 'Consumer Perceptions of Price, Quality, and Value: A Means-End Model and Synthesis of Evidence', Journal of Marketing, 52(3), pp. 2–22.</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Zeith</w:t>
      </w:r>
      <w:r w:rsidRPr="006814AA">
        <w:rPr>
          <w:rFonts w:cs="Times New Roman"/>
          <w:color w:val="auto"/>
          <w:sz w:val="26"/>
          <w:szCs w:val="26"/>
        </w:rPr>
        <w:t>aml, V.A. (1996) 'The Behavioral Consequences of Service Quality', Journal of Marketing, 60(2), pp. 31–46.</w:t>
      </w:r>
    </w:p>
    <w:p w:rsidR="00C1289D" w:rsidRPr="006814AA" w:rsidRDefault="003871A1" w:rsidP="006814AA">
      <w:pPr>
        <w:jc w:val="both"/>
        <w:rPr>
          <w:rFonts w:cs="Times New Roman"/>
          <w:color w:val="auto"/>
          <w:sz w:val="26"/>
          <w:szCs w:val="26"/>
        </w:rPr>
      </w:pPr>
      <w:r w:rsidRPr="006814AA">
        <w:rPr>
          <w:rFonts w:cs="Times New Roman"/>
          <w:color w:val="auto"/>
          <w:sz w:val="26"/>
          <w:szCs w:val="26"/>
        </w:rPr>
        <w:t xml:space="preserve">Zelie, E.M. (2023) 'Factors determining bank selection by micro- and small-sized enterprises: evidence from Ethiopia', International Journal of Bank </w:t>
      </w:r>
      <w:r w:rsidRPr="006814AA">
        <w:rPr>
          <w:rFonts w:cs="Times New Roman"/>
          <w:color w:val="auto"/>
          <w:sz w:val="26"/>
          <w:szCs w:val="26"/>
        </w:rPr>
        <w:t>Marketing, 41(5), pp. 1120–1142.</w:t>
      </w:r>
    </w:p>
    <w:sectPr w:rsidR="00C1289D" w:rsidRPr="006814AA" w:rsidSect="00034616">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71A1" w:rsidRDefault="003871A1">
      <w:pPr>
        <w:spacing w:after="0" w:line="240" w:lineRule="auto"/>
      </w:pPr>
      <w:r>
        <w:separator/>
      </w:r>
    </w:p>
  </w:endnote>
  <w:endnote w:type="continuationSeparator" w:id="0">
    <w:p w:rsidR="003871A1" w:rsidRDefault="00387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71A1" w:rsidRDefault="003871A1">
      <w:pPr>
        <w:spacing w:after="0" w:line="240" w:lineRule="auto"/>
      </w:pPr>
      <w:r>
        <w:separator/>
      </w:r>
    </w:p>
  </w:footnote>
  <w:footnote w:type="continuationSeparator" w:id="0">
    <w:p w:rsidR="003871A1" w:rsidRDefault="00387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289D" w:rsidRDefault="003871A1">
    <w:pPr>
      <w:pStyle w:val="Header"/>
      <w:pBdr>
        <w:bottom w:val="single" w:sz="6" w:space="4" w:color="888888"/>
      </w:pBdr>
      <w:jc w:val="right"/>
    </w:pPr>
    <w:r>
      <w:rPr>
        <w:i/>
        <w:color w:val="333333"/>
        <w:sz w:val="20"/>
      </w:rPr>
      <w:t>Thesis Design – MDE31 – Dang Tu Linh</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4623"/>
    <w:rsid w:val="0029639D"/>
    <w:rsid w:val="00326F90"/>
    <w:rsid w:val="003871A1"/>
    <w:rsid w:val="004F74AC"/>
    <w:rsid w:val="006814AA"/>
    <w:rsid w:val="00942F28"/>
    <w:rsid w:val="00AA1D8D"/>
    <w:rsid w:val="00AA2F1C"/>
    <w:rsid w:val="00B47730"/>
    <w:rsid w:val="00C128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007B8"/>
  <w14:defaultImageDpi w14:val="300"/>
  <w15:docId w15:val="{3AC0FAF3-D15E-4F81-974F-72283275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33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5A0511-B80C-46FE-BF18-42EB15E72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Tuấn Minh</cp:lastModifiedBy>
  <cp:revision>2</cp:revision>
  <dcterms:created xsi:type="dcterms:W3CDTF">2026-08-03T07:46:00Z</dcterms:created>
  <dcterms:modified xsi:type="dcterms:W3CDTF">2026-08-03T07:46:00Z</dcterms:modified>
  <cp:category/>
</cp:coreProperties>
</file>