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CORPORATE CUSTOMERS' DECISION TO CHOOSE BANK GUARANTEE PRODUCTS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spacing w:after="120"/>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spacing w:after="120"/>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spacing w:after="120"/>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spacing w:after="120"/>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spacing w:after="120"/>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pPr>
        <w:spacing w:after="80"/>
        <w:jc w:val="both"/>
      </w:pPr>
      <w:r>
        <w:t>The following sub-questions will be investigated to answer the general objective:</w:t>
      </w:r>
    </w:p>
    <w:p>
      <w:pPr>
        <w:spacing w:after="80"/>
        <w:ind w:left="432"/>
        <w:jc w:val="both"/>
      </w:pPr>
      <w:r>
        <w:rPr>
          <w:b/>
        </w:rPr>
        <w:t xml:space="preserve">1. </w:t>
      </w:r>
      <w:r>
        <w:t>What factors affect corporate customers' decision to choose bank guarantee products at VietinBank?</w:t>
      </w:r>
    </w:p>
    <w:p>
      <w:pPr>
        <w:spacing w:after="80"/>
        <w:ind w:left="432"/>
        <w:jc w:val="both"/>
      </w:pPr>
      <w:r>
        <w:rPr>
          <w:b/>
        </w:rPr>
        <w:t xml:space="preserve">2. </w:t>
      </w:r>
      <w:r>
        <w:t>What is the direction and magnitude of each factor's impact on the selection decision?</w:t>
      </w:r>
    </w:p>
    <w:p>
      <w:pPr>
        <w:spacing w:after="80"/>
        <w:ind w:left="432"/>
        <w:jc w:val="both"/>
      </w:pPr>
      <w:r>
        <w:rPr>
          <w:b/>
        </w:rPr>
        <w:t xml:space="preserve">3. </w:t>
      </w:r>
      <w:r>
        <w:t>Do impact magnitudes differ across corporate subgroups categorized by ownership structure, revenue scale, operating age, and guarantee types used?</w:t>
      </w:r>
    </w:p>
    <w:p>
      <w:pPr>
        <w:spacing w:after="80"/>
        <w:ind w:left="432"/>
        <w:jc w:val="both"/>
      </w:pPr>
      <w:r>
        <w:rPr>
          <w:b/>
        </w:rPr>
        <w:t xml:space="preserve">4. </w:t>
      </w:r>
      <w:r>
        <w:t>What managerial implications should VietinBank prioritize to enhance its selection probability as the preferred issuing bank?</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general and specific objectives, sub-questions, and thesis structure.</w:t>
      </w:r>
    </w:p>
    <w:p>
      <w:pPr>
        <w:spacing w:after="80"/>
        <w:ind w:left="432"/>
        <w:jc w:val="both"/>
      </w:pPr>
      <w: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r>
    </w:p>
    <w:p>
      <w:pPr>
        <w:spacing w:after="80"/>
        <w:ind w:left="432"/>
        <w:jc w:val="both"/>
      </w:pPr>
      <w: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r>
    </w:p>
    <w:p>
      <w:pPr>
        <w:spacing w:after="160"/>
        <w:ind w:left="432"/>
        <w:jc w:val="both"/>
      </w:pPr>
      <w: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spacing w:after="120"/>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spacing w:after="120"/>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spacing w:after="80"/>
        <w:jc w:val="both"/>
      </w:pPr>
      <w:r>
        <w:t>Corporate bank selection represents organizational buying behavior explained by three integrated theoretical models:</w:t>
      </w:r>
    </w:p>
    <w:p>
      <w:pPr>
        <w:spacing w:after="80"/>
        <w:ind w:left="432"/>
        <w:jc w:val="both"/>
      </w:pPr>
      <w:r>
        <w:rPr>
          <w:b/>
        </w:rPr>
        <w:t xml:space="preserve">1. </w:t>
      </w:r>
      <w:r>
        <w:t>Theory of Reasoned Action (TRA, Fishbein &amp; Ajzen, 1975) &amp; Theory of Planned Behavior (TPB, Ajzen, 1991): Establishes that beliefs regarding service attributes form attitudes and perceived behavioral control, driving selection intention.</w:t>
      </w:r>
    </w:p>
    <w:p>
      <w:pPr>
        <w:spacing w:after="80"/>
        <w:ind w:left="432"/>
        <w:jc w:val="both"/>
      </w:pPr>
      <w:r>
        <w:rPr>
          <w:b/>
        </w:rPr>
        <w:t xml:space="preserve">2. </w:t>
      </w:r>
      <w:r>
        <w:t>SERVQUAL Model (Parasuraman, Zeithaml &amp; Berry, 1985, 1988): Maps service quality dimensions—Reliability, Responsiveness, Assurance, Empathy, and Tangibles—to bank guarantee attributes (SPE, STA, REP, CUS, DIG).</w:t>
      </w:r>
    </w:p>
    <w:p>
      <w:pPr>
        <w:spacing w:after="160"/>
        <w:ind w:left="432"/>
        <w:jc w:val="both"/>
      </w:pPr>
      <w:r>
        <w:rPr>
          <w:b/>
        </w:rPr>
        <w:t xml:space="preserve">3. </w:t>
      </w:r>
      <w:r>
        <w:t>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spacing w:after="120"/>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spacing w:after="120"/>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spacing w:after="200"/>
        <w:jc w:val="center"/>
      </w:pPr>
      <w:r>
        <w:rPr>
          <w:b/>
          <w:sz w:val="21"/>
        </w:rPr>
        <w:t>DEC = β0 + β1*COST + β2*COL + β3*SPE + β4*REP + β5*STA + β6*REL + β7*DIG + β8*CUS + β9*RSK + β10*NET + ε                             (1)</w:t>
      </w:r>
    </w:p>
    <w:p>
      <w:pPr>
        <w:spacing w:after="80"/>
      </w:pPr>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pStyle w:val="Heading2"/>
      </w:pPr>
      <w:r>
        <w:t>3.2. Data Collection and Pre-Tests</w:t>
      </w:r>
    </w:p>
    <w:p>
      <w:pPr>
        <w:spacing w:after="120"/>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pPr>
        <w:pStyle w:val="Heading2"/>
      </w:pPr>
      <w:r>
        <w:t>3.3. Anticipated Findings and Interpretation</w:t>
      </w:r>
    </w:p>
    <w:p>
      <w:pPr>
        <w:spacing w:after="80"/>
        <w:jc w:val="both"/>
      </w:pPr>
      <w:r>
        <w:t>Based on theoretical frameworks and banking context, the following results are anticipated:</w:t>
      </w:r>
    </w:p>
    <w:p>
      <w:pPr>
        <w:spacing w:after="80"/>
        <w:ind w:left="432"/>
        <w:jc w:val="both"/>
      </w:pPr>
      <w:r>
        <w:t>• COST (X1) is expected to exert a statistically significant negative impact (β1 &lt; 0), confirming price sensitivity.</w:t>
      </w:r>
    </w:p>
    <w:p>
      <w:pPr>
        <w:spacing w:after="160"/>
        <w:ind w:left="432"/>
        <w:jc w:val="both"/>
      </w:pPr>
      <w: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spacing w:after="120"/>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spacing w:after="80"/>
        <w:ind w:left="576" w:hanging="576"/>
        <w:jc w:val="both"/>
      </w:pPr>
      <w:r>
        <w:rPr>
          <w:sz w:val="20"/>
        </w:rPr>
        <w:t>Ajzen, I. (1991) 'The Theory of Planned Behavior', Organizational Behavior and Human Decision Processes, 50(2), pp. 179–211.</w:t>
      </w:r>
    </w:p>
    <w:p>
      <w:pPr>
        <w:spacing w:after="80"/>
        <w:ind w:left="576" w:hanging="576"/>
        <w:jc w:val="both"/>
      </w:pPr>
      <w:r>
        <w:rPr>
          <w:sz w:val="20"/>
        </w:rPr>
        <w:t>Al-Sabbagh, M. and Al-Khathlan, K. (2018) 'Factors influencing corporate clients’ choice of commercial banks for trade finance services', Journal of Financial Services Marketing, 23(2), pp. 71–82.</w:t>
      </w:r>
    </w:p>
    <w:p>
      <w:pPr>
        <w:spacing w:after="80"/>
        <w:ind w:left="576" w:hanging="576"/>
        <w:jc w:val="both"/>
      </w:pPr>
      <w:r>
        <w:rPr>
          <w:sz w:val="20"/>
        </w:rPr>
        <w:t>Baltagi, B.H. (2008) Econometric Analysis of Panel Data. 4th edn. Chichester: Wiley.</w:t>
      </w:r>
    </w:p>
    <w:p>
      <w:pPr>
        <w:spacing w:after="80"/>
        <w:ind w:left="576" w:hanging="576"/>
        <w:jc w:val="both"/>
      </w:pPr>
      <w:r>
        <w:rPr>
          <w:sz w:val="20"/>
        </w:rPr>
        <w:t>Barru, D.J. (2005) 'How to Guarantee Contractor Performance on International Construction Projects: Comparing Surety Bonds with Bank Guarantees and Standby Letters of Credit', The George Washington International Law Review, 37(1), pp. 51–94.</w:t>
      </w:r>
    </w:p>
    <w:p>
      <w:pPr>
        <w:spacing w:after="80"/>
        <w:ind w:left="576" w:hanging="576"/>
        <w:jc w:val="both"/>
      </w:pPr>
      <w:r>
        <w:rPr>
          <w:sz w:val="20"/>
        </w:rPr>
        <w:t>Bertrams, R.I.V.F. (2013) Bank Guarantees in International Trade. 4th edn. The Hague: Kluwer Law International.</w:t>
      </w:r>
    </w:p>
    <w:p>
      <w:pPr>
        <w:spacing w:after="80"/>
        <w:ind w:left="576" w:hanging="576"/>
        <w:jc w:val="both"/>
      </w:pPr>
      <w:r>
        <w:rPr>
          <w:sz w:val="20"/>
        </w:rPr>
        <w:t>Carletti, E., Leonello, A. and Marquez, R. (2023) 'Loan guarantees, bank underwriting policies and financial fragility', Journal of Financial Economics, 149(2), pp. 260–295.</w:t>
      </w:r>
    </w:p>
    <w:p>
      <w:pPr>
        <w:spacing w:after="80"/>
        <w:ind w:left="576" w:hanging="576"/>
        <w:jc w:val="both"/>
      </w:pPr>
      <w:r>
        <w:rPr>
          <w:sz w:val="20"/>
        </w:rPr>
        <w:t>Fishbein, M. and Ajzen, I. (1975) Belief, Attitude, Intention and Behavior: An Introduction to Theory and Research. Reading, MA: Addison-Wesley.</w:t>
      </w:r>
    </w:p>
    <w:p>
      <w:pPr>
        <w:spacing w:after="80"/>
        <w:ind w:left="576" w:hanging="576"/>
        <w:jc w:val="both"/>
      </w:pPr>
      <w:r>
        <w:rPr>
          <w:sz w:val="20"/>
        </w:rPr>
        <w:t>Hassan, A.A. et al. (2018) 'The problems and abuse of performance bond in the construction industry', IOP Conference Series: Earth and Environmental Science, 143, p. 012045.</w:t>
      </w:r>
    </w:p>
    <w:p>
      <w:pPr>
        <w:spacing w:after="80"/>
        <w:ind w:left="576" w:hanging="576"/>
        <w:jc w:val="both"/>
      </w:pPr>
      <w:r>
        <w:rPr>
          <w:sz w:val="20"/>
        </w:rPr>
        <w:t>Ho Dinh Phi et al. (2023) 'Effect of Service Quality on Customer Loyalty: the Mediation of Customer Satisfaction, and Corporate Reputation in Banking Industry', Eurasian Journal of Business and Management, 11(3), pp. 145–160.</w:t>
      </w:r>
    </w:p>
    <w:p>
      <w:pPr>
        <w:spacing w:after="80"/>
        <w:ind w:left="576" w:hanging="576"/>
        <w:jc w:val="both"/>
      </w:pPr>
      <w:r>
        <w:rPr>
          <w:sz w:val="20"/>
        </w:rPr>
        <w:t>International Chamber of Commerce (2010) Uniform Rules for Demand Guarantees (URDG 758). ICC Publication No. 758. Paris: ICC.</w:t>
      </w:r>
    </w:p>
    <w:p>
      <w:pPr>
        <w:spacing w:after="80"/>
        <w:ind w:left="576" w:hanging="576"/>
        <w:jc w:val="both"/>
      </w:pPr>
      <w:r>
        <w:rPr>
          <w:sz w:val="20"/>
        </w:rPr>
        <w:t>Kaur, M. (2015) 'Bank Selection Process and Market Segmentation: Evidence from Indian Exporting SMEs', Vision: The Journal of Business Perspective, 19(3), pp. 214–226.</w:t>
      </w:r>
    </w:p>
    <w:p>
      <w:pPr>
        <w:spacing w:after="80"/>
        <w:ind w:left="576" w:hanging="576"/>
        <w:jc w:val="both"/>
      </w:pPr>
      <w:r>
        <w:rPr>
          <w:sz w:val="20"/>
        </w:rPr>
        <w:t>Kaur, M. et al. (2021) 'The determinants of bank selection criteria of SMEs: a fuzzy analytic hierarchy approach', Journal of Science and Technology Policy Management, 12(4), pp. 580–605.</w:t>
      </w:r>
    </w:p>
    <w:p>
      <w:pPr>
        <w:spacing w:after="80"/>
        <w:ind w:left="576" w:hanging="576"/>
        <w:jc w:val="both"/>
      </w:pPr>
      <w:r>
        <w:rPr>
          <w:sz w:val="20"/>
        </w:rPr>
        <w:t>Le Van Dung (2021) 'The nature of payment guarantee relationships at credit institutions', Industry and Trade Magazine, 8(April), pp. 45–52.</w:t>
      </w:r>
    </w:p>
    <w:p>
      <w:pPr>
        <w:spacing w:after="80"/>
        <w:ind w:left="576" w:hanging="576"/>
        <w:jc w:val="both"/>
      </w:pPr>
      <w:r>
        <w:rPr>
          <w:sz w:val="20"/>
        </w:rPr>
        <w:t>Narteh, B. (2013) 'SME bank selection and patronage behaviour in the Ghanaian banking industry', Management Research Review, 36(11), pp. 1061–1080.</w:t>
      </w:r>
    </w:p>
    <w:p>
      <w:pPr>
        <w:spacing w:after="80"/>
        <w:ind w:left="576" w:hanging="576"/>
        <w:jc w:val="both"/>
      </w:pPr>
      <w:r>
        <w:rPr>
          <w:sz w:val="20"/>
        </w:rPr>
        <w:t>Ngo, M.V. and Nguyen, H.H. (2016) 'The Relationship between Service Quality, Customer Satisfaction and Customer Loyalty: An Investigation in Vietnamese Retail Banking Sector', Journal of Competitiveness, 8(2), pp. 103–116.</w:t>
      </w:r>
    </w:p>
    <w:p>
      <w:pPr>
        <w:spacing w:after="80"/>
        <w:ind w:left="576" w:hanging="576"/>
        <w:jc w:val="both"/>
      </w:pPr>
      <w:r>
        <w:rPr>
          <w:sz w:val="20"/>
        </w:rPr>
        <w:t>Nguyen, H. et al. (2024) 'The impact of service innovation on customer satisfaction and customer loyalty: a case in Vietnamese retail banks', Future Business Journal, 10(1), p. 14.</w:t>
      </w:r>
    </w:p>
    <w:p>
      <w:pPr>
        <w:spacing w:after="80"/>
        <w:ind w:left="576" w:hanging="576"/>
        <w:jc w:val="both"/>
      </w:pPr>
      <w:r>
        <w:rPr>
          <w:sz w:val="20"/>
        </w:rPr>
        <w:t>Nguyen Thi Nhung and Nguyen Duy Phu (2015) 'Payment guarantees at Vietnamese commercial banks', Development and Integration Magazine, 25(35), pp. 62–67.</w:t>
      </w:r>
    </w:p>
    <w:p>
      <w:pPr>
        <w:spacing w:after="80"/>
        <w:ind w:left="576" w:hanging="576"/>
        <w:jc w:val="both"/>
      </w:pPr>
      <w:r>
        <w:rPr>
          <w:sz w:val="20"/>
        </w:rPr>
        <w:t>Oke, A.E. (2018) 'Bonding capability of Nigerian contracting firms', Engineering, Construction and Architectural Management, 25(8), pp. 1012–1024.</w:t>
      </w:r>
    </w:p>
    <w:p>
      <w:pPr>
        <w:spacing w:after="80"/>
        <w:ind w:left="576" w:hanging="576"/>
        <w:jc w:val="both"/>
      </w:pPr>
      <w:r>
        <w:rPr>
          <w:sz w:val="20"/>
        </w:rPr>
        <w:t>Oliver, R.L. (1999) 'Whence Consumer Loyalty?', Journal of Marketing, 63(Special Issue), pp. 33–44.</w:t>
      </w:r>
    </w:p>
    <w:p>
      <w:pPr>
        <w:spacing w:after="80"/>
        <w:ind w:left="576" w:hanging="576"/>
        <w:jc w:val="both"/>
      </w:pPr>
      <w:r>
        <w:rPr>
          <w:sz w:val="20"/>
        </w:rPr>
        <w:t>Parasuraman, A., Zeithaml, V.A. and Berry, L.L. (1985) 'A Conceptual Model of Service Quality and Its Implications for Future Research', Journal of Marketing, 49(4), pp. 41–50.</w:t>
      </w:r>
    </w:p>
    <w:p>
      <w:pPr>
        <w:spacing w:after="80"/>
        <w:ind w:left="576" w:hanging="576"/>
        <w:jc w:val="both"/>
      </w:pPr>
      <w:r>
        <w:rPr>
          <w:sz w:val="20"/>
        </w:rPr>
        <w:t>Parasuraman, A., Zeithaml, V.A. and Berry, L.L. (1988) 'SERVQUAL: A Multiple-Item Scale for Measuring Consumer Perceptions of Service Quality', Journal of Retailing, 64(1), pp. 12–40.</w:t>
      </w:r>
    </w:p>
    <w:p>
      <w:pPr>
        <w:spacing w:after="80"/>
        <w:ind w:left="576" w:hanging="576"/>
        <w:jc w:val="both"/>
      </w:pPr>
      <w:r>
        <w:rPr>
          <w:sz w:val="20"/>
        </w:rPr>
        <w:t>Phan Thi Hang Nga et al. (2024) 'Service quality, customer satisfaction and loyalty: a case study in Vietnamese SMEs', Cogent Business &amp; Management, 11(1), p. 2304512.</w:t>
      </w:r>
    </w:p>
    <w:p>
      <w:pPr>
        <w:spacing w:after="80"/>
        <w:ind w:left="576" w:hanging="576"/>
        <w:jc w:val="both"/>
      </w:pPr>
      <w:r>
        <w:rPr>
          <w:sz w:val="20"/>
        </w:rPr>
        <w:t>State Bank of Vietnam (2024) Circular No. 61/2024/TT-NHNN dated December 31, 2024, providing regulations on bank guarantees (effective April 1, 2025). Hanoi: SBV.</w:t>
      </w:r>
    </w:p>
    <w:p>
      <w:pPr>
        <w:spacing w:after="80"/>
        <w:ind w:left="576" w:hanging="576"/>
        <w:jc w:val="both"/>
      </w:pPr>
      <w:r>
        <w:rPr>
          <w:sz w:val="20"/>
        </w:rPr>
        <w:t>Turnbull, P.W. and Gibbs, M.L. (1989) 'The Selection of Banks and Banking Services among Corporate Customers in South Africa', International Journal of Bank Marketing, 7(5), pp. 36–42.</w:t>
      </w:r>
    </w:p>
    <w:p>
      <w:pPr>
        <w:spacing w:after="80"/>
        <w:ind w:left="576" w:hanging="576"/>
        <w:jc w:val="both"/>
      </w:pPr>
      <w:r>
        <w:rPr>
          <w:sz w:val="20"/>
        </w:rPr>
        <w:t>Zeithaml, V.A. (1988) 'Consumer Perceptions of Price, Quality, and Value: A Means-End Model and Synthesis of Evidence', Journal of Marketing, 52(3), pp. 2–22.</w:t>
      </w:r>
    </w:p>
    <w:p>
      <w:pPr>
        <w:spacing w:after="80"/>
        <w:ind w:left="576" w:hanging="576"/>
        <w:jc w:val="both"/>
      </w:pPr>
      <w:r>
        <w:rPr>
          <w:sz w:val="20"/>
        </w:rPr>
        <w:t>Zeithaml, V.A. (1996) 'The Behavioral Consequences of Service Quality', Journal of Marketing, 60(2), pp. 31–46.</w:t>
      </w:r>
    </w:p>
    <w:p>
      <w:pPr>
        <w:spacing w:after="80"/>
        <w:ind w:left="576" w:hanging="576"/>
        <w:jc w:val="both"/>
      </w:pPr>
      <w:r>
        <w:rPr>
          <w:sz w:val="20"/>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