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CORPORATE CUSTOMERS' DECISION TO CHOOSE BANK GUARANTEE PRODUCTS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spacing w:after="120"/>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spacing w:after="120"/>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spacing w:after="120"/>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spacing w:after="120"/>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spacing w:after="120"/>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pPr>
        <w:spacing w:after="80"/>
        <w:jc w:val="both"/>
      </w:pPr>
      <w:r>
        <w:t>The following sub-questions will be investigated to answer the general objective:</w:t>
      </w:r>
    </w:p>
    <w:p>
      <w:pPr>
        <w:spacing w:after="80"/>
        <w:ind w:left="432"/>
        <w:jc w:val="both"/>
      </w:pPr>
      <w:r>
        <w:rPr>
          <w:b/>
        </w:rPr>
        <w:t xml:space="preserve">1. </w:t>
      </w:r>
      <w:r>
        <w:t>What factors affect corporate customers' decision to choose bank guarantee products at VietinBank?</w:t>
      </w:r>
    </w:p>
    <w:p>
      <w:pPr>
        <w:spacing w:after="80"/>
        <w:ind w:left="432"/>
        <w:jc w:val="both"/>
      </w:pPr>
      <w:r>
        <w:rPr>
          <w:b/>
        </w:rPr>
        <w:t xml:space="preserve">2. </w:t>
      </w:r>
      <w:r>
        <w:t>What is the direction and magnitude of each factor's impact on the selection decision?</w:t>
      </w:r>
    </w:p>
    <w:p>
      <w:pPr>
        <w:spacing w:after="80"/>
        <w:ind w:left="432"/>
        <w:jc w:val="both"/>
      </w:pPr>
      <w:r>
        <w:rPr>
          <w:b/>
        </w:rPr>
        <w:t xml:space="preserve">3. </w:t>
      </w:r>
      <w:r>
        <w:t>Do impact magnitudes differ across corporate subgroups categorized by ownership structure, revenue scale, operating age, and guarantee types used?</w:t>
      </w:r>
    </w:p>
    <w:p>
      <w:pPr>
        <w:spacing w:after="80"/>
        <w:ind w:left="432"/>
        <w:jc w:val="both"/>
      </w:pPr>
      <w:r>
        <w:rPr>
          <w:b/>
        </w:rPr>
        <w:t xml:space="preserve">4. </w:t>
      </w:r>
      <w:r>
        <w:t>What managerial implications should VietinBank prioritize to enhance its selection probability as the preferred issuing bank?</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general and specific objectives, sub-questions, and thesis structure.</w:t>
      </w:r>
    </w:p>
    <w:p>
      <w:pPr>
        <w:spacing w:after="80"/>
        <w:ind w:left="432"/>
        <w:jc w:val="both"/>
      </w:pPr>
      <w: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r>
    </w:p>
    <w:p>
      <w:pPr>
        <w:spacing w:after="80"/>
        <w:ind w:left="432"/>
        <w:jc w:val="both"/>
      </w:pPr>
      <w: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r>
    </w:p>
    <w:p>
      <w:pPr>
        <w:spacing w:after="160"/>
        <w:ind w:left="432"/>
        <w:jc w:val="both"/>
      </w:pPr>
      <w: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spacing w:after="120"/>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spacing w:after="120"/>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spacing w:after="80"/>
        <w:jc w:val="both"/>
      </w:pPr>
      <w:r>
        <w:t>Corporate bank selection represents organizational buying behavior explained by three integrated theoretical models:</w:t>
      </w:r>
    </w:p>
    <w:p>
      <w:pPr>
        <w:spacing w:after="80"/>
        <w:ind w:left="432"/>
        <w:jc w:val="both"/>
      </w:pPr>
      <w:r>
        <w:rPr>
          <w:b/>
        </w:rPr>
        <w:t xml:space="preserve">1. </w:t>
      </w:r>
      <w:r>
        <w:t>Theory of Reasoned Action (TRA, Fishbein &amp; Ajzen, 1975) &amp; Theory of Planned Behavior (TPB, Ajzen, 1991): Establishes that beliefs regarding service attributes form attitudes and perceived behavioral control, driving selection intention.</w:t>
      </w:r>
    </w:p>
    <w:p>
      <w:pPr>
        <w:spacing w:after="80"/>
        <w:ind w:left="432"/>
        <w:jc w:val="both"/>
      </w:pPr>
      <w:r>
        <w:rPr>
          <w:b/>
        </w:rPr>
        <w:t xml:space="preserve">2. </w:t>
      </w:r>
      <w:r>
        <w:t>SERVQUAL Model (Parasuraman, Zeithaml &amp; Berry, 1985, 1988): Maps service quality dimensions—Reliability, Responsiveness, Assurance, Empathy, and Tangibles—to bank guarantee attributes (SPE, STA, REP, CUS, DIG).</w:t>
      </w:r>
    </w:p>
    <w:p>
      <w:pPr>
        <w:spacing w:after="160"/>
        <w:ind w:left="432"/>
        <w:jc w:val="both"/>
      </w:pPr>
      <w:r>
        <w:rPr>
          <w:b/>
        </w:rPr>
        <w:t xml:space="preserve">3. </w:t>
      </w:r>
      <w:r>
        <w:t>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spacing w:after="120"/>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spacing w:after="120"/>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spacing w:after="200"/>
        <w:jc w:val="center"/>
      </w:pPr>
      <w:r>
        <w:rPr>
          <w:b/>
          <w:sz w:val="21"/>
        </w:rPr>
        <w:t>DEC = β0 + β1*COST + β2*COL + β3*SPE + β4*REP + β5*STA + β6*REL + β7*DIG + β8*CUS + β9*RSK + β10*NET + ε                             (1)</w:t>
      </w:r>
    </w:p>
    <w:p>
      <w:pPr>
        <w:spacing w:after="80"/>
      </w:pPr>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pStyle w:val="Heading2"/>
      </w:pPr>
      <w:r>
        <w:t>3.2. Data Collection and Pre-Tests</w:t>
      </w:r>
    </w:p>
    <w:p>
      <w:pPr>
        <w:spacing w:after="120"/>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pPr>
        <w:pStyle w:val="Heading2"/>
      </w:pPr>
      <w:r>
        <w:t>3.3. Anticipated Findings and Interpretation</w:t>
      </w:r>
    </w:p>
    <w:p>
      <w:pPr>
        <w:spacing w:after="80"/>
        <w:jc w:val="both"/>
      </w:pPr>
      <w:r>
        <w:t>Based on theoretical frameworks and banking context, the following results are anticipated:</w:t>
      </w:r>
    </w:p>
    <w:p>
      <w:pPr>
        <w:spacing w:after="80"/>
        <w:ind w:left="432"/>
        <w:jc w:val="both"/>
      </w:pPr>
      <w:r>
        <w:t>• COST (X1) is expected to exert a statistically significant negative impact (β1 &lt; 0), confirming price sensitivity.</w:t>
      </w:r>
    </w:p>
    <w:p>
      <w:pPr>
        <w:spacing w:after="160"/>
        <w:ind w:left="432"/>
        <w:jc w:val="both"/>
      </w:pPr>
      <w: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spacing w:after="120"/>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spacing w:after="120"/>
        <w:ind w:left="0" w:firstLine="0"/>
        <w:jc w:val="left"/>
      </w:pPr>
      <w:r>
        <w:rPr>
          <w:sz w:val="21"/>
        </w:rPr>
        <w:t>Ajzen, I. (1991) 'The Theory of Planned Behavior', Organizational Behavior and Human Decision Processes, 50(2), pp. 179–211.</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Fishbein, M. and Ajzen, I. (1975) Belief, Attitude, Intention and Behavior: An Introduction to Theory and Research. Reading, MA: Addison-Wesley.</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(2015) 'Bank Selection Process and Market Segmentation: Evidence from Indian Exporting SMEs', Vision: The Journal of Business Perspective, 19(3), pp. 214–226.</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Ngo, M.V. and Nguyen, H.H. (2016) 'The Relationship between Service Quality, Customer Satisfaction and Customer Loyalty: An Investigation in Vietnamese Retail Banking Sector', Journal of Competitiveness, 8(2), pp. 103–116.</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Oliver, R.L. (1999) 'Whence Consumer Loyalty?', Journal of Marketing, 63(Special Issue), pp. 33–44.</w:t>
      </w:r>
    </w:p>
    <w:p>
      <w:pPr>
        <w:spacing w:after="120"/>
        <w:ind w:left="0" w:firstLine="0"/>
        <w:jc w:val="left"/>
      </w:pPr>
      <w:r>
        <w:rPr>
          <w:sz w:val="21"/>
        </w:rPr>
        <w:t>Parasuraman, A., Zeithaml, V.A. and Berry, L.L. (1985) 'A Conceptual Model of Service Quality and Its Implications for Future Research', Journal of Marketing, 49(4), pp. 41–50.</w:t>
      </w:r>
    </w:p>
    <w:p>
      <w:pPr>
        <w:spacing w:after="120"/>
        <w:ind w:left="0" w:firstLine="0"/>
        <w:jc w:val="left"/>
      </w:pPr>
      <w:r>
        <w:rPr>
          <w:sz w:val="21"/>
        </w:rPr>
        <w:t>Parasuraman, A., Zeithaml, V.A. and Berry, L.L. (1988) 'SERVQUAL: A Multiple-Item Scale for Measuring Consumer Perceptions of Service Quality', Journal of Retailing, 64(1), pp. 12–40.</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