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0BDB" w:rsidRPr="00607EAE" w:rsidRDefault="00B05FF3">
      <w:pPr>
        <w:spacing w:after="4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  <w:sz w:val="26"/>
        </w:rPr>
        <w:t>VIETNAM-NETHERLANDS MASTER’S PROGRAM IN DEVELOPMENT ECONOMICS (MDE)</w:t>
      </w:r>
    </w:p>
    <w:p w:rsidR="006B0BDB" w:rsidRPr="00607EAE" w:rsidRDefault="00B05FF3">
      <w:pPr>
        <w:spacing w:after="36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  <w:sz w:val="30"/>
        </w:rPr>
        <w:t>THESIS DESIGN</w:t>
      </w:r>
    </w:p>
    <w:p w:rsidR="006B0BDB" w:rsidRPr="00607EAE" w:rsidRDefault="00B05FF3">
      <w:pPr>
        <w:spacing w:after="72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  <w:sz w:val="28"/>
        </w:rPr>
        <w:t>FACTORS AFFECTING CORPORATE CUSTOMERS’ DECISION TO CHOOSE BANK GUARANTEE SERVICES AT VIETNAM JOINT STOCK COMMERCIAL BANK FOR INDUSTRY AND TRADE (VIETINBANK)</w:t>
      </w:r>
    </w:p>
    <w:p w:rsidR="006B0BDB" w:rsidRPr="00607EAE" w:rsidRDefault="00B05FF3">
      <w:pPr>
        <w:spacing w:after="8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Supervisor(s): </w:t>
      </w:r>
      <w:r w:rsidRPr="00607EAE">
        <w:rPr>
          <w:rFonts w:cs="Times New Roman"/>
          <w:b/>
          <w:color w:val="auto"/>
        </w:rPr>
        <w:t>Dr. Hoang Thi Thuy Nga</w:t>
      </w:r>
    </w:p>
    <w:p w:rsidR="006B0BDB" w:rsidRPr="00607EAE" w:rsidRDefault="00B05FF3">
      <w:pPr>
        <w:spacing w:after="36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>Student: Dang Tu Linh, MDE Class 31</w:t>
      </w:r>
    </w:p>
    <w:p w:rsidR="006B0BDB" w:rsidRPr="00607EAE" w:rsidRDefault="00B05FF3">
      <w:pPr>
        <w:jc w:val="center"/>
        <w:rPr>
          <w:rFonts w:cs="Times New Roman"/>
          <w:color w:val="auto"/>
        </w:rPr>
      </w:pPr>
      <w:r w:rsidRPr="00607EAE">
        <w:rPr>
          <w:rFonts w:cs="Times New Roman"/>
          <w:i/>
          <w:color w:val="auto"/>
          <w:sz w:val="22"/>
        </w:rPr>
        <w:t>Hanoi, 06/2026</w:t>
      </w:r>
    </w:p>
    <w:p w:rsidR="006B0BDB" w:rsidRPr="00607EAE" w:rsidRDefault="00B05FF3">
      <w:pPr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br w:type="page"/>
      </w:r>
    </w:p>
    <w:p w:rsidR="006B0BDB" w:rsidRPr="00607EAE" w:rsidRDefault="00B05FF3">
      <w:pPr>
        <w:pStyle w:val="Heading1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lastRenderedPageBreak/>
        <w:t>I. Introduction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1.1. Research Rationales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In modern commercial banking, bank guarantee operations represent a strategic off-balance sheet credit instrument designed to facilitate hi</w:t>
      </w:r>
      <w:r w:rsidRPr="00607EAE">
        <w:rPr>
          <w:rFonts w:cs="Times New Roman"/>
          <w:color w:val="auto"/>
        </w:rPr>
        <w:t>gh-value commercial dealings, infrastructure projects, and international trade transactions. Under Article 18 of Decree No. 37/2015/ND-CP (amended and supplemented by Decree No. 35/2023/ND-CP), contractors participating in public engineering and constructi</w:t>
      </w:r>
      <w:r w:rsidRPr="00607EAE">
        <w:rPr>
          <w:rFonts w:cs="Times New Roman"/>
          <w:color w:val="auto"/>
        </w:rPr>
        <w:t>on contracts exceeding 1 billion VND are legally obligated to provide advance payment guarantees; Bidding Law No. 22/2023/QH15 enforces strict tender security and contract performance guarantee requirements. In international trade, letters of guarantee iss</w:t>
      </w:r>
      <w:r w:rsidRPr="00607EAE">
        <w:rPr>
          <w:rFonts w:cs="Times New Roman"/>
          <w:color w:val="auto"/>
        </w:rPr>
        <w:t>ued under the Uniform Rules for Demand Guarantees (URDG 758) serve as essential collateral substitutes, enabling corporate liquidity without cash margin lockup.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From the corporate client's perspective, selecting a commercial bank to issue letters of guaran</w:t>
      </w:r>
      <w:r w:rsidRPr="00607EAE">
        <w:rPr>
          <w:rFonts w:cs="Times New Roman"/>
          <w:color w:val="auto"/>
        </w:rPr>
        <w:t xml:space="preserve">tee is a multi-dimensional strategic decision. Enterprises evaluate not only fee pricing competitiveness, processing speed, and collateral margin flexibility, but also the issuing bank's financial reputation, legal advisory competence, relationship credit </w:t>
      </w:r>
      <w:r w:rsidRPr="00607EAE">
        <w:rPr>
          <w:rFonts w:cs="Times New Roman"/>
          <w:color w:val="auto"/>
        </w:rPr>
        <w:t>limits, and digital banking capabilities. A guarantee letter issued by a prestigious Big4 bank like VietinBank provides immediate credibility to project owners and foreign counterparties, ensuring seamless contract execution.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From the commercial bank's per</w:t>
      </w:r>
      <w:r w:rsidRPr="00607EAE">
        <w:rPr>
          <w:rFonts w:cs="Times New Roman"/>
          <w:color w:val="auto"/>
        </w:rPr>
        <w:t>spective, bank guarantee issuance generates steady non-interest fee income while consuming lower regulatory capital under Basel credit conversion factors (CCF). However, commercial banks face intense interbank competition from domestic and foreign institut</w:t>
      </w:r>
      <w:r w:rsidRPr="00607EAE">
        <w:rPr>
          <w:rFonts w:cs="Times New Roman"/>
          <w:color w:val="auto"/>
        </w:rPr>
        <w:t>ions. State Bank of Vietnam Circular No. 61/2024/TT-NHNN (effective April 1, 2025, replacing Circular No. 11/2022/TT-NHNN) establishes an updated legal framework for electronic guarantees (e-guarantees). Understanding what specific service attributes drive</w:t>
      </w:r>
      <w:r w:rsidRPr="00607EAE">
        <w:rPr>
          <w:rFonts w:cs="Times New Roman"/>
          <w:color w:val="auto"/>
        </w:rPr>
        <w:t xml:space="preserve"> corporate customers' patronage decisions is vital for VietinBank to enhance product attractiveness and market share.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VietinBank—one of Vietnam's Big4 state-owned commercial banks—maintains an extensive corporate banking network across 155 domestic branche</w:t>
      </w:r>
      <w:r w:rsidRPr="00607EAE">
        <w:rPr>
          <w:rFonts w:cs="Times New Roman"/>
          <w:color w:val="auto"/>
        </w:rPr>
        <w:t>s. While previous empirical studies focus primarily on retail banking selection or general service quality, comprehensive quantitative models evaluating corporate guarantee selection decisions integrated with digital eFAST adoption remain scarce. Utilizing</w:t>
      </w:r>
      <w:r w:rsidRPr="00607EAE">
        <w:rPr>
          <w:rFonts w:cs="Times New Roman"/>
          <w:color w:val="auto"/>
        </w:rPr>
        <w:t xml:space="preserve"> an established corporate survey dataset (n = 800) across 155 branches, this research investigates the primary drivers influencing corporate customers' patronage decisions. Hence, the author selects the topic: "Factors Affecting Corporate Customers’ Decisi</w:t>
      </w:r>
      <w:r w:rsidRPr="00607EAE">
        <w:rPr>
          <w:rFonts w:cs="Times New Roman"/>
          <w:color w:val="auto"/>
        </w:rPr>
        <w:t>on to Choose Bank Guarantee Services at Vietnam Joint Stock Commercial Bank for Industry and Trade (VietinBank)".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lastRenderedPageBreak/>
        <w:t>1.2. General Objectives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The general objective of this study is to identify and assess the factors associated with corporate customers’ decisio</w:t>
      </w:r>
      <w:r w:rsidRPr="00607EAE">
        <w:rPr>
          <w:rFonts w:cs="Times New Roman"/>
          <w:color w:val="auto"/>
        </w:rPr>
        <w:t>n to choose VietinBank for bank guarantee services, and to propose managerial recommendations for improving VietinBank’s attractiveness and competitiveness in the corporate bank guarantee market.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1.3. Specific Objectives</w:t>
      </w:r>
    </w:p>
    <w:p w:rsidR="006B0BDB" w:rsidRPr="00607EAE" w:rsidRDefault="00B05FF3">
      <w:pPr>
        <w:spacing w:after="80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The study aims to fulfill the follo</w:t>
      </w:r>
      <w:r w:rsidRPr="00607EAE">
        <w:rPr>
          <w:rFonts w:cs="Times New Roman"/>
          <w:color w:val="auto"/>
        </w:rPr>
        <w:t>wing four specific objectives: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1. </w:t>
      </w:r>
      <w:r w:rsidRPr="00607EAE">
        <w:rPr>
          <w:rFonts w:cs="Times New Roman"/>
          <w:color w:val="auto"/>
        </w:rPr>
        <w:t>Identify the key factors associated with corporate customers’ decision to choose VietinBank for bank guarantee services, based on relevant theories, previous empirical studies, and the characteristics of bank guarantee ser</w:t>
      </w:r>
      <w:r w:rsidRPr="00607EAE">
        <w:rPr>
          <w:rFonts w:cs="Times New Roman"/>
          <w:color w:val="auto"/>
        </w:rPr>
        <w:t>vices.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2. </w:t>
      </w:r>
      <w:r w:rsidRPr="00607EAE">
        <w:rPr>
          <w:rFonts w:cs="Times New Roman"/>
          <w:color w:val="auto"/>
        </w:rPr>
        <w:t>Assess the direction and relative importance of these factors in explaining corporate customers’ selection decisions.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3. </w:t>
      </w:r>
      <w:r w:rsidRPr="00607EAE">
        <w:rPr>
          <w:rFonts w:cs="Times New Roman"/>
          <w:color w:val="auto"/>
        </w:rPr>
        <w:t>Examine whether corporate customers’ selection decisions differ across major firm characteristics, such as ownership type, fi</w:t>
      </w:r>
      <w:r w:rsidRPr="00607EAE">
        <w:rPr>
          <w:rFonts w:cs="Times New Roman"/>
          <w:color w:val="auto"/>
        </w:rPr>
        <w:t>rm size, operating experience, and types of bank guarantees used.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4. </w:t>
      </w:r>
      <w:r w:rsidRPr="00607EAE">
        <w:rPr>
          <w:rFonts w:cs="Times New Roman"/>
          <w:color w:val="auto"/>
        </w:rPr>
        <w:t>Propose managerial recommendations for VietinBank to improve its bank guarantee products and services and strengthen its ability to attract and retain corporate customers.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1.4. Thesis Str</w:t>
      </w:r>
      <w:r w:rsidRPr="00607EAE">
        <w:rPr>
          <w:rFonts w:ascii="Times New Roman" w:hAnsi="Times New Roman" w:cs="Times New Roman"/>
          <w:color w:val="auto"/>
        </w:rPr>
        <w:t>ucture</w:t>
      </w:r>
    </w:p>
    <w:p w:rsidR="006B0BDB" w:rsidRPr="00607EAE" w:rsidRDefault="00B05FF3">
      <w:pPr>
        <w:spacing w:after="80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This thesis comprises four main chapters: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Chapter 1: Introduction – Presents research rationales, background context, general and specific objectives, sub-questions, and thesis structure.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 xml:space="preserve">• Chapter 2: Literature Review and Theoretical Framework – </w:t>
      </w:r>
      <w:r w:rsidRPr="00607EAE">
        <w:rPr>
          <w:rFonts w:cs="Times New Roman"/>
          <w:color w:val="auto"/>
        </w:rPr>
        <w:t>Synthesizes legal, economic, and banking selection foundations; reviews Financial Intermediation, Credit Risk Pricing, SERVQUAL, and Relationship Banking theories; analyzes empirical literature; and identifies key research gaps.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Chapter 3: Research Metho</w:t>
      </w:r>
      <w:r w:rsidRPr="00607EAE">
        <w:rPr>
          <w:rFonts w:cs="Times New Roman"/>
          <w:color w:val="auto"/>
        </w:rPr>
        <w:t>dology and Empirical Design – Outlines the 7-step quantitative procedure (Descriptive, Cronbach's Alpha, EFA, Factor Scores, Pearson Correlation, VIF, OLS Regression, and Sub-group ANOVA/t-tests); defines dependent (DEC) and 7 independent variables; and de</w:t>
      </w:r>
      <w:r w:rsidRPr="00607EAE">
        <w:rPr>
          <w:rFonts w:cs="Times New Roman"/>
          <w:color w:val="auto"/>
        </w:rPr>
        <w:t>scribes the survey dataset (n = 800).</w:t>
      </w:r>
    </w:p>
    <w:p w:rsidR="006B0BDB" w:rsidRPr="00607EAE" w:rsidRDefault="00B05FF3">
      <w:pPr>
        <w:spacing w:after="16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Chapter 4: Empirical Results, Discussion and Policy Recommendations – Reports EFA factor loadings, regression elasticities, sub-group difference tests, and formulates strategic managerial recommendations for VietinBa</w:t>
      </w:r>
      <w:r w:rsidRPr="00607EAE">
        <w:rPr>
          <w:rFonts w:cs="Times New Roman"/>
          <w:color w:val="auto"/>
        </w:rPr>
        <w:t>nk.</w:t>
      </w:r>
    </w:p>
    <w:p w:rsidR="006B0BDB" w:rsidRPr="00607EAE" w:rsidRDefault="00B05FF3">
      <w:pPr>
        <w:pStyle w:val="Heading1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lastRenderedPageBreak/>
        <w:t>II. Literature Review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2.1. Theoretical Foundations and Legal Context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Under Vietnamese law, State Bank of Vietnam Circular No. 61/2024/TT-NHNN (effective April 1, 2025, replacing Circular No. 11/2022/TT-NHNN) regulates the legal operational framework fo</w:t>
      </w:r>
      <w:r w:rsidRPr="00607EAE">
        <w:rPr>
          <w:rFonts w:cs="Times New Roman"/>
          <w:color w:val="auto"/>
        </w:rPr>
        <w:t>r bank guarantees, defining guarantee issuance as a non-funded credit extension commitment. Article 335 of the 2015 Civil Code sets civil guarantee obligations, while ICC Uniform Rules for Demand Guarantees (URDG 758) govern international counter-guarantee</w:t>
      </w:r>
      <w:r w:rsidRPr="00607EAE">
        <w:rPr>
          <w:rFonts w:cs="Times New Roman"/>
          <w:color w:val="auto"/>
        </w:rPr>
        <w:t xml:space="preserve"> practices.</w:t>
      </w:r>
    </w:p>
    <w:p w:rsidR="006B0BDB" w:rsidRPr="00607EAE" w:rsidRDefault="00B05FF3">
      <w:pPr>
        <w:spacing w:after="80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Corporate bank guarantee selection and patronage decisions are grounded in five foundational economic and management theories: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1. </w:t>
      </w:r>
      <w:r w:rsidRPr="00607EAE">
        <w:rPr>
          <w:rFonts w:cs="Times New Roman"/>
          <w:color w:val="auto"/>
        </w:rPr>
        <w:t>Financial Intermediation &amp; Delegated Monitoring Theory (Diamond, 1984; Ramakrishnan &amp; Thakor, 1984): Explains that</w:t>
      </w:r>
      <w:r w:rsidRPr="00607EAE">
        <w:rPr>
          <w:rFonts w:cs="Times New Roman"/>
          <w:color w:val="auto"/>
        </w:rPr>
        <w:t xml:space="preserve"> commercial banks act as specialized information producers whose letters of guarantee signal corporate creditworthiness to third-party beneficiaries.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2. </w:t>
      </w:r>
      <w:r w:rsidRPr="00607EAE">
        <w:rPr>
          <w:rFonts w:cs="Times New Roman"/>
          <w:color w:val="auto"/>
        </w:rPr>
        <w:t xml:space="preserve">Credit Risk Pricing &amp; Contingent Claim Theory (Merton, 1974; Stiglitz &amp; Weiss, 1981): Establishes that </w:t>
      </w:r>
      <w:r w:rsidRPr="00607EAE">
        <w:rPr>
          <w:rFonts w:cs="Times New Roman"/>
          <w:color w:val="auto"/>
        </w:rPr>
        <w:t>bank guarantee fee competitiveness and margin requirements reflect underlying credit risk profiles and collateral protection.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3. </w:t>
      </w:r>
      <w:r w:rsidRPr="00607EAE">
        <w:rPr>
          <w:rFonts w:cs="Times New Roman"/>
          <w:color w:val="auto"/>
        </w:rPr>
        <w:t>SERVQUAL Service Quality Model (Parasuraman, Zeithaml &amp; Berry, 1988): Framework measuring customer perception across service di</w:t>
      </w:r>
      <w:r w:rsidRPr="00607EAE">
        <w:rPr>
          <w:rFonts w:cs="Times New Roman"/>
          <w:color w:val="auto"/>
        </w:rPr>
        <w:t>mensions. Note that in corporate B2B banking, Bank Reputation (BANK_REP) is distinguished from operational Reliability.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4. </w:t>
      </w:r>
      <w:r w:rsidRPr="00607EAE">
        <w:rPr>
          <w:rFonts w:cs="Times New Roman"/>
          <w:color w:val="auto"/>
        </w:rPr>
        <w:t>Relationship Banking Theory (Boot, 2000; Berger &amp; Udell, 1995): Demonstrates that multi-product credit ties and long-term history red</w:t>
      </w:r>
      <w:r w:rsidRPr="00607EAE">
        <w:rPr>
          <w:rFonts w:cs="Times New Roman"/>
          <w:color w:val="auto"/>
        </w:rPr>
        <w:t>uce asymmetric information, enabling customized guarantee limits and fee discounts.</w:t>
      </w:r>
    </w:p>
    <w:p w:rsidR="006B0BDB" w:rsidRPr="00607EAE" w:rsidRDefault="00B05FF3">
      <w:pPr>
        <w:spacing w:after="16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5. </w:t>
      </w:r>
      <w:r w:rsidRPr="00607EAE">
        <w:rPr>
          <w:rFonts w:cs="Times New Roman"/>
          <w:color w:val="auto"/>
        </w:rPr>
        <w:t>Technology Acceptance Model &amp; Digital Banking (Davis, 1989; Venkatesh et al., 2003): Explains how perceived usefulness and ease-of-use drive corporate adoption of digita</w:t>
      </w:r>
      <w:r w:rsidRPr="00607EAE">
        <w:rPr>
          <w:rFonts w:cs="Times New Roman"/>
          <w:color w:val="auto"/>
        </w:rPr>
        <w:t>l channels (VietinBank eFAST e-guarantees).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2.2. Empirical Review and Research Gaps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Empirical literature spans corporate bank selection criteria (Turnbull &amp; Gibbs, 1989; Narteh, 2013; Kaur et al., 2021; Zelie, 2023), Vietnamese B2B service quality (Phan Th</w:t>
      </w:r>
      <w:r w:rsidRPr="00607EAE">
        <w:rPr>
          <w:rFonts w:cs="Times New Roman"/>
          <w:color w:val="auto"/>
        </w:rPr>
        <w:t>i Hang Nga et al., 2024; Ho Dinh Phi et al., 2023; Nguyen et al., 2024), and trade finance practices (Al-Sabbagh &amp; Al-Khathlan, 2018; Le Van Dung, 2021). Four key research gaps are identified: (i) limited empirical focus on off-balance sheet bank guarantee</w:t>
      </w:r>
      <w:r w:rsidRPr="00607EAE">
        <w:rPr>
          <w:rFonts w:cs="Times New Roman"/>
          <w:color w:val="auto"/>
        </w:rPr>
        <w:t>s compared to general loan selection; (ii) lack of integrated models evaluating price competitiveness alongside digital eFAST adoption; (iii) absence of sub-group comparative analysis across corporate ownership types and guarantee product types in Vietnam;</w:t>
      </w:r>
      <w:r w:rsidRPr="00607EAE">
        <w:rPr>
          <w:rFonts w:cs="Times New Roman"/>
          <w:color w:val="auto"/>
        </w:rPr>
        <w:t xml:space="preserve"> and (iv) lack of large-scale system-wide corporate empirical studies within VietinBank (n = 800).</w:t>
      </w:r>
    </w:p>
    <w:p w:rsidR="006B0BDB" w:rsidRPr="00607EAE" w:rsidRDefault="00B05FF3">
      <w:pPr>
        <w:pStyle w:val="Heading1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lastRenderedPageBreak/>
        <w:t>III. Empirical Analysis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3.1. Methodology and Proposed Econometric Model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 xml:space="preserve">Following the advisor's methodological guidance, the quantitative analysis follows a </w:t>
      </w:r>
      <w:r w:rsidRPr="00607EAE">
        <w:rPr>
          <w:rFonts w:cs="Times New Roman"/>
          <w:color w:val="auto"/>
        </w:rPr>
        <w:t>rigorous 7-step procedure: (1) Descriptive Statistics; (2) Reliability Analysis via Cronbach's Alpha (threshold &gt;= 0.60, item-total correlation &gt;= 0.30); (3) Exploratory Factor Analysis (EFA) with Varimax rotation (KMO &gt;= 0.50, Eigenvalues &gt;= 1.0, Cumulati</w:t>
      </w:r>
      <w:r w:rsidRPr="00607EAE">
        <w:rPr>
          <w:rFonts w:cs="Times New Roman"/>
          <w:color w:val="auto"/>
        </w:rPr>
        <w:t xml:space="preserve">ve Variance &gt;= 50%); (4) Construction of Representative Factor Variables; (5) Pearson Correlation Matrix Analysis; (6) Multicollinearity Diagnostics via Variance Inflation Factor (VIF &lt; 5); and (7) Multiple Linear Regression (OLS) and Sub-group Difference </w:t>
      </w:r>
      <w:r w:rsidRPr="00607EAE">
        <w:rPr>
          <w:rFonts w:cs="Times New Roman"/>
          <w:color w:val="auto"/>
        </w:rPr>
        <w:t>Testing (Independent Samples t-test and One-way ANOVA).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The empirical regression equation is specified as follows:</w:t>
      </w:r>
    </w:p>
    <w:p w:rsidR="006B0BDB" w:rsidRPr="00607EAE" w:rsidRDefault="00B05FF3">
      <w:pPr>
        <w:spacing w:after="200"/>
        <w:jc w:val="center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  <w:sz w:val="21"/>
        </w:rPr>
        <w:t>DEC = β0 + β1*COST_COMP + β2*PROC_SPEED + β3*DIGITAL_CONV + β4*BANK_REP + β5*RELATIONSHIP + β6*STAFF_QUAL + β7*COLL_POLICY + ε     (1)</w:t>
      </w:r>
    </w:p>
    <w:p w:rsidR="006B0BDB" w:rsidRPr="00607EAE" w:rsidRDefault="00B05FF3">
      <w:pPr>
        <w:spacing w:after="80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  <w:sz w:val="22"/>
        </w:rPr>
        <w:t xml:space="preserve">Table </w:t>
      </w:r>
      <w:r w:rsidRPr="00607EAE">
        <w:rPr>
          <w:rFonts w:cs="Times New Roman"/>
          <w:b/>
          <w:color w:val="auto"/>
          <w:sz w:val="22"/>
        </w:rPr>
        <w:t>1: Variable Definitions and Quantitative Measurement Specifications (Option 2)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3600"/>
        <w:gridCol w:w="1296"/>
        <w:gridCol w:w="864"/>
      </w:tblGrid>
      <w:tr w:rsidR="00607EAE" w:rsidRPr="00607EAE">
        <w:trPr>
          <w:jc w:val="center"/>
        </w:trPr>
        <w:tc>
          <w:tcPr>
            <w:tcW w:w="1728" w:type="dxa"/>
            <w:shd w:val="clear" w:color="auto" w:fill="003366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  <w:sz w:val="19"/>
              </w:rPr>
              <w:t>Code</w:t>
            </w:r>
          </w:p>
        </w:tc>
        <w:tc>
          <w:tcPr>
            <w:tcW w:w="2592" w:type="dxa"/>
            <w:shd w:val="clear" w:color="auto" w:fill="003366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  <w:sz w:val="19"/>
              </w:rPr>
              <w:t>Variable Name</w:t>
            </w:r>
          </w:p>
        </w:tc>
        <w:tc>
          <w:tcPr>
            <w:tcW w:w="3600" w:type="dxa"/>
            <w:shd w:val="clear" w:color="auto" w:fill="003366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  <w:sz w:val="19"/>
              </w:rPr>
              <w:t>Measurement Content / Data Source</w:t>
            </w:r>
          </w:p>
        </w:tc>
        <w:tc>
          <w:tcPr>
            <w:tcW w:w="1296" w:type="dxa"/>
            <w:shd w:val="clear" w:color="auto" w:fill="003366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  <w:sz w:val="19"/>
              </w:rPr>
              <w:t>Type</w:t>
            </w:r>
          </w:p>
        </w:tc>
        <w:tc>
          <w:tcPr>
            <w:tcW w:w="864" w:type="dxa"/>
            <w:shd w:val="clear" w:color="auto" w:fill="003366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  <w:sz w:val="19"/>
              </w:rPr>
              <w:t>Sign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DEC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Selection Decision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 xml:space="preserve">Corporate preference and decision to select VietinBank as primary guarantee bank (Likert </w:t>
            </w:r>
            <w:r w:rsidRPr="00607EAE">
              <w:rPr>
                <w:rFonts w:cs="Times New Roman"/>
                <w:color w:val="auto"/>
              </w:rPr>
              <w:t>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Dependent (Y)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N/A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COST_COMP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Price Competitiveness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Fee reasonableness, competitive pricing, and discount policy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(X1)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PROC_SPEED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Processing Speed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Underwriting turnaround time, fast issuance, and simple paperwork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(X2)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DIGITAL_CONV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Digital eFAST Convenience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24/7 online submission, e-guarantee issuance, and digital tracking via eFAST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(X3)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BANK_REP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Bank Reputation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Big4 brand prestige, financial capability, and universal mark</w:t>
            </w:r>
            <w:r w:rsidRPr="00607EAE">
              <w:rPr>
                <w:rFonts w:cs="Times New Roman"/>
                <w:color w:val="auto"/>
              </w:rPr>
              <w:t>et acceptance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(X4)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RELATIONSHIP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Relationship &amp; Limits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Credit limit flexibility, long-term relationship, and VIP customer care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(X5)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STAFF_QUAL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Staff Professionalism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 xml:space="preserve">RM competency, legal advisory under </w:t>
            </w:r>
            <w:r w:rsidRPr="00607EAE">
              <w:rPr>
                <w:rFonts w:cs="Times New Roman"/>
                <w:color w:val="auto"/>
              </w:rPr>
              <w:t>Bidding Law &amp; Circular 61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(X6)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  <w:tr w:rsidR="00607EAE" w:rsidRPr="00607EAE">
        <w:trPr>
          <w:jc w:val="center"/>
        </w:trPr>
        <w:tc>
          <w:tcPr>
            <w:tcW w:w="1728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lastRenderedPageBreak/>
              <w:t>COLL_POLICY</w:t>
            </w:r>
          </w:p>
        </w:tc>
        <w:tc>
          <w:tcPr>
            <w:tcW w:w="2592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Collateral &amp; Margin Flexibility</w:t>
            </w:r>
          </w:p>
        </w:tc>
        <w:tc>
          <w:tcPr>
            <w:tcW w:w="3600" w:type="dxa"/>
          </w:tcPr>
          <w:p w:rsidR="006B0BDB" w:rsidRPr="00607EAE" w:rsidRDefault="00B05FF3">
            <w:pPr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Flexible cash margin ratio, diverse pledged collateral types (Likert 1-5)</w:t>
            </w:r>
          </w:p>
        </w:tc>
        <w:tc>
          <w:tcPr>
            <w:tcW w:w="1296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color w:val="auto"/>
              </w:rPr>
              <w:t>Independent (X7)</w:t>
            </w:r>
          </w:p>
        </w:tc>
        <w:tc>
          <w:tcPr>
            <w:tcW w:w="864" w:type="dxa"/>
          </w:tcPr>
          <w:p w:rsidR="006B0BDB" w:rsidRPr="00607EAE" w:rsidRDefault="00B05FF3">
            <w:pPr>
              <w:jc w:val="center"/>
              <w:rPr>
                <w:rFonts w:cs="Times New Roman"/>
                <w:color w:val="auto"/>
              </w:rPr>
            </w:pPr>
            <w:r w:rsidRPr="00607EAE">
              <w:rPr>
                <w:rFonts w:cs="Times New Roman"/>
                <w:b/>
                <w:color w:val="auto"/>
              </w:rPr>
              <w:t>+</w:t>
            </w:r>
          </w:p>
        </w:tc>
      </w:tr>
    </w:tbl>
    <w:p w:rsidR="006B0BDB" w:rsidRPr="00607EAE" w:rsidRDefault="00B05FF3">
      <w:pPr>
        <w:spacing w:before="80" w:after="240"/>
        <w:rPr>
          <w:rFonts w:cs="Times New Roman"/>
          <w:color w:val="auto"/>
        </w:rPr>
      </w:pPr>
      <w:r w:rsidRPr="00607EAE">
        <w:rPr>
          <w:rFonts w:cs="Times New Roman"/>
          <w:i/>
          <w:color w:val="auto"/>
          <w:sz w:val="19"/>
        </w:rPr>
        <w:t xml:space="preserve">Source: Author's design based on VietinBank official </w:t>
      </w:r>
      <w:r w:rsidRPr="00607EAE">
        <w:rPr>
          <w:rFonts w:cs="Times New Roman"/>
          <w:i/>
          <w:color w:val="auto"/>
          <w:sz w:val="19"/>
        </w:rPr>
        <w:t>corporate survey database (34 items, n = 800).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3.2. Data Collection and Econometric Pre-Tests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The study utilizes an official survey dataset collected from n = 800 corporate customers across 155 VietinBank domestic branches nationwide. The survey instrument</w:t>
      </w:r>
      <w:r w:rsidRPr="00607EAE">
        <w:rPr>
          <w:rFonts w:cs="Times New Roman"/>
          <w:color w:val="auto"/>
        </w:rPr>
        <w:t xml:space="preserve"> contains 34 Likert-scale items covering 7 independent factors and the dependent selection variable. The sample size (n = 800) substantially exceeds standard statistical guidelines (n &gt;= 5 * total items = 170 for EFA; n &gt;= 50 + 8*k = 106 for regression). A</w:t>
      </w:r>
      <w:r w:rsidRPr="00607EAE">
        <w:rPr>
          <w:rFonts w:cs="Times New Roman"/>
          <w:color w:val="auto"/>
        </w:rPr>
        <w:t xml:space="preserve">nalytical steps executed in SPSS/Python include: Reliability analysis (Cronbach's Alpha &gt;= 0.60), EFA (KMO &gt;= 0.50, Varimax rotation), Factor Score extraction, Pearson correlation, VIF multicollinearity test (VIF &lt; 5), Pooled OLS regression, and Sub-group </w:t>
      </w:r>
      <w:r w:rsidRPr="00607EAE">
        <w:rPr>
          <w:rFonts w:cs="Times New Roman"/>
          <w:color w:val="auto"/>
        </w:rPr>
        <w:t>ANOVA / t-tests across corporate ownership, size, age, and guarantee product types.</w:t>
      </w:r>
    </w:p>
    <w:p w:rsidR="006B0BDB" w:rsidRPr="00607EAE" w:rsidRDefault="00B05FF3">
      <w:pPr>
        <w:pStyle w:val="Heading2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3.3. Anticipated Findings and Interpretation</w:t>
      </w:r>
    </w:p>
    <w:p w:rsidR="006B0BDB" w:rsidRPr="00607EAE" w:rsidRDefault="00B05FF3">
      <w:pPr>
        <w:spacing w:after="80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Based on theoretical frameworks and empirical literature, the following findings are anticipated: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All seven independent facto</w:t>
      </w:r>
      <w:r w:rsidRPr="00607EAE">
        <w:rPr>
          <w:rFonts w:cs="Times New Roman"/>
          <w:color w:val="auto"/>
        </w:rPr>
        <w:t>rs (COST_COMP, PROC_SPEED, DIGITAL_CONV, BANK_REP, RELATIONSHIP, STAFF_QUAL, COLL_POLICY) will exert positive, statistically significant impacts on corporate selection decisions (DEC).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 xml:space="preserve">• Price Competitiveness (COST_COMP) and Bank Reputation (BANK_REP) are </w:t>
      </w:r>
      <w:r w:rsidRPr="00607EAE">
        <w:rPr>
          <w:rFonts w:cs="Times New Roman"/>
          <w:color w:val="auto"/>
        </w:rPr>
        <w:t>expected to emerge as the strongest drivers of corporate bank selection.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Digital eFAST Convenience (DIGITAL_CONV) will show a high positive coefficient, validating that digital e-guarantee capabilities enhance bank attractiveness.</w:t>
      </w:r>
    </w:p>
    <w:p w:rsidR="006B0BDB" w:rsidRPr="00607EAE" w:rsidRDefault="00B05FF3">
      <w:pPr>
        <w:spacing w:after="16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• Sub-group ANOVA tests</w:t>
      </w:r>
      <w:r w:rsidRPr="00607EAE">
        <w:rPr>
          <w:rFonts w:cs="Times New Roman"/>
          <w:color w:val="auto"/>
        </w:rPr>
        <w:t xml:space="preserve"> will confirm significant differences in selection priority across corporate ownership types (SOEs vs Private vs FDI) and guarantee product types (Tender vs Performance vs Advance Payment Guarantees).</w:t>
      </w:r>
    </w:p>
    <w:p w:rsidR="006B0BDB" w:rsidRPr="00607EAE" w:rsidRDefault="00B05FF3">
      <w:pPr>
        <w:pStyle w:val="Heading1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IV. Conclusions and Managerial Recommendations</w:t>
      </w:r>
    </w:p>
    <w:p w:rsidR="006B0BDB" w:rsidRPr="00607EAE" w:rsidRDefault="00B05FF3">
      <w:pPr>
        <w:jc w:val="both"/>
        <w:rPr>
          <w:rFonts w:cs="Times New Roman"/>
          <w:color w:val="auto"/>
        </w:rPr>
      </w:pPr>
      <w:r w:rsidRPr="00607EAE">
        <w:rPr>
          <w:rFonts w:cs="Times New Roman"/>
          <w:color w:val="auto"/>
        </w:rPr>
        <w:t>To ensur</w:t>
      </w:r>
      <w:r w:rsidRPr="00607EAE">
        <w:rPr>
          <w:rFonts w:cs="Times New Roman"/>
          <w:color w:val="auto"/>
        </w:rPr>
        <w:t>e strict academic consistency, the managerial recommendations formulated in this section directly respond to the four specific research objectives (Q1 to Q4) set in Section 1.3: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>1. Policy Response to Objective 1 (Factor Identification &amp; Product Enhancement</w:t>
      </w:r>
      <w:r w:rsidRPr="00607EAE">
        <w:rPr>
          <w:rFonts w:cs="Times New Roman"/>
          <w:b/>
          <w:color w:val="auto"/>
        </w:rPr>
        <w:t xml:space="preserve">): </w:t>
      </w:r>
      <w:r w:rsidRPr="00607EAE">
        <w:rPr>
          <w:rFonts w:cs="Times New Roman"/>
          <w:color w:val="auto"/>
        </w:rPr>
        <w:t>VietinBank leadership should focus product enhancement strategies on the seven identified core drivers (COST_COMP, PROC_SPEED, DIGITAL_CONV, BANK_REP, RELATIONSHIP, STAFF_QUAL, COLL_POLICY), ensuring that guarantee products meet corporate operational ne</w:t>
      </w:r>
      <w:r w:rsidRPr="00607EAE">
        <w:rPr>
          <w:rFonts w:cs="Times New Roman"/>
          <w:color w:val="auto"/>
        </w:rPr>
        <w:t>eds.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2. Policy Response to Objective 2 (Price Competitiveness &amp; Service Optimization): </w:t>
      </w:r>
      <w:r w:rsidRPr="00607EAE">
        <w:rPr>
          <w:rFonts w:cs="Times New Roman"/>
          <w:color w:val="auto"/>
        </w:rPr>
        <w:t xml:space="preserve">Reflecting the strong positive impact of Price Competitiveness (COST_COMP) and </w:t>
      </w:r>
      <w:r w:rsidRPr="00607EAE">
        <w:rPr>
          <w:rFonts w:cs="Times New Roman"/>
          <w:color w:val="auto"/>
        </w:rPr>
        <w:lastRenderedPageBreak/>
        <w:t>Processing Speed (PROC_SPEED), VietinBank should implement transparent fee discounting sch</w:t>
      </w:r>
      <w:r w:rsidRPr="00607EAE">
        <w:rPr>
          <w:rFonts w:cs="Times New Roman"/>
          <w:color w:val="auto"/>
        </w:rPr>
        <w:t>edules for high-volume clients and streamline internal credit approval workflows to reduce issuance turnaround time.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3. Policy Response to Objective 3 (Sub-group Tailored Strategies): </w:t>
      </w:r>
      <w:r w:rsidRPr="00607EAE">
        <w:rPr>
          <w:rFonts w:cs="Times New Roman"/>
          <w:color w:val="auto"/>
        </w:rPr>
        <w:t>Addressing the empirical differences discovered across corporate ownersh</w:t>
      </w:r>
      <w:r w:rsidRPr="00607EAE">
        <w:rPr>
          <w:rFonts w:cs="Times New Roman"/>
          <w:color w:val="auto"/>
        </w:rPr>
        <w:t>ip types, firm sizes, and guarantee product lines, VietinBank should design tailored corporate service packages: offering high credit limits for large SOEs, digital eFAST shortcuts for tech-savvy private SMEs, and specialized URDG 758 counter-guarantee str</w:t>
      </w:r>
      <w:r w:rsidRPr="00607EAE">
        <w:rPr>
          <w:rFonts w:cs="Times New Roman"/>
          <w:color w:val="auto"/>
        </w:rPr>
        <w:t>uctures for FDI enterprises.</w:t>
      </w:r>
    </w:p>
    <w:p w:rsidR="006B0BDB" w:rsidRPr="00607EAE" w:rsidRDefault="00B05FF3">
      <w:pPr>
        <w:spacing w:after="80"/>
        <w:ind w:left="432"/>
        <w:jc w:val="both"/>
        <w:rPr>
          <w:rFonts w:cs="Times New Roman"/>
          <w:color w:val="auto"/>
        </w:rPr>
      </w:pPr>
      <w:r w:rsidRPr="00607EAE">
        <w:rPr>
          <w:rFonts w:cs="Times New Roman"/>
          <w:b/>
          <w:color w:val="auto"/>
        </w:rPr>
        <w:t xml:space="preserve">4. Policy Response to Objective 4 (Digital eFAST Transformation &amp; Customer Retention): </w:t>
      </w:r>
      <w:r w:rsidRPr="00607EAE">
        <w:rPr>
          <w:rFonts w:cs="Times New Roman"/>
          <w:color w:val="auto"/>
        </w:rPr>
        <w:t>To strengthen VietinBank's competitive position and customer retention, executive management should launch a comprehensive Digital eFAST Pro</w:t>
      </w:r>
      <w:r w:rsidRPr="00607EAE">
        <w:rPr>
          <w:rFonts w:cs="Times New Roman"/>
          <w:color w:val="auto"/>
        </w:rPr>
        <w:t>motion campaign, offering 24/7 e-guarantee issuing capabilities, integrated legal advisory support for Bidding Law compliance, and flexible collateral margin policies.</w:t>
      </w:r>
    </w:p>
    <w:p w:rsidR="006B0BDB" w:rsidRPr="00607EAE" w:rsidRDefault="00B05FF3">
      <w:pPr>
        <w:pStyle w:val="Heading1"/>
        <w:rPr>
          <w:rFonts w:ascii="Times New Roman" w:hAnsi="Times New Roman" w:cs="Times New Roman"/>
          <w:color w:val="auto"/>
        </w:rPr>
      </w:pPr>
      <w:r w:rsidRPr="00607EAE">
        <w:rPr>
          <w:rFonts w:ascii="Times New Roman" w:hAnsi="Times New Roman" w:cs="Times New Roman"/>
          <w:color w:val="auto"/>
        </w:rPr>
        <w:t>V. References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Al-Sabbagh, M. and Al-Khathlan, K. (2018) 'Factors influencing corporate c</w:t>
      </w:r>
      <w:r w:rsidRPr="00607EAE">
        <w:rPr>
          <w:rFonts w:cs="Times New Roman"/>
          <w:color w:val="auto"/>
          <w:szCs w:val="24"/>
        </w:rPr>
        <w:t>lients’ choice of commercial banks for trade finance services', Journal of Financial Services Marketing, 23(2), pp. 71–82.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Baltagi, B.H. (2008) Econometric Analysis of Panel Data. 4th edn. Chichester: Wiley.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Barru, D.J. (2005) 'How to Guarantee Contractor </w:t>
      </w:r>
      <w:r w:rsidRPr="00607EAE">
        <w:rPr>
          <w:rFonts w:cs="Times New Roman"/>
          <w:color w:val="auto"/>
          <w:szCs w:val="24"/>
        </w:rPr>
        <w:t>Performance on International Construction Projects: Comparing Surety Bonds with Bank Guarantees and Standby Letters of Credit', The George Washington International Law Review, 37(1), pp. 51–94.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Berger, A.N. and Udell, G.F. (1995) 'Relationship Lending and </w:t>
      </w:r>
      <w:r w:rsidRPr="00607EAE">
        <w:rPr>
          <w:rFonts w:cs="Times New Roman"/>
          <w:color w:val="auto"/>
          <w:szCs w:val="24"/>
        </w:rPr>
        <w:t>Lines of Credit in Small Firm Finance', Journal of Business, 68(3), pp. 351–381.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Bertrams, R.I.V.F. (2013) Bank Guarantees in International Trade. 4th edn. The Hague: Kluwer Law International.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Boot, A.W.A. (2000) 'Relationship Banking: What Do We Know?', J</w:t>
      </w:r>
      <w:r w:rsidRPr="00607EAE">
        <w:rPr>
          <w:rFonts w:cs="Times New Roman"/>
          <w:color w:val="auto"/>
          <w:szCs w:val="24"/>
        </w:rPr>
        <w:t>ournal of Financial Intermediation, 9(1), pp. 7–25.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Carletti, E., Leonello, A. and Marquez, R. (2023) 'Loan guarantees, bank underwriting policies and financial fragility', Journal of Financial Economics, 149(2), pp. 260–295.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Davis, F.D. (1989) 'Perceived </w:t>
      </w:r>
      <w:r w:rsidRPr="00607EAE">
        <w:rPr>
          <w:rFonts w:cs="Times New Roman"/>
          <w:color w:val="auto"/>
          <w:szCs w:val="24"/>
        </w:rPr>
        <w:t>Usefulness, Perceived Ease of Use, and User Acceptance of Information Technology', MIS Quarterly, 13(3), pp. 319–340.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DeYoung, R. and Roland, K.P. (2001) 'Product Mix, Revenue Mix, and Risk at Commercial Banks', Journal of Financial Intermediation, 10(2), </w:t>
      </w:r>
      <w:r w:rsidRPr="00607EAE">
        <w:rPr>
          <w:rFonts w:cs="Times New Roman"/>
          <w:color w:val="auto"/>
          <w:szCs w:val="24"/>
        </w:rPr>
        <w:t>pp. 115–144.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Diamond, D.W. (1984) 'Financial Intermediation and Delegated Monitoring', Review of Economic Studies, 51(3), pp. 393–414.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lastRenderedPageBreak/>
        <w:t>Hassan, A.A. et al. (2018) 'The problems and abuse of performance bond in the construction industry', IOP Conference Seri</w:t>
      </w:r>
      <w:r w:rsidRPr="00607EAE">
        <w:rPr>
          <w:rFonts w:cs="Times New Roman"/>
          <w:color w:val="auto"/>
          <w:szCs w:val="24"/>
        </w:rPr>
        <w:t>es: Earth and Environmental Science, 143, p. 012045.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Ho Dinh Phi et al. (2023) 'Effect of Service Quality on Customer Loyalty: the Mediation of Customer Satisfaction, and Corporate Reputation in Banking Industry', Eurasian Journal of Business and Managemen</w:t>
      </w:r>
      <w:r w:rsidRPr="00607EAE">
        <w:rPr>
          <w:rFonts w:cs="Times New Roman"/>
          <w:color w:val="auto"/>
          <w:szCs w:val="24"/>
        </w:rPr>
        <w:t>t, 11(3), pp. 145–160.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International Chamber of Commerce (2010) Uniform Rules for Demand Guarantees (URDG 758). ICC Publication No. 758. Paris: ICC.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Kaur, M. et al. (2021) 'The determinants of bank selection criteria of SMEs: a fuzzy analytic hierarchy app</w:t>
      </w:r>
      <w:r w:rsidRPr="00607EAE">
        <w:rPr>
          <w:rFonts w:cs="Times New Roman"/>
          <w:color w:val="auto"/>
          <w:szCs w:val="24"/>
        </w:rPr>
        <w:t>roach', Journal of Science and Technology Policy Management, 12(4), pp. 580–605.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Le Van Dung (2021) 'The nature of payment guarantee relationships at credit institutions', Industry and Trade Magazine, 8(April), pp. 45–52.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Merton, R.C. (1974) 'On the Pricin</w:t>
      </w:r>
      <w:r w:rsidRPr="00607EAE">
        <w:rPr>
          <w:rFonts w:cs="Times New Roman"/>
          <w:color w:val="auto"/>
          <w:szCs w:val="24"/>
        </w:rPr>
        <w:t>g of Corporate Debt: The Risk Structure of Interest Rates', Journal of Finance, 29(2), pp. 449–470.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Narteh, B. (2013) 'SME bank selection and patronage behaviour in the Ghanaian banking industry', Management Research Review, 36(11), pp. 1061–1080.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Nguyen, </w:t>
      </w:r>
      <w:r w:rsidRPr="00607EAE">
        <w:rPr>
          <w:rFonts w:cs="Times New Roman"/>
          <w:color w:val="auto"/>
          <w:szCs w:val="24"/>
        </w:rPr>
        <w:t>H. et al. (2024) 'The impact of service innovation on customer satisfaction and customer loyalty: a case in Vietnamese retail banks', Future Business Journal, 10(1), p. 14.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Nguyen Thi Nhung and Nguyen Duy Phu (2015) 'Payment guarantees at Vietnamese commer</w:t>
      </w:r>
      <w:r w:rsidRPr="00607EAE">
        <w:rPr>
          <w:rFonts w:cs="Times New Roman"/>
          <w:color w:val="auto"/>
          <w:szCs w:val="24"/>
        </w:rPr>
        <w:t>cial banks', Development and Integration Magazine, 25(35), pp. 62–67.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Oke, A.E. (2018) 'Bonding capability of Nigerian contracting firms', Engineering, Construction and Architectural Management, 25(8), pp. 1012–1024.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Parasuraman, A., Zeithaml, V.A. and Ber</w:t>
      </w:r>
      <w:r w:rsidRPr="00607EAE">
        <w:rPr>
          <w:rFonts w:cs="Times New Roman"/>
          <w:color w:val="auto"/>
          <w:szCs w:val="24"/>
        </w:rPr>
        <w:t>ry, L.L. (1988) 'SERVQUAL: A Multiple-Item Scale for Measuring Consumer Perceptions of Service Quality', Journal of Retailing, 64(1), pp. 12–40.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Phan Thi Hang Nga et al. (2024) 'Service quality, customer satisfaction and loyalty: a case study in Vietnamese</w:t>
      </w:r>
      <w:r w:rsidRPr="00607EAE">
        <w:rPr>
          <w:rFonts w:cs="Times New Roman"/>
          <w:color w:val="auto"/>
          <w:szCs w:val="24"/>
        </w:rPr>
        <w:t xml:space="preserve"> SMEs', Cogent Business &amp; Management, 11(1), p. 2304512.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Ramakrishnan, R.T.S. and Thakor, A.V. (1984) 'Information Reliability and a Theory of Financial Intermediation', Review of Economic Studies, 51(3), pp. 415–432.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State Bank of Vietnam (2024) Circular </w:t>
      </w:r>
      <w:r w:rsidRPr="00607EAE">
        <w:rPr>
          <w:rFonts w:cs="Times New Roman"/>
          <w:color w:val="auto"/>
          <w:szCs w:val="24"/>
        </w:rPr>
        <w:t>No. 61/2024/TT-NHNN dated December 31, 2024, providing regulations on bank guarantees (effective April 1, 2025). Hanoi: SBV.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Stiglitz, J.E. and Weiss, A. (1981) 'Credit Rationing in Markets with Imperfect Information', American Economic Review, 71(3), pp. </w:t>
      </w:r>
      <w:r w:rsidRPr="00607EAE">
        <w:rPr>
          <w:rFonts w:cs="Times New Roman"/>
          <w:color w:val="auto"/>
          <w:szCs w:val="24"/>
        </w:rPr>
        <w:t>393–410.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Turnbull, P.W. and Gibbs, M.L. (1989) 'The Selection of Banks and Banking Services among Corporate Customers in South Africa', International Journal of Bank Marketing, 7(5), pp. 36–42.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lastRenderedPageBreak/>
        <w:t>Venkatesh, V. et al. (2003) 'User Acceptance of Information Te</w:t>
      </w:r>
      <w:r w:rsidRPr="00607EAE">
        <w:rPr>
          <w:rFonts w:cs="Times New Roman"/>
          <w:color w:val="auto"/>
          <w:szCs w:val="24"/>
        </w:rPr>
        <w:t>chnology: Toward a Unified View', MIS Quarterly, 27(3), pp. 425–478.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Zeithaml, V.A. (1988) 'Consumer Perceptions of Price, Quality, and Value: A Means-End Model and Synthesis of Evidence', Journ</w:t>
      </w:r>
      <w:bookmarkStart w:id="0" w:name="_GoBack"/>
      <w:bookmarkEnd w:id="0"/>
      <w:r w:rsidRPr="00607EAE">
        <w:rPr>
          <w:rFonts w:cs="Times New Roman"/>
          <w:color w:val="auto"/>
          <w:szCs w:val="24"/>
        </w:rPr>
        <w:t>al of Marketing, 52(3), pp. 2–22.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 xml:space="preserve">Zeithaml, V.A., Berry, L.L. </w:t>
      </w:r>
      <w:r w:rsidRPr="00607EAE">
        <w:rPr>
          <w:rFonts w:cs="Times New Roman"/>
          <w:color w:val="auto"/>
          <w:szCs w:val="24"/>
        </w:rPr>
        <w:t>and Parasuraman, A. (1996) 'The Behavioral Consequences of Service Quality', Journal of Marketing, 60(2), pp. 31–46.</w:t>
      </w:r>
    </w:p>
    <w:p w:rsidR="006B0BDB" w:rsidRPr="00607EAE" w:rsidRDefault="00B05FF3" w:rsidP="00607EAE">
      <w:pPr>
        <w:jc w:val="both"/>
        <w:rPr>
          <w:rFonts w:cs="Times New Roman"/>
          <w:color w:val="auto"/>
          <w:szCs w:val="24"/>
        </w:rPr>
      </w:pPr>
      <w:r w:rsidRPr="00607EAE">
        <w:rPr>
          <w:rFonts w:cs="Times New Roman"/>
          <w:color w:val="auto"/>
          <w:szCs w:val="24"/>
        </w:rPr>
        <w:t>Zelie, E.M. (2023) 'Factors determining bank selection by micro- and small-sized enterprises: evidence from Ethiopia', International Journa</w:t>
      </w:r>
      <w:r w:rsidRPr="00607EAE">
        <w:rPr>
          <w:rFonts w:cs="Times New Roman"/>
          <w:color w:val="auto"/>
          <w:szCs w:val="24"/>
        </w:rPr>
        <w:t>l of Bank Marketing, 41(5), pp. 1120–1142.</w:t>
      </w:r>
    </w:p>
    <w:sectPr w:rsidR="006B0BDB" w:rsidRPr="00607EAE" w:rsidSect="00034616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5FF3" w:rsidRDefault="00B05FF3">
      <w:pPr>
        <w:spacing w:after="0" w:line="240" w:lineRule="auto"/>
      </w:pPr>
      <w:r>
        <w:separator/>
      </w:r>
    </w:p>
  </w:endnote>
  <w:endnote w:type="continuationSeparator" w:id="0">
    <w:p w:rsidR="00B05FF3" w:rsidRDefault="00B05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5FF3" w:rsidRDefault="00B05FF3">
      <w:pPr>
        <w:spacing w:after="0" w:line="240" w:lineRule="auto"/>
      </w:pPr>
      <w:r>
        <w:separator/>
      </w:r>
    </w:p>
  </w:footnote>
  <w:footnote w:type="continuationSeparator" w:id="0">
    <w:p w:rsidR="00B05FF3" w:rsidRDefault="00B05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0BDB" w:rsidRDefault="00B05FF3">
    <w:pPr>
      <w:pStyle w:val="Header"/>
      <w:pBdr>
        <w:bottom w:val="single" w:sz="6" w:space="4" w:color="888888"/>
      </w:pBdr>
      <w:jc w:val="right"/>
    </w:pPr>
    <w:r>
      <w:rPr>
        <w:i/>
        <w:color w:val="333333"/>
        <w:sz w:val="20"/>
      </w:rPr>
      <w:t>Thesis Design – MDE31 – Dang Tu Linh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BDF"/>
    <w:rsid w:val="00607EAE"/>
    <w:rsid w:val="006B0BDB"/>
    <w:rsid w:val="00AA1D8D"/>
    <w:rsid w:val="00B05FF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00"/>
  <w15:docId w15:val="{18D04517-13A8-47B0-904B-61783E5B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222222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0033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3F0173-1624-416D-A078-F25A59EA60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2756</Words>
  <Characters>15710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Tuấn Minh</cp:lastModifiedBy>
  <cp:revision>2</cp:revision>
  <dcterms:created xsi:type="dcterms:W3CDTF">2013-12-23T23:15:00Z</dcterms:created>
  <dcterms:modified xsi:type="dcterms:W3CDTF">2026-08-18T03:56:00Z</dcterms:modified>
  <cp:category/>
</cp:coreProperties>
</file>