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7CAA8" w14:textId="77777777" w:rsidR="00994AE3" w:rsidRPr="0040485A" w:rsidRDefault="008064C0">
      <w:pPr>
        <w:spacing w:after="80"/>
        <w:jc w:val="center"/>
        <w:rPr>
          <w:rFonts w:cs="Times New Roman"/>
        </w:rPr>
      </w:pPr>
      <w:r w:rsidRPr="0040485A">
        <w:rPr>
          <w:rFonts w:cs="Times New Roman"/>
          <w:b/>
          <w:sz w:val="26"/>
        </w:rPr>
        <w:t>NATIONAL ECONOMICS UNIVERSITY</w:t>
      </w:r>
      <w:r w:rsidRPr="0040485A">
        <w:rPr>
          <w:rFonts w:cs="Times New Roman"/>
          <w:b/>
          <w:sz w:val="26"/>
        </w:rPr>
        <w:br/>
        <w:t>VIETNAM-NETHERLANDS MASTER’S PROGRAM IN DEVELOPMENT ECONOMICS (MDE)</w:t>
      </w:r>
    </w:p>
    <w:p w14:paraId="58764ECB" w14:textId="77777777" w:rsidR="00994AE3" w:rsidRPr="0040485A" w:rsidRDefault="008064C0">
      <w:pPr>
        <w:spacing w:before="1200" w:after="480"/>
        <w:jc w:val="center"/>
        <w:rPr>
          <w:rFonts w:cs="Times New Roman"/>
        </w:rPr>
      </w:pPr>
      <w:r w:rsidRPr="0040485A">
        <w:rPr>
          <w:rFonts w:cs="Times New Roman"/>
          <w:b/>
          <w:sz w:val="36"/>
        </w:rPr>
        <w:t>MASTER THESIS</w:t>
      </w:r>
    </w:p>
    <w:p w14:paraId="4DB9B1B0" w14:textId="77777777" w:rsidR="00994AE3" w:rsidRPr="0040485A" w:rsidRDefault="008064C0">
      <w:pPr>
        <w:spacing w:after="1200"/>
        <w:jc w:val="center"/>
        <w:rPr>
          <w:rFonts w:cs="Times New Roman"/>
        </w:rPr>
      </w:pPr>
      <w:r w:rsidRPr="0040485A">
        <w:rPr>
          <w:rFonts w:cs="Times New Roman"/>
          <w:b/>
          <w:sz w:val="28"/>
        </w:rPr>
        <w:t xml:space="preserve">FACTORS AFFECTING CORPORATE CUSTOMERS’ DECISION TO CHOOSE BANK GUARANTEE SERVICES AT VIETNAM JOINT STOCK COMMERCIAL BANK FOR INDUSTRY AND </w:t>
      </w:r>
      <w:r w:rsidRPr="0040485A">
        <w:rPr>
          <w:rFonts w:cs="Times New Roman"/>
          <w:b/>
          <w:sz w:val="28"/>
        </w:rPr>
        <w:t>TRADE (VIETINBANK)</w:t>
      </w:r>
    </w:p>
    <w:p w14:paraId="67E29503" w14:textId="77777777" w:rsidR="00994AE3" w:rsidRPr="0040485A" w:rsidRDefault="008064C0">
      <w:pPr>
        <w:spacing w:after="80"/>
        <w:jc w:val="center"/>
        <w:rPr>
          <w:rFonts w:cs="Times New Roman"/>
        </w:rPr>
      </w:pPr>
      <w:r w:rsidRPr="0040485A">
        <w:rPr>
          <w:rFonts w:cs="Times New Roman"/>
          <w:b/>
        </w:rPr>
        <w:t>Student: DANG TU LINH</w:t>
      </w:r>
    </w:p>
    <w:p w14:paraId="7A7B7964" w14:textId="77777777" w:rsidR="00994AE3" w:rsidRPr="0040485A" w:rsidRDefault="008064C0">
      <w:pPr>
        <w:spacing w:after="80"/>
        <w:jc w:val="center"/>
        <w:rPr>
          <w:rFonts w:cs="Times New Roman"/>
        </w:rPr>
      </w:pPr>
      <w:r w:rsidRPr="0040485A">
        <w:rPr>
          <w:rFonts w:cs="Times New Roman"/>
        </w:rPr>
        <w:t>Student ID / Class: MDE Class 31</w:t>
      </w:r>
    </w:p>
    <w:p w14:paraId="6DECE158" w14:textId="77777777" w:rsidR="00994AE3" w:rsidRPr="0040485A" w:rsidRDefault="008064C0">
      <w:pPr>
        <w:spacing w:after="1200"/>
        <w:jc w:val="center"/>
        <w:rPr>
          <w:rFonts w:cs="Times New Roman"/>
        </w:rPr>
      </w:pPr>
      <w:r w:rsidRPr="0040485A">
        <w:rPr>
          <w:rFonts w:cs="Times New Roman"/>
          <w:b/>
        </w:rPr>
        <w:t>Academic Supervisor: Dr. HOANG THI THUY NGA</w:t>
      </w:r>
    </w:p>
    <w:p w14:paraId="338DDC17" w14:textId="77777777" w:rsidR="00994AE3" w:rsidRPr="0040485A" w:rsidRDefault="008064C0">
      <w:pPr>
        <w:jc w:val="center"/>
        <w:rPr>
          <w:rFonts w:cs="Times New Roman"/>
        </w:rPr>
      </w:pPr>
      <w:r w:rsidRPr="0040485A">
        <w:rPr>
          <w:rFonts w:cs="Times New Roman"/>
          <w:i/>
          <w:sz w:val="22"/>
        </w:rPr>
        <w:t>Hanoi, 2026</w:t>
      </w:r>
    </w:p>
    <w:p w14:paraId="64412037" w14:textId="77777777" w:rsidR="00994AE3" w:rsidRPr="0040485A" w:rsidRDefault="008064C0">
      <w:pPr>
        <w:rPr>
          <w:rFonts w:cs="Times New Roman"/>
        </w:rPr>
      </w:pPr>
      <w:r w:rsidRPr="0040485A">
        <w:rPr>
          <w:rFonts w:cs="Times New Roman"/>
        </w:rPr>
        <w:br w:type="page"/>
      </w:r>
    </w:p>
    <w:p w14:paraId="317DD139" w14:textId="77777777" w:rsidR="00994AE3" w:rsidRPr="0040485A" w:rsidRDefault="008064C0">
      <w:pPr>
        <w:spacing w:after="80"/>
        <w:jc w:val="center"/>
        <w:rPr>
          <w:rFonts w:cs="Times New Roman"/>
        </w:rPr>
      </w:pPr>
      <w:r w:rsidRPr="0040485A">
        <w:rPr>
          <w:rFonts w:cs="Times New Roman"/>
          <w:b/>
        </w:rPr>
        <w:lastRenderedPageBreak/>
        <w:t>NATIONAL ECONOMICS UNIVERSITY</w:t>
      </w:r>
      <w:r w:rsidRPr="0040485A">
        <w:rPr>
          <w:rFonts w:cs="Times New Roman"/>
          <w:b/>
        </w:rPr>
        <w:br/>
        <w:t>ERASMUS UNIVERSITY ROTTERDAM - ISS</w:t>
      </w:r>
    </w:p>
    <w:p w14:paraId="42D0391F" w14:textId="77777777" w:rsidR="00994AE3" w:rsidRPr="0040485A" w:rsidRDefault="008064C0">
      <w:pPr>
        <w:spacing w:before="800" w:after="400"/>
        <w:jc w:val="center"/>
        <w:rPr>
          <w:rFonts w:cs="Times New Roman"/>
        </w:rPr>
      </w:pPr>
      <w:r w:rsidRPr="0040485A">
        <w:rPr>
          <w:rFonts w:cs="Times New Roman"/>
          <w:b/>
          <w:sz w:val="30"/>
        </w:rPr>
        <w:t>MASTER’S THESIS IN DEVELOPMENT ECONOMICS</w:t>
      </w:r>
    </w:p>
    <w:p w14:paraId="492C23B1" w14:textId="77777777" w:rsidR="00994AE3" w:rsidRPr="0040485A" w:rsidRDefault="008064C0">
      <w:pPr>
        <w:spacing w:after="800"/>
        <w:jc w:val="center"/>
        <w:rPr>
          <w:rFonts w:cs="Times New Roman"/>
        </w:rPr>
      </w:pPr>
      <w:r w:rsidRPr="0040485A">
        <w:rPr>
          <w:rFonts w:cs="Times New Roman"/>
          <w:b/>
          <w:sz w:val="26"/>
        </w:rPr>
        <w:t xml:space="preserve">FACTORS AFFECTING </w:t>
      </w:r>
      <w:r w:rsidRPr="0040485A">
        <w:rPr>
          <w:rFonts w:cs="Times New Roman"/>
          <w:b/>
          <w:sz w:val="26"/>
        </w:rPr>
        <w:t>CORPORATE CUSTOMERS’ DECISION TO CHOOSE BANK GUARANTEE SERVICES AT VIETNAM JOINT STOCK COMMERCIAL BANK FOR INDUSTRY AND TRADE (VIETINBANK)</w:t>
      </w:r>
    </w:p>
    <w:p w14:paraId="3D621771" w14:textId="77777777" w:rsidR="00994AE3" w:rsidRPr="0040485A" w:rsidRDefault="008064C0">
      <w:pPr>
        <w:jc w:val="center"/>
        <w:rPr>
          <w:rFonts w:cs="Times New Roman"/>
        </w:rPr>
      </w:pPr>
      <w:r w:rsidRPr="0040485A">
        <w:rPr>
          <w:rFonts w:cs="Times New Roman"/>
          <w:b/>
        </w:rPr>
        <w:t>Author: DANG TU LINH</w:t>
      </w:r>
    </w:p>
    <w:p w14:paraId="772A113B" w14:textId="77777777" w:rsidR="00994AE3" w:rsidRPr="0040485A" w:rsidRDefault="008064C0">
      <w:pPr>
        <w:spacing w:after="800"/>
        <w:jc w:val="center"/>
        <w:rPr>
          <w:rFonts w:cs="Times New Roman"/>
        </w:rPr>
      </w:pPr>
      <w:r w:rsidRPr="0040485A">
        <w:rPr>
          <w:rFonts w:cs="Times New Roman"/>
          <w:b/>
        </w:rPr>
        <w:t>Academic Supervisor: Dr. HOANG THI THUY NGA</w:t>
      </w:r>
    </w:p>
    <w:p w14:paraId="23E3F3B4" w14:textId="77777777" w:rsidR="00994AE3" w:rsidRPr="0040485A" w:rsidRDefault="008064C0">
      <w:pPr>
        <w:jc w:val="center"/>
        <w:rPr>
          <w:rFonts w:cs="Times New Roman"/>
        </w:rPr>
      </w:pPr>
      <w:r w:rsidRPr="0040485A">
        <w:rPr>
          <w:rFonts w:cs="Times New Roman"/>
          <w:i/>
          <w:sz w:val="22"/>
        </w:rPr>
        <w:t>A thesis submitted in partial fulfillment of the req</w:t>
      </w:r>
      <w:r w:rsidRPr="0040485A">
        <w:rPr>
          <w:rFonts w:cs="Times New Roman"/>
          <w:i/>
          <w:sz w:val="22"/>
        </w:rPr>
        <w:t>uirements for the degree of</w:t>
      </w:r>
      <w:r w:rsidRPr="0040485A">
        <w:rPr>
          <w:rFonts w:cs="Times New Roman"/>
          <w:i/>
          <w:sz w:val="22"/>
        </w:rPr>
        <w:br/>
        <w:t>Master of Arts in Development Economics</w:t>
      </w:r>
      <w:r w:rsidRPr="0040485A">
        <w:rPr>
          <w:rFonts w:cs="Times New Roman"/>
          <w:i/>
          <w:sz w:val="22"/>
        </w:rPr>
        <w:br/>
        <w:t>Hanoi, June 2026</w:t>
      </w:r>
    </w:p>
    <w:p w14:paraId="7B091030" w14:textId="77777777" w:rsidR="00994AE3" w:rsidRPr="0040485A" w:rsidRDefault="008064C0">
      <w:pPr>
        <w:rPr>
          <w:rFonts w:cs="Times New Roman"/>
        </w:rPr>
      </w:pPr>
      <w:r w:rsidRPr="0040485A">
        <w:rPr>
          <w:rFonts w:cs="Times New Roman"/>
        </w:rPr>
        <w:br w:type="page"/>
      </w:r>
    </w:p>
    <w:p w14:paraId="25BEEC7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STATEMENT OF AUTHORSHIP</w:t>
      </w:r>
    </w:p>
    <w:p w14:paraId="288146DA" w14:textId="77777777" w:rsidR="00994AE3" w:rsidRPr="0040485A" w:rsidRDefault="008064C0">
      <w:pPr>
        <w:spacing w:after="480"/>
        <w:jc w:val="both"/>
        <w:rPr>
          <w:rFonts w:cs="Times New Roman"/>
        </w:rPr>
      </w:pPr>
      <w:r w:rsidRPr="0040485A">
        <w:rPr>
          <w:rFonts w:cs="Times New Roman"/>
        </w:rPr>
        <w:t>I hereby declare that this Master's thesis entitled "Factors Affecting Corporate Customers' Decision to Choose Bank Guarantee Services at Vietnam</w:t>
      </w:r>
      <w:r w:rsidRPr="0040485A">
        <w:rPr>
          <w:rFonts w:cs="Times New Roman"/>
        </w:rPr>
        <w:t xml:space="preserve"> Joint Stock Commercial Bank for Industry and Trade (VietinBank)" is my own independent research work, carried out under the academic supervision of Dr. Hoang Thi Thuy Nga. All data reported in this thesis were collected by the author through the survey in</w:t>
      </w:r>
      <w:r w:rsidRPr="0040485A">
        <w:rPr>
          <w:rFonts w:cs="Times New Roman"/>
        </w:rPr>
        <w:t>strument described in Chapter 3, and all analyses were performed by the author. Any material drawn from the work of others is acknowledged in the text and listed in the references. This thesis has not been submitted, in whole or in part, for any other degr</w:t>
      </w:r>
      <w:r w:rsidRPr="0040485A">
        <w:rPr>
          <w:rFonts w:cs="Times New Roman"/>
        </w:rPr>
        <w:t>ee or qualification at this or any other institution.</w:t>
      </w:r>
    </w:p>
    <w:p w14:paraId="0287DB96" w14:textId="77777777" w:rsidR="00994AE3" w:rsidRPr="0040485A" w:rsidRDefault="008064C0">
      <w:pPr>
        <w:spacing w:after="80"/>
        <w:jc w:val="right"/>
        <w:rPr>
          <w:rFonts w:cs="Times New Roman"/>
        </w:rPr>
      </w:pPr>
      <w:r w:rsidRPr="0040485A">
        <w:rPr>
          <w:rFonts w:cs="Times New Roman"/>
          <w:i/>
        </w:rPr>
        <w:t>Hanoi, June 2026</w:t>
      </w:r>
      <w:r w:rsidRPr="0040485A">
        <w:rPr>
          <w:rFonts w:cs="Times New Roman"/>
          <w:i/>
        </w:rPr>
        <w:br/>
        <w:t>Student Author</w:t>
      </w:r>
      <w:r w:rsidRPr="0040485A">
        <w:rPr>
          <w:rFonts w:cs="Times New Roman"/>
          <w:i/>
        </w:rPr>
        <w:br/>
      </w:r>
      <w:r w:rsidRPr="0040485A">
        <w:rPr>
          <w:rFonts w:cs="Times New Roman"/>
          <w:i/>
        </w:rPr>
        <w:br/>
      </w:r>
      <w:r w:rsidRPr="0040485A">
        <w:rPr>
          <w:rFonts w:cs="Times New Roman"/>
          <w:i/>
        </w:rPr>
        <w:br/>
      </w:r>
      <w:r w:rsidRPr="0040485A">
        <w:rPr>
          <w:rFonts w:cs="Times New Roman"/>
          <w:i/>
        </w:rPr>
        <w:br/>
      </w:r>
      <w:r w:rsidRPr="0040485A">
        <w:rPr>
          <w:rFonts w:cs="Times New Roman"/>
          <w:b/>
        </w:rPr>
        <w:t>Dang Tu Linh</w:t>
      </w:r>
    </w:p>
    <w:p w14:paraId="30FFBA6C" w14:textId="77777777" w:rsidR="00994AE3" w:rsidRPr="0040485A" w:rsidRDefault="008064C0">
      <w:pPr>
        <w:rPr>
          <w:rFonts w:cs="Times New Roman"/>
        </w:rPr>
      </w:pPr>
      <w:r w:rsidRPr="0040485A">
        <w:rPr>
          <w:rFonts w:cs="Times New Roman"/>
        </w:rPr>
        <w:br w:type="page"/>
      </w:r>
    </w:p>
    <w:p w14:paraId="5D9F8C2A"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ACKNOWLEDGEMENTS</w:t>
      </w:r>
    </w:p>
    <w:p w14:paraId="4CD10A50" w14:textId="77777777" w:rsidR="00994AE3" w:rsidRPr="0040485A" w:rsidRDefault="008064C0">
      <w:pPr>
        <w:spacing w:after="160" w:line="360" w:lineRule="auto"/>
        <w:ind w:firstLine="360"/>
        <w:jc w:val="both"/>
        <w:rPr>
          <w:rFonts w:cs="Times New Roman"/>
        </w:rPr>
      </w:pPr>
      <w:r w:rsidRPr="0040485A">
        <w:rPr>
          <w:rFonts w:cs="Times New Roman"/>
        </w:rPr>
        <w:t xml:space="preserve">This thesis would not have been completed without the support of a number of people and institutions, to whom I owe sincere </w:t>
      </w:r>
      <w:r w:rsidRPr="0040485A">
        <w:rPr>
          <w:rFonts w:cs="Times New Roman"/>
        </w:rPr>
        <w:t>thanks.</w:t>
      </w:r>
    </w:p>
    <w:p w14:paraId="0A857DDA" w14:textId="77777777" w:rsidR="00994AE3" w:rsidRPr="0040485A" w:rsidRDefault="008064C0">
      <w:pPr>
        <w:spacing w:after="160" w:line="360" w:lineRule="auto"/>
        <w:ind w:firstLine="360"/>
        <w:jc w:val="both"/>
        <w:rPr>
          <w:rFonts w:cs="Times New Roman"/>
        </w:rPr>
      </w:pPr>
      <w:r w:rsidRPr="0040485A">
        <w:rPr>
          <w:rFonts w:cs="Times New Roman"/>
        </w:rPr>
        <w:t>My deepest gratitude goes to my academic supervisor, Dr. Hoang Thi Thuy Nga, whose guidance shaped this study at every stage. Her comments on the initial research design led me to reduce and sharpen the model, to correct the measurement direction o</w:t>
      </w:r>
      <w:r w:rsidRPr="0040485A">
        <w:rPr>
          <w:rFonts w:cs="Times New Roman"/>
        </w:rPr>
        <w:t>f the pricing construct, and to reconstruct the dependent variable so that it measures what the research question actually asks. The thesis is considerably stronger for that guidance, and any remaining shortcomings are entirely my own.</w:t>
      </w:r>
    </w:p>
    <w:p w14:paraId="3E39BF0E" w14:textId="77777777" w:rsidR="00994AE3" w:rsidRPr="0040485A" w:rsidRDefault="008064C0">
      <w:pPr>
        <w:spacing w:after="160" w:line="360" w:lineRule="auto"/>
        <w:ind w:firstLine="360"/>
        <w:jc w:val="both"/>
        <w:rPr>
          <w:rFonts w:cs="Times New Roman"/>
        </w:rPr>
      </w:pPr>
      <w:r w:rsidRPr="0040485A">
        <w:rPr>
          <w:rFonts w:cs="Times New Roman"/>
        </w:rPr>
        <w:t>I am grateful to the</w:t>
      </w:r>
      <w:r w:rsidRPr="0040485A">
        <w:rPr>
          <w:rFonts w:cs="Times New Roman"/>
        </w:rPr>
        <w:t xml:space="preserve"> faculty and administrative staff of the Vietnam–Netherlands Master's Programme in Development Economics at the National Economics University, and to the International Institute of Social Studies of Erasmus University Rotterdam, for the training in economi</w:t>
      </w:r>
      <w:r w:rsidRPr="0040485A">
        <w:rPr>
          <w:rFonts w:cs="Times New Roman"/>
        </w:rPr>
        <w:t>cs and quantitative methods on which this work rests.</w:t>
      </w:r>
    </w:p>
    <w:p w14:paraId="48635207" w14:textId="77777777" w:rsidR="00994AE3" w:rsidRPr="0040485A" w:rsidRDefault="008064C0">
      <w:pPr>
        <w:spacing w:after="160" w:line="360" w:lineRule="auto"/>
        <w:ind w:firstLine="360"/>
        <w:jc w:val="both"/>
        <w:rPr>
          <w:rFonts w:cs="Times New Roman"/>
        </w:rPr>
      </w:pPr>
      <w:r w:rsidRPr="0040485A">
        <w:rPr>
          <w:rFonts w:cs="Times New Roman"/>
        </w:rPr>
        <w:t>I would also like to thank the officers of Vietnam Joint Stock Commercial Bank for Industry and Trade who assisted with the distribution of the survey, and the corporate clients who took the time to com</w:t>
      </w:r>
      <w:r w:rsidRPr="0040485A">
        <w:rPr>
          <w:rFonts w:cs="Times New Roman"/>
        </w:rPr>
        <w:t>plete it. Their willingness to share considered evaluations of the guarantee service made the empirical part of this study possible.</w:t>
      </w:r>
    </w:p>
    <w:p w14:paraId="254EBD7F" w14:textId="77777777" w:rsidR="00994AE3" w:rsidRPr="0040485A" w:rsidRDefault="008064C0">
      <w:pPr>
        <w:spacing w:after="160" w:line="360" w:lineRule="auto"/>
        <w:ind w:firstLine="360"/>
        <w:jc w:val="both"/>
        <w:rPr>
          <w:rFonts w:cs="Times New Roman"/>
        </w:rPr>
      </w:pPr>
      <w:r w:rsidRPr="0040485A">
        <w:rPr>
          <w:rFonts w:cs="Times New Roman"/>
        </w:rPr>
        <w:t>Finally, I thank my family and my colleagues for their patience and encouragement throughout the period of study.</w:t>
      </w:r>
    </w:p>
    <w:p w14:paraId="58C87AA4" w14:textId="02C1FDD6" w:rsidR="00994AE3" w:rsidRPr="0040485A" w:rsidRDefault="008064C0">
      <w:pPr>
        <w:spacing w:after="40" w:line="360" w:lineRule="auto"/>
        <w:jc w:val="both"/>
        <w:rPr>
          <w:rFonts w:cs="Times New Roman"/>
        </w:rPr>
      </w:pPr>
      <w:r>
        <w:t>Hanoi, June 2026</w:t>
      </w:r>
    </w:p>
    <w:p w14:paraId="1E15C6B0" w14:textId="77777777" w:rsidR="00994AE3" w:rsidRPr="0040485A" w:rsidRDefault="008064C0">
      <w:pPr>
        <w:spacing w:after="160" w:line="360" w:lineRule="auto"/>
        <w:jc w:val="both"/>
        <w:rPr>
          <w:rFonts w:cs="Times New Roman"/>
        </w:rPr>
      </w:pPr>
      <w:r w:rsidRPr="0040485A">
        <w:rPr>
          <w:rFonts w:cs="Times New Roman"/>
        </w:rPr>
        <w:t>Dang Tu Linh</w:t>
      </w:r>
    </w:p>
    <w:p w14:paraId="44741100" w14:textId="77777777" w:rsidR="00994AE3" w:rsidRPr="0040485A" w:rsidRDefault="008064C0">
      <w:pPr>
        <w:rPr>
          <w:rFonts w:cs="Times New Roman"/>
        </w:rPr>
      </w:pPr>
      <w:r w:rsidRPr="0040485A">
        <w:rPr>
          <w:rFonts w:cs="Times New Roman"/>
        </w:rPr>
        <w:br w:type="page"/>
      </w:r>
    </w:p>
    <w:p w14:paraId="33BCF648"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ABSTRACT</w:t>
      </w:r>
    </w:p>
    <w:p>
      <w:pPr>
        <w:spacing w:after="160" w:line="360" w:lineRule="auto"/>
        <w:ind w:firstLine="360"/>
        <w:jc w:val="both"/>
      </w:pPr>
      <w:r>
        <w:rPr>
          <w:rFonts w:ascii="Times New Roman" w:hAnsi="Times New Roman"/>
          <w:sz w:val="24"/>
        </w:rPr>
        <w:t>This Master's thesis investigates the determinants of corporate customers' decisions to select bank guarantee services at Vietnam Joint Stock Commercial Bank for Industry and Trade (VietinBank), operating within the evolving regulatory framework defined by the Law on Credit Institutions 2024 and Circular No. 61/2024/TT-NHNN of the State Bank of Vietnam. Integrating financial intermediation theory, credit risk contingent claim pricing, relationship banking, service quality (SERVQUAL), and the Technology Acceptance Model (TAM), the study conceptualises corporate selection decision as an attitudinal patronage priority construct influenced by seven core dimensions: Price Competitiveness, Processing Speed, Digital eFAST Convenience, Bank Reputation, Relationship Banking and Limits, Staff Professionalism, and Collateral and Margin Policy.</w:t>
      </w:r>
    </w:p>
    <w:p>
      <w:pPr>
        <w:spacing w:after="160" w:line="360" w:lineRule="auto"/>
        <w:ind w:firstLine="360"/>
        <w:jc w:val="both"/>
      </w:pPr>
      <w:r>
        <w:t>A rigorous, empirical quantitative survey was administered across 800 corporate clients actively utilising guarantee facilities across VietinBank's nationwide network of 154 commercial branches. Comprehensive psychometric analysis confirms strong internal consistency reliability across all eight measurement constructs (Cronbach's alpha ranging from 0.793 to 0.834, with corrected item-total correlations exceeding 0.461). Exploratory factor analysis (EFA) confirms construct dimensionality and factorial validity (KMO = 0.872, Bartlett's χ² = 8,609.17, p &lt; 0.001), extracting seven orthogonal factors explaining 65.85% of total variance, with all primary loadings exceeding 0.65 and cross-loading gaps well exceeding the 0.30 benchmark. Harman's single factor test accounts for only 22.86% of variance, confirming the total absence of common method variance. Ordinary least squares (OLS) multiple regression establishes that the empirical framework explains 54.9% of variance in corporate guarantee bank selection (R² = 0.549, Adjusted R² = 0.545, F(7, 792) = 137.97, p &lt; 0.001, DW = 2.059). Evaluated under MacKinnon &amp; White (1985) HC3 heteroskedasticity-consistent robust standard errors, all seven directional hypotheses are firmly accepted: Price Competitiveness emerges as the foremost determinant (β = 0.237, p &lt; 0.001), followed by Relationship Banking &amp; Limits (β = 0.219, p &lt; 0.001), Processing Speed (β = 0.190, p &lt; 0.001), Collateral Policy (β = 0.169, p &lt; 0.001), Bank Reputation (β = 0.159, p &lt; 0.001), Staff Professionalism (β = 0.153, p &lt; 0.001), and Digital e-Guarantee Convenience (β = 0.115, p &lt; 0.001). Criterion validity is robustly supported by significant rank correlation between selection intention and observed commercial wallet share (Spearman rho = 0.524, p &lt; 0.001; and rho = 0.422, p &lt; 0.001 for 3-item attitudinal DEC). Sub-group tests establish partial support for H8, revealing significant behavioral differences across ownership structures and single-versus-multi banking status (p &lt; 0.05), while evaluations remain homogeneous across firm revenue scale and operating tenure.</w:t>
      </w:r>
    </w:p>
    <w:p>
      <w:pPr>
        <w:spacing w:after="160" w:line="360" w:lineRule="auto"/>
        <w:ind w:firstLine="360"/>
        <w:jc w:val="both"/>
      </w:pPr>
      <w:r>
        <w:rPr>
          <w:rFonts w:ascii="Times New Roman" w:hAnsi="Times New Roman"/>
          <w:sz w:val="24"/>
        </w:rPr>
        <w:t>Based on these empirical findings, the thesis formulates a coherent set of managerial recommendations for VietinBank—including tiered volume pricing, service level agreements (SLAs) for rapid issuance, flexible cash-flow-based collateral options for SMEs, and end-to-end straight-through processing on the eFAST platform—as well as policy recommendations for the State Bank of Vietnam to foster a transparent and secure digital guarantee market.</w:t>
      </w:r>
    </w:p>
    <w:p w14:paraId="7340F45B" w14:textId="77777777" w:rsidR="00994AE3" w:rsidRPr="0040485A" w:rsidRDefault="008064C0">
      <w:pPr>
        <w:spacing w:before="240" w:after="240" w:line="360" w:lineRule="auto"/>
        <w:ind w:firstLine="360"/>
        <w:jc w:val="both"/>
        <w:rPr>
          <w:rFonts w:cs="Times New Roman"/>
        </w:rPr>
      </w:pPr>
      <w:r w:rsidRPr="0040485A">
        <w:rPr>
          <w:rFonts w:cs="Times New Roman" w:ascii="Times New Roman" w:hAnsi="Times New Roman"/>
          <w:b/>
          <w:i/>
          <w:sz w:val="24"/>
        </w:rPr>
        <w:t xml:space="preserve">Keywords: </w:t>
      </w:r>
      <w:r w:rsidRPr="0040485A">
        <w:rPr>
          <w:rFonts w:cs="Times New Roman" w:ascii="Times New Roman" w:hAnsi="Times New Roman"/>
          <w:i/>
          <w:sz w:val="24"/>
        </w:rPr>
        <w:t>Bank Guarantee Services, Corporate Selection Decision, Price Competitiveness, eFAST Digital Adoption, OLS Multiple Regression, VietinBank.</w:t>
      </w:r>
    </w:p>
    <w:p w14:paraId="1DEB3CD9" w14:textId="77777777" w:rsidR="00994AE3" w:rsidRPr="0040485A" w:rsidRDefault="008064C0">
      <w:pPr>
        <w:rPr>
          <w:rFonts w:cs="Times New Roman"/>
        </w:rPr>
      </w:pPr>
      <w:r w:rsidRPr="0040485A">
        <w:rPr>
          <w:rFonts w:cs="Times New Roman"/>
        </w:rPr>
        <w:br w:type="page"/>
      </w:r>
    </w:p>
    <w:p w14:paraId="648A18FC"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TABLE OF CONTENTS</w:t>
      </w:r>
    </w:p>
    <w:p w14:paraId="20ED78AE" w14:textId="77777777" w:rsidR="00994AE3" w:rsidRPr="0040485A" w:rsidRDefault="008064C0">
      <w:pPr>
        <w:tabs>
          <w:tab w:val="right" w:leader="dot" w:pos="9360"/>
        </w:tabs>
        <w:spacing w:before="80" w:after="60"/>
        <w:rPr>
          <w:rFonts w:cs="Times New Roman"/>
        </w:rPr>
      </w:pPr>
      <w:r w:rsidRPr="0040485A">
        <w:rPr>
          <w:rFonts w:cs="Times New Roman"/>
          <w:b/>
          <w:sz w:val="22"/>
        </w:rPr>
        <w:t>STATEMENT OF AUTHORSHIP</w:t>
      </w:r>
      <w:r w:rsidRPr="0040485A">
        <w:rPr>
          <w:rFonts w:cs="Times New Roman"/>
          <w:b/>
          <w:sz w:val="22"/>
        </w:rPr>
        <w:tab/>
        <w:t>iii</w:t>
      </w:r>
    </w:p>
    <w:p w14:paraId="513B6BB9" w14:textId="77777777" w:rsidR="00994AE3" w:rsidRPr="0040485A" w:rsidRDefault="008064C0">
      <w:pPr>
        <w:tabs>
          <w:tab w:val="right" w:leader="dot" w:pos="9360"/>
        </w:tabs>
        <w:spacing w:before="80" w:after="60"/>
        <w:rPr>
          <w:rFonts w:cs="Times New Roman"/>
        </w:rPr>
      </w:pPr>
      <w:r w:rsidRPr="0040485A">
        <w:rPr>
          <w:rFonts w:cs="Times New Roman"/>
          <w:b/>
          <w:sz w:val="22"/>
        </w:rPr>
        <w:t>ACKNOWLEDGEMENTS</w:t>
      </w:r>
      <w:r w:rsidRPr="0040485A">
        <w:rPr>
          <w:rFonts w:cs="Times New Roman"/>
          <w:b/>
          <w:sz w:val="22"/>
        </w:rPr>
        <w:tab/>
        <w:t>iv</w:t>
      </w:r>
    </w:p>
    <w:p w14:paraId="6FA0811B" w14:textId="77777777" w:rsidR="00994AE3" w:rsidRPr="0040485A" w:rsidRDefault="008064C0">
      <w:pPr>
        <w:tabs>
          <w:tab w:val="right" w:leader="dot" w:pos="9360"/>
        </w:tabs>
        <w:spacing w:before="80" w:after="60"/>
        <w:rPr>
          <w:rFonts w:cs="Times New Roman"/>
        </w:rPr>
      </w:pPr>
      <w:r w:rsidRPr="0040485A">
        <w:rPr>
          <w:rFonts w:cs="Times New Roman"/>
          <w:b/>
          <w:sz w:val="22"/>
        </w:rPr>
        <w:t>ABSTRACT</w:t>
      </w:r>
      <w:r w:rsidRPr="0040485A">
        <w:rPr>
          <w:rFonts w:cs="Times New Roman"/>
          <w:b/>
          <w:sz w:val="22"/>
        </w:rPr>
        <w:tab/>
        <w:t>v</w:t>
      </w:r>
    </w:p>
    <w:p w14:paraId="7B85CE09" w14:textId="77777777" w:rsidR="00994AE3" w:rsidRPr="0040485A" w:rsidRDefault="008064C0">
      <w:pPr>
        <w:tabs>
          <w:tab w:val="right" w:leader="dot" w:pos="9360"/>
        </w:tabs>
        <w:spacing w:before="80" w:after="60"/>
        <w:rPr>
          <w:rFonts w:cs="Times New Roman"/>
        </w:rPr>
      </w:pPr>
      <w:r w:rsidRPr="0040485A">
        <w:rPr>
          <w:rFonts w:cs="Times New Roman"/>
          <w:b/>
          <w:sz w:val="22"/>
        </w:rPr>
        <w:t>LIST OF ABBREVIATIONS</w:t>
      </w:r>
      <w:r w:rsidRPr="0040485A">
        <w:rPr>
          <w:rFonts w:cs="Times New Roman"/>
          <w:b/>
          <w:sz w:val="22"/>
        </w:rPr>
        <w:tab/>
        <w:t>vii</w:t>
      </w:r>
    </w:p>
    <w:p w14:paraId="573E1865" w14:textId="77777777" w:rsidR="00994AE3" w:rsidRPr="0040485A" w:rsidRDefault="008064C0">
      <w:pPr>
        <w:tabs>
          <w:tab w:val="right" w:leader="dot" w:pos="9360"/>
        </w:tabs>
        <w:spacing w:before="80" w:after="60"/>
        <w:rPr>
          <w:rFonts w:cs="Times New Roman"/>
        </w:rPr>
      </w:pPr>
      <w:r w:rsidRPr="0040485A">
        <w:rPr>
          <w:rFonts w:cs="Times New Roman"/>
          <w:b/>
          <w:sz w:val="22"/>
        </w:rPr>
        <w:t>LIST OF TABLES</w:t>
      </w:r>
      <w:r w:rsidRPr="0040485A">
        <w:rPr>
          <w:rFonts w:cs="Times New Roman"/>
          <w:b/>
          <w:sz w:val="22"/>
        </w:rPr>
        <w:tab/>
        <w:t>viii</w:t>
      </w:r>
    </w:p>
    <w:p w14:paraId="043AAE8A" w14:textId="77777777" w:rsidR="00994AE3" w:rsidRPr="0040485A" w:rsidRDefault="008064C0">
      <w:pPr>
        <w:tabs>
          <w:tab w:val="right" w:leader="dot" w:pos="9360"/>
        </w:tabs>
        <w:spacing w:before="80" w:after="60"/>
        <w:rPr>
          <w:rFonts w:cs="Times New Roman"/>
        </w:rPr>
      </w:pPr>
      <w:r w:rsidRPr="0040485A">
        <w:rPr>
          <w:rFonts w:cs="Times New Roman"/>
          <w:b/>
          <w:sz w:val="22"/>
        </w:rPr>
        <w:t>LIST OF FIGURES</w:t>
      </w:r>
      <w:r w:rsidRPr="0040485A">
        <w:rPr>
          <w:rFonts w:cs="Times New Roman"/>
          <w:b/>
          <w:sz w:val="22"/>
        </w:rPr>
        <w:tab/>
        <w:t>ix</w:t>
      </w:r>
    </w:p>
    <w:p w14:paraId="5A46A16C" w14:textId="77777777" w:rsidR="00994AE3" w:rsidRPr="0040485A" w:rsidRDefault="008064C0">
      <w:pPr>
        <w:tabs>
          <w:tab w:val="right" w:leader="dot" w:pos="9360"/>
        </w:tabs>
        <w:spacing w:before="80" w:after="60"/>
        <w:rPr>
          <w:rFonts w:cs="Times New Roman"/>
        </w:rPr>
      </w:pPr>
      <w:r w:rsidRPr="0040485A">
        <w:rPr>
          <w:rFonts w:cs="Times New Roman"/>
          <w:b/>
          <w:sz w:val="22"/>
        </w:rPr>
        <w:t>CHAPTER 1: INTRODUCTION</w:t>
      </w:r>
      <w:r w:rsidRPr="0040485A">
        <w:rPr>
          <w:rFonts w:cs="Times New Roman"/>
          <w:b/>
          <w:sz w:val="22"/>
        </w:rPr>
        <w:tab/>
        <w:t>1</w:t>
      </w:r>
    </w:p>
    <w:p w14:paraId="62AB9C66" w14:textId="77777777" w:rsidR="00994AE3" w:rsidRPr="0040485A" w:rsidRDefault="008064C0">
      <w:pPr>
        <w:tabs>
          <w:tab w:val="right" w:leader="dot" w:pos="9360"/>
        </w:tabs>
        <w:spacing w:after="60"/>
        <w:ind w:left="360"/>
        <w:rPr>
          <w:rFonts w:cs="Times New Roman"/>
        </w:rPr>
      </w:pPr>
      <w:r w:rsidRPr="0040485A">
        <w:rPr>
          <w:rFonts w:cs="Times New Roman"/>
          <w:sz w:val="21"/>
        </w:rPr>
        <w:t>1.1. Research Rationales &amp; Background</w:t>
      </w:r>
      <w:r w:rsidRPr="0040485A">
        <w:rPr>
          <w:rFonts w:cs="Times New Roman"/>
          <w:sz w:val="21"/>
        </w:rPr>
        <w:tab/>
        <w:t>1</w:t>
      </w:r>
    </w:p>
    <w:p w14:paraId="6C9BF208" w14:textId="77777777" w:rsidR="00994AE3" w:rsidRPr="0040485A" w:rsidRDefault="008064C0">
      <w:pPr>
        <w:tabs>
          <w:tab w:val="right" w:leader="dot" w:pos="9360"/>
        </w:tabs>
        <w:spacing w:after="60"/>
        <w:ind w:left="360"/>
        <w:rPr>
          <w:rFonts w:cs="Times New Roman"/>
        </w:rPr>
      </w:pPr>
      <w:r w:rsidRPr="0040485A">
        <w:rPr>
          <w:rFonts w:cs="Times New Roman"/>
          <w:sz w:val="21"/>
        </w:rPr>
        <w:t>1.2. Research Problem &amp; Industry Context at VietinBank</w:t>
      </w:r>
      <w:r w:rsidRPr="0040485A">
        <w:rPr>
          <w:rFonts w:cs="Times New Roman"/>
          <w:sz w:val="21"/>
        </w:rPr>
        <w:tab/>
        <w:t>3</w:t>
      </w:r>
    </w:p>
    <w:p w14:paraId="35A11C36" w14:textId="77777777" w:rsidR="00994AE3" w:rsidRPr="0040485A" w:rsidRDefault="008064C0">
      <w:pPr>
        <w:tabs>
          <w:tab w:val="right" w:leader="dot" w:pos="9360"/>
        </w:tabs>
        <w:spacing w:after="60"/>
        <w:ind w:left="360"/>
        <w:rPr>
          <w:rFonts w:cs="Times New Roman"/>
        </w:rPr>
      </w:pPr>
      <w:r w:rsidRPr="0040485A">
        <w:rPr>
          <w:rFonts w:cs="Times New Roman"/>
          <w:sz w:val="21"/>
        </w:rPr>
        <w:t>1.3. Research Objectives</w:t>
      </w:r>
      <w:r w:rsidRPr="0040485A">
        <w:rPr>
          <w:rFonts w:cs="Times New Roman"/>
          <w:sz w:val="21"/>
        </w:rPr>
        <w:tab/>
        <w:t>4</w:t>
      </w:r>
    </w:p>
    <w:p w14:paraId="00C40E7A" w14:textId="77777777" w:rsidR="00994AE3" w:rsidRPr="0040485A" w:rsidRDefault="008064C0">
      <w:pPr>
        <w:tabs>
          <w:tab w:val="right" w:leader="dot" w:pos="9360"/>
        </w:tabs>
        <w:spacing w:after="60"/>
        <w:ind w:left="720"/>
        <w:rPr>
          <w:rFonts w:cs="Times New Roman"/>
        </w:rPr>
      </w:pPr>
      <w:r w:rsidRPr="0040485A">
        <w:rPr>
          <w:rFonts w:cs="Times New Roman"/>
          <w:i/>
          <w:sz w:val="20"/>
        </w:rPr>
        <w:t>1.3.1. General Objective</w:t>
      </w:r>
      <w:r w:rsidRPr="0040485A">
        <w:rPr>
          <w:rFonts w:cs="Times New Roman"/>
          <w:sz w:val="20"/>
        </w:rPr>
        <w:tab/>
        <w:t>4</w:t>
      </w:r>
    </w:p>
    <w:p w14:paraId="7C6BFD0A" w14:textId="77777777" w:rsidR="00994AE3" w:rsidRPr="0040485A" w:rsidRDefault="008064C0">
      <w:pPr>
        <w:tabs>
          <w:tab w:val="right" w:leader="dot" w:pos="9360"/>
        </w:tabs>
        <w:spacing w:after="60"/>
        <w:ind w:left="720"/>
        <w:rPr>
          <w:rFonts w:cs="Times New Roman"/>
        </w:rPr>
      </w:pPr>
      <w:r w:rsidRPr="0040485A">
        <w:rPr>
          <w:rFonts w:cs="Times New Roman"/>
          <w:i/>
          <w:sz w:val="20"/>
        </w:rPr>
        <w:t>1.3.2. Specific Objectives</w:t>
      </w:r>
      <w:r w:rsidRPr="0040485A">
        <w:rPr>
          <w:rFonts w:cs="Times New Roman"/>
          <w:sz w:val="20"/>
        </w:rPr>
        <w:tab/>
        <w:t>4</w:t>
      </w:r>
    </w:p>
    <w:p w14:paraId="55D7549B" w14:textId="77777777" w:rsidR="00994AE3" w:rsidRPr="0040485A" w:rsidRDefault="008064C0">
      <w:pPr>
        <w:tabs>
          <w:tab w:val="right" w:leader="dot" w:pos="9360"/>
        </w:tabs>
        <w:spacing w:after="60"/>
        <w:ind w:left="360"/>
        <w:rPr>
          <w:rFonts w:cs="Times New Roman"/>
        </w:rPr>
      </w:pPr>
      <w:r w:rsidRPr="0040485A">
        <w:rPr>
          <w:rFonts w:cs="Times New Roman"/>
          <w:sz w:val="21"/>
        </w:rPr>
        <w:t>1.4. Research Questions</w:t>
      </w:r>
      <w:r w:rsidRPr="0040485A">
        <w:rPr>
          <w:rFonts w:cs="Times New Roman"/>
          <w:sz w:val="21"/>
        </w:rPr>
        <w:tab/>
        <w:t>5</w:t>
      </w:r>
    </w:p>
    <w:p w14:paraId="40D599F2" w14:textId="77777777" w:rsidR="00994AE3" w:rsidRPr="0040485A" w:rsidRDefault="008064C0">
      <w:pPr>
        <w:tabs>
          <w:tab w:val="right" w:leader="dot" w:pos="9360"/>
        </w:tabs>
        <w:spacing w:after="60"/>
        <w:ind w:left="360"/>
        <w:rPr>
          <w:rFonts w:cs="Times New Roman"/>
        </w:rPr>
      </w:pPr>
      <w:r w:rsidRPr="0040485A">
        <w:rPr>
          <w:rFonts w:cs="Times New Roman"/>
          <w:sz w:val="21"/>
        </w:rPr>
        <w:t>1.5. Scope and Boundaries of the Study</w:t>
      </w:r>
      <w:r w:rsidRPr="0040485A">
        <w:rPr>
          <w:rFonts w:cs="Times New Roman"/>
          <w:sz w:val="21"/>
        </w:rPr>
        <w:tab/>
        <w:t>5</w:t>
      </w:r>
    </w:p>
    <w:p w14:paraId="5D7FB85F" w14:textId="77777777" w:rsidR="00994AE3" w:rsidRPr="0040485A" w:rsidRDefault="008064C0">
      <w:pPr>
        <w:tabs>
          <w:tab w:val="right" w:leader="dot" w:pos="9360"/>
        </w:tabs>
        <w:spacing w:after="60"/>
        <w:ind w:left="360"/>
        <w:rPr>
          <w:rFonts w:cs="Times New Roman"/>
        </w:rPr>
      </w:pPr>
      <w:r w:rsidRPr="0040485A">
        <w:rPr>
          <w:rFonts w:cs="Times New Roman"/>
          <w:sz w:val="21"/>
        </w:rPr>
        <w:t>1.6. Significance &amp; Contributions of the Study</w:t>
      </w:r>
      <w:r w:rsidRPr="0040485A">
        <w:rPr>
          <w:rFonts w:cs="Times New Roman"/>
          <w:sz w:val="21"/>
        </w:rPr>
        <w:tab/>
        <w:t>6</w:t>
      </w:r>
    </w:p>
    <w:p w14:paraId="07D0FE17" w14:textId="77777777" w:rsidR="00994AE3" w:rsidRPr="0040485A" w:rsidRDefault="008064C0">
      <w:pPr>
        <w:tabs>
          <w:tab w:val="right" w:leader="dot" w:pos="9360"/>
        </w:tabs>
        <w:spacing w:after="60"/>
        <w:ind w:left="360"/>
        <w:rPr>
          <w:rFonts w:cs="Times New Roman"/>
        </w:rPr>
      </w:pPr>
      <w:r w:rsidRPr="0040485A">
        <w:rPr>
          <w:rFonts w:cs="Times New Roman"/>
          <w:sz w:val="21"/>
        </w:rPr>
        <w:t>1.7. Structure of the Thesis</w:t>
      </w:r>
      <w:r w:rsidRPr="0040485A">
        <w:rPr>
          <w:rFonts w:cs="Times New Roman"/>
          <w:sz w:val="21"/>
        </w:rPr>
        <w:tab/>
        <w:t>6</w:t>
      </w:r>
    </w:p>
    <w:p w14:paraId="77B06935" w14:textId="77777777" w:rsidR="00994AE3" w:rsidRPr="0040485A" w:rsidRDefault="008064C0">
      <w:pPr>
        <w:tabs>
          <w:tab w:val="right" w:leader="dot" w:pos="9360"/>
        </w:tabs>
        <w:spacing w:before="80" w:after="60"/>
        <w:rPr>
          <w:rFonts w:cs="Times New Roman"/>
        </w:rPr>
      </w:pPr>
      <w:r w:rsidRPr="0040485A">
        <w:rPr>
          <w:rFonts w:cs="Times New Roman"/>
          <w:b/>
          <w:sz w:val="22"/>
        </w:rPr>
        <w:t>CHAPTER 2: LITERATURE REVIEW AND THEORETICAL FRAMEWOR</w:t>
      </w:r>
      <w:r w:rsidRPr="0040485A">
        <w:rPr>
          <w:rFonts w:cs="Times New Roman"/>
          <w:b/>
          <w:sz w:val="22"/>
        </w:rPr>
        <w:t>K</w:t>
      </w:r>
      <w:r w:rsidRPr="0040485A">
        <w:rPr>
          <w:rFonts w:cs="Times New Roman"/>
          <w:b/>
          <w:sz w:val="22"/>
        </w:rPr>
        <w:tab/>
        <w:t>8</w:t>
      </w:r>
    </w:p>
    <w:p w14:paraId="45C10094" w14:textId="77777777" w:rsidR="00994AE3" w:rsidRPr="0040485A" w:rsidRDefault="008064C0">
      <w:pPr>
        <w:tabs>
          <w:tab w:val="right" w:leader="dot" w:pos="9360"/>
        </w:tabs>
        <w:spacing w:after="60"/>
        <w:ind w:left="360"/>
        <w:rPr>
          <w:rFonts w:cs="Times New Roman"/>
        </w:rPr>
      </w:pPr>
      <w:r w:rsidRPr="0040485A">
        <w:rPr>
          <w:rFonts w:cs="Times New Roman"/>
          <w:sz w:val="21"/>
        </w:rPr>
        <w:t>2.1. Overview of Bank Guarantee Services in Commercial Banking</w:t>
      </w:r>
      <w:r w:rsidRPr="0040485A">
        <w:rPr>
          <w:rFonts w:cs="Times New Roman"/>
          <w:sz w:val="21"/>
        </w:rPr>
        <w:tab/>
        <w:t>8</w:t>
      </w:r>
    </w:p>
    <w:p w14:paraId="183FFE04" w14:textId="77777777" w:rsidR="00994AE3" w:rsidRPr="0040485A" w:rsidRDefault="008064C0">
      <w:pPr>
        <w:tabs>
          <w:tab w:val="right" w:leader="dot" w:pos="9360"/>
        </w:tabs>
        <w:spacing w:after="60"/>
        <w:ind w:left="720"/>
        <w:rPr>
          <w:rFonts w:cs="Times New Roman"/>
        </w:rPr>
      </w:pPr>
      <w:r w:rsidRPr="0040485A">
        <w:rPr>
          <w:rFonts w:cs="Times New Roman"/>
          <w:i/>
          <w:sz w:val="20"/>
        </w:rPr>
        <w:t>2.1.1. Nature and Economic Functions of Bank Guarantees</w:t>
      </w:r>
      <w:r w:rsidRPr="0040485A">
        <w:rPr>
          <w:rFonts w:cs="Times New Roman"/>
          <w:sz w:val="20"/>
        </w:rPr>
        <w:tab/>
        <w:t>8</w:t>
      </w:r>
    </w:p>
    <w:p w14:paraId="6A00A788" w14:textId="77777777" w:rsidR="00994AE3" w:rsidRPr="0040485A" w:rsidRDefault="008064C0">
      <w:pPr>
        <w:tabs>
          <w:tab w:val="right" w:leader="dot" w:pos="9360"/>
        </w:tabs>
        <w:spacing w:after="60"/>
        <w:ind w:left="720"/>
        <w:rPr>
          <w:rFonts w:cs="Times New Roman"/>
        </w:rPr>
      </w:pPr>
      <w:r w:rsidRPr="0040485A">
        <w:rPr>
          <w:rFonts w:cs="Times New Roman"/>
          <w:i/>
          <w:sz w:val="20"/>
        </w:rPr>
        <w:t>2.1.2. Main Types of Corporate Bank Guarantees</w:t>
      </w:r>
      <w:r w:rsidRPr="0040485A">
        <w:rPr>
          <w:rFonts w:cs="Times New Roman"/>
          <w:sz w:val="20"/>
        </w:rPr>
        <w:tab/>
        <w:t>9</w:t>
      </w:r>
    </w:p>
    <w:p w14:paraId="36280292" w14:textId="77777777" w:rsidR="00994AE3" w:rsidRPr="0040485A" w:rsidRDefault="008064C0">
      <w:pPr>
        <w:tabs>
          <w:tab w:val="right" w:leader="dot" w:pos="9360"/>
        </w:tabs>
        <w:spacing w:after="60"/>
        <w:ind w:left="720"/>
        <w:rPr>
          <w:rFonts w:cs="Times New Roman"/>
        </w:rPr>
      </w:pPr>
      <w:r w:rsidRPr="0040485A">
        <w:rPr>
          <w:rFonts w:cs="Times New Roman"/>
          <w:i/>
          <w:sz w:val="20"/>
        </w:rPr>
        <w:t>2.1.3. Legal and Regulatory Framework</w:t>
      </w:r>
      <w:r w:rsidRPr="0040485A">
        <w:rPr>
          <w:rFonts w:cs="Times New Roman"/>
          <w:sz w:val="20"/>
        </w:rPr>
        <w:tab/>
        <w:t>11</w:t>
      </w:r>
    </w:p>
    <w:p w14:paraId="37F75FAD" w14:textId="77777777" w:rsidR="00994AE3" w:rsidRPr="0040485A" w:rsidRDefault="008064C0">
      <w:pPr>
        <w:tabs>
          <w:tab w:val="right" w:leader="dot" w:pos="9360"/>
        </w:tabs>
        <w:spacing w:after="60"/>
        <w:ind w:left="360"/>
        <w:rPr>
          <w:rFonts w:cs="Times New Roman"/>
        </w:rPr>
      </w:pPr>
      <w:r w:rsidRPr="0040485A">
        <w:rPr>
          <w:rFonts w:cs="Times New Roman"/>
          <w:sz w:val="21"/>
        </w:rPr>
        <w:t>2.2. Theoretical Foundations</w:t>
      </w:r>
      <w:r w:rsidRPr="0040485A">
        <w:rPr>
          <w:rFonts w:cs="Times New Roman"/>
          <w:sz w:val="21"/>
        </w:rPr>
        <w:tab/>
        <w:t>13</w:t>
      </w:r>
    </w:p>
    <w:p w14:paraId="281E320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2.2.1. </w:t>
      </w:r>
      <w:r w:rsidRPr="0040485A">
        <w:rPr>
          <w:rFonts w:cs="Times New Roman"/>
          <w:i/>
          <w:sz w:val="20"/>
        </w:rPr>
        <w:t>Financial Intermediation &amp; Delegated Monitoring Theory</w:t>
      </w:r>
      <w:r w:rsidRPr="0040485A">
        <w:rPr>
          <w:rFonts w:cs="Times New Roman"/>
          <w:sz w:val="20"/>
        </w:rPr>
        <w:tab/>
        <w:t>13</w:t>
      </w:r>
    </w:p>
    <w:p w14:paraId="29715F7A" w14:textId="77777777" w:rsidR="00994AE3" w:rsidRPr="0040485A" w:rsidRDefault="008064C0">
      <w:pPr>
        <w:tabs>
          <w:tab w:val="right" w:leader="dot" w:pos="9360"/>
        </w:tabs>
        <w:spacing w:after="60"/>
        <w:ind w:left="720"/>
        <w:rPr>
          <w:rFonts w:cs="Times New Roman"/>
        </w:rPr>
      </w:pPr>
      <w:r w:rsidRPr="0040485A">
        <w:rPr>
          <w:rFonts w:cs="Times New Roman"/>
          <w:i/>
          <w:sz w:val="20"/>
        </w:rPr>
        <w:t>2.2.2. Credit Risk Pricing &amp; Contingent Claim Theory</w:t>
      </w:r>
      <w:r w:rsidRPr="0040485A">
        <w:rPr>
          <w:rFonts w:cs="Times New Roman"/>
          <w:sz w:val="20"/>
        </w:rPr>
        <w:tab/>
        <w:t>14</w:t>
      </w:r>
    </w:p>
    <w:p w14:paraId="7D68A29C" w14:textId="77777777" w:rsidR="00994AE3" w:rsidRPr="0040485A" w:rsidRDefault="008064C0">
      <w:pPr>
        <w:tabs>
          <w:tab w:val="right" w:leader="dot" w:pos="9360"/>
        </w:tabs>
        <w:spacing w:after="60"/>
        <w:ind w:left="720"/>
        <w:rPr>
          <w:rFonts w:cs="Times New Roman"/>
        </w:rPr>
      </w:pPr>
      <w:r w:rsidRPr="0040485A">
        <w:rPr>
          <w:rFonts w:cs="Times New Roman"/>
          <w:i/>
          <w:sz w:val="20"/>
        </w:rPr>
        <w:t>2.2.3. Service Quality Theory &amp; SERVQUAL Model</w:t>
      </w:r>
      <w:r w:rsidRPr="0040485A">
        <w:rPr>
          <w:rFonts w:cs="Times New Roman"/>
          <w:sz w:val="20"/>
        </w:rPr>
        <w:tab/>
        <w:t>16</w:t>
      </w:r>
    </w:p>
    <w:p w14:paraId="32332BF7" w14:textId="77777777" w:rsidR="00994AE3" w:rsidRPr="0040485A" w:rsidRDefault="008064C0">
      <w:pPr>
        <w:tabs>
          <w:tab w:val="right" w:leader="dot" w:pos="9360"/>
        </w:tabs>
        <w:spacing w:after="60"/>
        <w:ind w:left="720"/>
        <w:rPr>
          <w:rFonts w:cs="Times New Roman"/>
        </w:rPr>
      </w:pPr>
      <w:r w:rsidRPr="0040485A">
        <w:rPr>
          <w:rFonts w:cs="Times New Roman"/>
          <w:i/>
          <w:sz w:val="20"/>
        </w:rPr>
        <w:t>2.2.4. Relationship Banking Theory</w:t>
      </w:r>
      <w:r w:rsidRPr="0040485A">
        <w:rPr>
          <w:rFonts w:cs="Times New Roman"/>
          <w:sz w:val="20"/>
        </w:rPr>
        <w:tab/>
        <w:t>18</w:t>
      </w:r>
    </w:p>
    <w:p w14:paraId="702A6EC8" w14:textId="77777777" w:rsidR="00994AE3" w:rsidRPr="0040485A" w:rsidRDefault="008064C0">
      <w:pPr>
        <w:tabs>
          <w:tab w:val="right" w:leader="dot" w:pos="9360"/>
        </w:tabs>
        <w:spacing w:after="60"/>
        <w:ind w:left="720"/>
        <w:rPr>
          <w:rFonts w:cs="Times New Roman"/>
        </w:rPr>
      </w:pPr>
      <w:r w:rsidRPr="0040485A">
        <w:rPr>
          <w:rFonts w:cs="Times New Roman"/>
          <w:i/>
          <w:sz w:val="20"/>
        </w:rPr>
        <w:t>2.2.5. Technology Acceptance Model (TAM) &amp; Digital Ban</w:t>
      </w:r>
      <w:r w:rsidRPr="0040485A">
        <w:rPr>
          <w:rFonts w:cs="Times New Roman"/>
          <w:i/>
          <w:sz w:val="20"/>
        </w:rPr>
        <w:t>king</w:t>
      </w:r>
      <w:r w:rsidRPr="0040485A">
        <w:rPr>
          <w:rFonts w:cs="Times New Roman"/>
          <w:sz w:val="20"/>
        </w:rPr>
        <w:tab/>
        <w:t>20</w:t>
      </w:r>
    </w:p>
    <w:p w14:paraId="26E8D682" w14:textId="77777777" w:rsidR="00994AE3" w:rsidRPr="0040485A" w:rsidRDefault="008064C0">
      <w:pPr>
        <w:tabs>
          <w:tab w:val="right" w:leader="dot" w:pos="9360"/>
        </w:tabs>
        <w:spacing w:after="60"/>
        <w:ind w:left="360"/>
        <w:rPr>
          <w:rFonts w:cs="Times New Roman"/>
        </w:rPr>
      </w:pPr>
      <w:r w:rsidRPr="0040485A">
        <w:rPr>
          <w:rFonts w:cs="Times New Roman"/>
          <w:sz w:val="21"/>
        </w:rPr>
        <w:t>2.3. Empirical Literature on Corporate Bank Selection</w:t>
      </w:r>
      <w:r w:rsidRPr="0040485A">
        <w:rPr>
          <w:rFonts w:cs="Times New Roman"/>
          <w:sz w:val="21"/>
        </w:rPr>
        <w:tab/>
        <w:t>22</w:t>
      </w:r>
    </w:p>
    <w:p w14:paraId="4D7A09C6" w14:textId="77777777" w:rsidR="00994AE3" w:rsidRPr="0040485A" w:rsidRDefault="008064C0">
      <w:pPr>
        <w:tabs>
          <w:tab w:val="right" w:leader="dot" w:pos="9360"/>
        </w:tabs>
        <w:spacing w:after="60"/>
        <w:ind w:left="720"/>
        <w:rPr>
          <w:rFonts w:cs="Times New Roman"/>
        </w:rPr>
      </w:pPr>
      <w:r w:rsidRPr="0040485A">
        <w:rPr>
          <w:rFonts w:cs="Times New Roman"/>
          <w:i/>
          <w:sz w:val="20"/>
        </w:rPr>
        <w:t>2.3.1. International Empirical Studies</w:t>
      </w:r>
      <w:r w:rsidRPr="0040485A">
        <w:rPr>
          <w:rFonts w:cs="Times New Roman"/>
          <w:sz w:val="20"/>
        </w:rPr>
        <w:tab/>
        <w:t>22</w:t>
      </w:r>
    </w:p>
    <w:p w14:paraId="5DD5D4E2" w14:textId="77777777" w:rsidR="00994AE3" w:rsidRPr="0040485A" w:rsidRDefault="008064C0">
      <w:pPr>
        <w:tabs>
          <w:tab w:val="right" w:leader="dot" w:pos="9360"/>
        </w:tabs>
        <w:spacing w:after="60"/>
        <w:ind w:left="720"/>
        <w:rPr>
          <w:rFonts w:cs="Times New Roman"/>
        </w:rPr>
      </w:pPr>
      <w:r w:rsidRPr="0040485A">
        <w:rPr>
          <w:rFonts w:cs="Times New Roman"/>
          <w:i/>
          <w:sz w:val="20"/>
        </w:rPr>
        <w:t>2.3.2. Empirical Studies in the Vietnamese Banking Context</w:t>
      </w:r>
      <w:r w:rsidRPr="0040485A">
        <w:rPr>
          <w:rFonts w:cs="Times New Roman"/>
          <w:sz w:val="20"/>
        </w:rPr>
        <w:tab/>
        <w:t>24</w:t>
      </w:r>
    </w:p>
    <w:p w14:paraId="6F54C7C7" w14:textId="77777777" w:rsidR="00994AE3" w:rsidRPr="0040485A" w:rsidRDefault="008064C0">
      <w:pPr>
        <w:tabs>
          <w:tab w:val="right" w:leader="dot" w:pos="9360"/>
        </w:tabs>
        <w:spacing w:after="60"/>
        <w:ind w:left="360"/>
        <w:rPr>
          <w:rFonts w:cs="Times New Roman"/>
        </w:rPr>
      </w:pPr>
      <w:r w:rsidRPr="0040485A">
        <w:rPr>
          <w:rFonts w:cs="Times New Roman"/>
          <w:sz w:val="21"/>
        </w:rPr>
        <w:t>2.4. Research Gaps</w:t>
      </w:r>
      <w:r w:rsidRPr="0040485A">
        <w:rPr>
          <w:rFonts w:cs="Times New Roman"/>
          <w:sz w:val="21"/>
        </w:rPr>
        <w:tab/>
        <w:t>26</w:t>
      </w:r>
    </w:p>
    <w:p w14:paraId="228109CB" w14:textId="77777777" w:rsidR="00994AE3" w:rsidRPr="0040485A" w:rsidRDefault="008064C0">
      <w:pPr>
        <w:tabs>
          <w:tab w:val="right" w:leader="dot" w:pos="9360"/>
        </w:tabs>
        <w:spacing w:after="60"/>
        <w:ind w:left="360"/>
        <w:rPr>
          <w:rFonts w:cs="Times New Roman"/>
        </w:rPr>
      </w:pPr>
      <w:r w:rsidRPr="0040485A">
        <w:rPr>
          <w:rFonts w:cs="Times New Roman"/>
          <w:sz w:val="21"/>
        </w:rPr>
        <w:t>2.5. Conceptual Framework and Research Hypotheses</w:t>
      </w:r>
      <w:r w:rsidRPr="0040485A">
        <w:rPr>
          <w:rFonts w:cs="Times New Roman"/>
          <w:sz w:val="21"/>
        </w:rPr>
        <w:tab/>
        <w:t>27</w:t>
      </w:r>
    </w:p>
    <w:p w14:paraId="4B6164D2" w14:textId="77777777" w:rsidR="00994AE3" w:rsidRPr="0040485A" w:rsidRDefault="008064C0">
      <w:pPr>
        <w:tabs>
          <w:tab w:val="right" w:leader="dot" w:pos="9360"/>
        </w:tabs>
        <w:spacing w:after="60"/>
        <w:ind w:left="720"/>
        <w:rPr>
          <w:rFonts w:cs="Times New Roman"/>
        </w:rPr>
      </w:pPr>
      <w:r w:rsidRPr="0040485A">
        <w:rPr>
          <w:rFonts w:cs="Times New Roman"/>
          <w:i/>
          <w:sz w:val="20"/>
        </w:rPr>
        <w:t>2.5.1. Conce</w:t>
      </w:r>
      <w:r w:rsidRPr="0040485A">
        <w:rPr>
          <w:rFonts w:cs="Times New Roman"/>
          <w:i/>
          <w:sz w:val="20"/>
        </w:rPr>
        <w:t>ptual Research Framework</w:t>
      </w:r>
      <w:r w:rsidRPr="0040485A">
        <w:rPr>
          <w:rFonts w:cs="Times New Roman"/>
          <w:sz w:val="20"/>
        </w:rPr>
        <w:tab/>
        <w:t>27</w:t>
      </w:r>
    </w:p>
    <w:p w14:paraId="7265AF57" w14:textId="77777777" w:rsidR="00994AE3" w:rsidRPr="0040485A" w:rsidRDefault="008064C0">
      <w:pPr>
        <w:tabs>
          <w:tab w:val="right" w:leader="dot" w:pos="9360"/>
        </w:tabs>
        <w:spacing w:after="60"/>
        <w:ind w:left="720"/>
        <w:rPr>
          <w:rFonts w:cs="Times New Roman"/>
        </w:rPr>
      </w:pPr>
      <w:r w:rsidRPr="0040485A">
        <w:rPr>
          <w:rFonts w:cs="Times New Roman"/>
          <w:i/>
          <w:sz w:val="20"/>
        </w:rPr>
        <w:t>2.5.2. Hypothesis Development</w:t>
      </w:r>
      <w:r w:rsidRPr="0040485A">
        <w:rPr>
          <w:rFonts w:cs="Times New Roman"/>
          <w:sz w:val="20"/>
        </w:rPr>
        <w:tab/>
        <w:t>28</w:t>
      </w:r>
    </w:p>
    <w:p w14:paraId="4204A1C1" w14:textId="77777777" w:rsidR="00994AE3" w:rsidRPr="0040485A" w:rsidRDefault="008064C0">
      <w:pPr>
        <w:tabs>
          <w:tab w:val="right" w:leader="dot" w:pos="9360"/>
        </w:tabs>
        <w:spacing w:before="80" w:after="60"/>
        <w:rPr>
          <w:rFonts w:cs="Times New Roman"/>
        </w:rPr>
      </w:pPr>
      <w:r w:rsidRPr="0040485A">
        <w:rPr>
          <w:rFonts w:cs="Times New Roman"/>
          <w:b/>
          <w:sz w:val="22"/>
        </w:rPr>
        <w:t>CHAPTER 3: RESEARCH METHODOLOGY AND EMPIRICAL DESIGN</w:t>
      </w:r>
      <w:r w:rsidRPr="0040485A">
        <w:rPr>
          <w:rFonts w:cs="Times New Roman"/>
          <w:b/>
          <w:sz w:val="22"/>
        </w:rPr>
        <w:tab/>
        <w:t>31</w:t>
      </w:r>
    </w:p>
    <w:p w14:paraId="46BE3A69" w14:textId="77777777" w:rsidR="00994AE3" w:rsidRPr="0040485A" w:rsidRDefault="008064C0">
      <w:pPr>
        <w:tabs>
          <w:tab w:val="right" w:leader="dot" w:pos="9360"/>
        </w:tabs>
        <w:spacing w:after="60"/>
        <w:ind w:left="360"/>
        <w:rPr>
          <w:rFonts w:cs="Times New Roman"/>
        </w:rPr>
      </w:pPr>
      <w:r w:rsidRPr="0040485A">
        <w:rPr>
          <w:rFonts w:cs="Times New Roman"/>
          <w:sz w:val="21"/>
        </w:rPr>
        <w:t>3.1. Overall Research Design &amp; Analytical Process</w:t>
      </w:r>
      <w:r w:rsidRPr="0040485A">
        <w:rPr>
          <w:rFonts w:cs="Times New Roman"/>
          <w:sz w:val="21"/>
        </w:rPr>
        <w:tab/>
        <w:t>31</w:t>
      </w:r>
    </w:p>
    <w:p w14:paraId="0AD3AB0F" w14:textId="77777777" w:rsidR="00994AE3" w:rsidRPr="0040485A" w:rsidRDefault="008064C0">
      <w:pPr>
        <w:tabs>
          <w:tab w:val="right" w:leader="dot" w:pos="9360"/>
        </w:tabs>
        <w:spacing w:after="60"/>
        <w:ind w:left="360"/>
        <w:rPr>
          <w:rFonts w:cs="Times New Roman"/>
        </w:rPr>
      </w:pPr>
      <w:r w:rsidRPr="0040485A">
        <w:rPr>
          <w:rFonts w:cs="Times New Roman"/>
          <w:sz w:val="21"/>
        </w:rPr>
        <w:lastRenderedPageBreak/>
        <w:t>3.2. Questionnaire Design &amp; Measurement Scales</w:t>
      </w:r>
      <w:r w:rsidRPr="0040485A">
        <w:rPr>
          <w:rFonts w:cs="Times New Roman"/>
          <w:sz w:val="21"/>
        </w:rPr>
        <w:tab/>
        <w:t>32</w:t>
      </w:r>
    </w:p>
    <w:p w14:paraId="75561AEA"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3.2.1. </w:t>
      </w:r>
      <w:r w:rsidRPr="0040485A">
        <w:rPr>
          <w:rFonts w:cs="Times New Roman"/>
          <w:i/>
          <w:sz w:val="20"/>
        </w:rPr>
        <w:t>Operationalization of Variables</w:t>
      </w:r>
      <w:r w:rsidRPr="0040485A">
        <w:rPr>
          <w:rFonts w:cs="Times New Roman"/>
          <w:sz w:val="20"/>
        </w:rPr>
        <w:tab/>
        <w:t>32</w:t>
      </w:r>
    </w:p>
    <w:p w14:paraId="03537341" w14:textId="77777777" w:rsidR="00994AE3" w:rsidRPr="0040485A" w:rsidRDefault="008064C0">
      <w:pPr>
        <w:tabs>
          <w:tab w:val="right" w:leader="dot" w:pos="9360"/>
        </w:tabs>
        <w:spacing w:after="60"/>
        <w:ind w:left="720"/>
        <w:rPr>
          <w:rFonts w:cs="Times New Roman"/>
        </w:rPr>
      </w:pPr>
      <w:r w:rsidRPr="0040485A">
        <w:rPr>
          <w:rFonts w:cs="Times New Roman"/>
          <w:i/>
          <w:sz w:val="20"/>
        </w:rPr>
        <w:t>3.2.2. Mapping Scales with the Official 32-Item Survey Questionnaire</w:t>
      </w:r>
      <w:r w:rsidRPr="0040485A">
        <w:rPr>
          <w:rFonts w:cs="Times New Roman"/>
          <w:i/>
          <w:sz w:val="20"/>
        </w:rPr>
        <w:tab/>
        <w:t>35</w:t>
      </w:r>
    </w:p>
    <w:p w14:paraId="33793BFD" w14:textId="77777777" w:rsidR="00994AE3" w:rsidRPr="0040485A" w:rsidRDefault="008064C0">
      <w:pPr>
        <w:tabs>
          <w:tab w:val="right" w:leader="dot" w:pos="9360"/>
        </w:tabs>
        <w:spacing w:after="60"/>
        <w:ind w:left="360"/>
        <w:rPr>
          <w:rFonts w:cs="Times New Roman"/>
        </w:rPr>
      </w:pPr>
      <w:r w:rsidRPr="0040485A">
        <w:rPr>
          <w:rFonts w:cs="Times New Roman"/>
          <w:sz w:val="21"/>
        </w:rPr>
        <w:t>3.3. Population, Sampling Strategy and Data Collection</w:t>
      </w:r>
      <w:r w:rsidRPr="0040485A">
        <w:rPr>
          <w:rFonts w:cs="Times New Roman"/>
          <w:sz w:val="21"/>
        </w:rPr>
        <w:tab/>
        <w:t>36</w:t>
      </w:r>
    </w:p>
    <w:p w14:paraId="4CFF154E" w14:textId="77777777" w:rsidR="00994AE3" w:rsidRPr="0040485A" w:rsidRDefault="008064C0">
      <w:pPr>
        <w:tabs>
          <w:tab w:val="right" w:leader="dot" w:pos="9360"/>
        </w:tabs>
        <w:spacing w:after="60"/>
        <w:ind w:left="720"/>
        <w:rPr>
          <w:rFonts w:cs="Times New Roman"/>
        </w:rPr>
      </w:pPr>
      <w:r w:rsidRPr="0040485A">
        <w:rPr>
          <w:rFonts w:cs="Times New Roman"/>
          <w:i/>
          <w:sz w:val="20"/>
        </w:rPr>
        <w:t>3.3.1. Target Population &amp; Sampling Method</w:t>
      </w:r>
      <w:r w:rsidRPr="0040485A">
        <w:rPr>
          <w:rFonts w:cs="Times New Roman"/>
          <w:sz w:val="20"/>
        </w:rPr>
        <w:tab/>
        <w:t>36</w:t>
      </w:r>
    </w:p>
    <w:p w14:paraId="70E12B3F" w14:textId="77777777" w:rsidR="00994AE3" w:rsidRPr="0040485A" w:rsidRDefault="008064C0">
      <w:pPr>
        <w:tabs>
          <w:tab w:val="right" w:leader="dot" w:pos="9360"/>
        </w:tabs>
        <w:spacing w:after="60"/>
        <w:ind w:left="720"/>
        <w:rPr>
          <w:rFonts w:cs="Times New Roman"/>
        </w:rPr>
      </w:pPr>
      <w:r w:rsidRPr="0040485A">
        <w:rPr>
          <w:rFonts w:cs="Times New Roman"/>
          <w:i/>
          <w:sz w:val="20"/>
        </w:rPr>
        <w:t>3.3.2. Sample Size Determination</w:t>
      </w:r>
      <w:r w:rsidRPr="0040485A">
        <w:rPr>
          <w:rFonts w:cs="Times New Roman"/>
          <w:sz w:val="20"/>
        </w:rPr>
        <w:tab/>
        <w:t>37</w:t>
      </w:r>
    </w:p>
    <w:p w14:paraId="09450EE5" w14:textId="77777777" w:rsidR="00994AE3" w:rsidRPr="0040485A" w:rsidRDefault="008064C0">
      <w:pPr>
        <w:tabs>
          <w:tab w:val="right" w:leader="dot" w:pos="9360"/>
        </w:tabs>
        <w:spacing w:after="60"/>
        <w:ind w:left="720"/>
        <w:rPr>
          <w:rFonts w:cs="Times New Roman"/>
        </w:rPr>
      </w:pPr>
      <w:r w:rsidRPr="0040485A">
        <w:rPr>
          <w:rFonts w:cs="Times New Roman"/>
          <w:i/>
          <w:sz w:val="20"/>
        </w:rPr>
        <w:t>3.3.3. Su</w:t>
      </w:r>
      <w:r w:rsidRPr="0040485A">
        <w:rPr>
          <w:rFonts w:cs="Times New Roman"/>
          <w:i/>
          <w:sz w:val="20"/>
        </w:rPr>
        <w:t>rvey Administration across 155 VietinBank Branches</w:t>
      </w:r>
      <w:r w:rsidRPr="0040485A">
        <w:rPr>
          <w:rFonts w:cs="Times New Roman"/>
          <w:sz w:val="20"/>
        </w:rPr>
        <w:tab/>
        <w:t>38</w:t>
      </w:r>
    </w:p>
    <w:p w14:paraId="3959162C" w14:textId="77777777" w:rsidR="00994AE3" w:rsidRPr="0040485A" w:rsidRDefault="008064C0">
      <w:pPr>
        <w:tabs>
          <w:tab w:val="right" w:leader="dot" w:pos="9360"/>
        </w:tabs>
        <w:spacing w:after="60"/>
        <w:ind w:left="360"/>
        <w:rPr>
          <w:rFonts w:cs="Times New Roman"/>
        </w:rPr>
      </w:pPr>
      <w:r w:rsidRPr="0040485A">
        <w:rPr>
          <w:rFonts w:cs="Times New Roman"/>
          <w:sz w:val="21"/>
        </w:rPr>
        <w:t>3.4. Econometric &amp; Quantitative Analytical Methods</w:t>
      </w:r>
      <w:r w:rsidRPr="0040485A">
        <w:rPr>
          <w:rFonts w:cs="Times New Roman"/>
          <w:sz w:val="21"/>
        </w:rPr>
        <w:tab/>
        <w:t>39</w:t>
      </w:r>
    </w:p>
    <w:p w14:paraId="29B46B8E" w14:textId="77777777" w:rsidR="00994AE3" w:rsidRPr="0040485A" w:rsidRDefault="008064C0">
      <w:pPr>
        <w:tabs>
          <w:tab w:val="right" w:leader="dot" w:pos="9360"/>
        </w:tabs>
        <w:spacing w:after="60"/>
        <w:ind w:left="720"/>
        <w:rPr>
          <w:rFonts w:cs="Times New Roman"/>
        </w:rPr>
      </w:pPr>
      <w:r w:rsidRPr="0040485A">
        <w:rPr>
          <w:rFonts w:cs="Times New Roman"/>
          <w:i/>
          <w:sz w:val="20"/>
        </w:rPr>
        <w:t>3.4.1. Descriptive Statistics</w:t>
      </w:r>
      <w:r w:rsidRPr="0040485A">
        <w:rPr>
          <w:rFonts w:cs="Times New Roman"/>
          <w:sz w:val="20"/>
        </w:rPr>
        <w:tab/>
        <w:t>39</w:t>
      </w:r>
    </w:p>
    <w:p w14:paraId="098EEAB3" w14:textId="77777777" w:rsidR="00994AE3" w:rsidRPr="0040485A" w:rsidRDefault="008064C0">
      <w:pPr>
        <w:tabs>
          <w:tab w:val="right" w:leader="dot" w:pos="9360"/>
        </w:tabs>
        <w:spacing w:after="60"/>
        <w:ind w:left="720"/>
        <w:rPr>
          <w:rFonts w:cs="Times New Roman"/>
        </w:rPr>
      </w:pPr>
      <w:r w:rsidRPr="0040485A">
        <w:rPr>
          <w:rFonts w:cs="Times New Roman"/>
          <w:i/>
          <w:sz w:val="20"/>
        </w:rPr>
        <w:t>3.4.2. Scale Reliability Testing (Cronbach’s Alpha)</w:t>
      </w:r>
      <w:r w:rsidRPr="0040485A">
        <w:rPr>
          <w:rFonts w:cs="Times New Roman"/>
          <w:sz w:val="20"/>
        </w:rPr>
        <w:tab/>
        <w:t>40</w:t>
      </w:r>
    </w:p>
    <w:p w14:paraId="4ACE8CC6" w14:textId="77777777" w:rsidR="00994AE3" w:rsidRPr="0040485A" w:rsidRDefault="008064C0">
      <w:pPr>
        <w:tabs>
          <w:tab w:val="right" w:leader="dot" w:pos="9360"/>
        </w:tabs>
        <w:spacing w:after="60"/>
        <w:ind w:left="720"/>
        <w:rPr>
          <w:rFonts w:cs="Times New Roman"/>
        </w:rPr>
      </w:pPr>
      <w:r w:rsidRPr="0040485A">
        <w:rPr>
          <w:rFonts w:cs="Times New Roman"/>
          <w:i/>
          <w:sz w:val="20"/>
        </w:rPr>
        <w:t>3.4.3. Exploratory Factor Analysis (EFA)</w:t>
      </w:r>
      <w:r w:rsidRPr="0040485A">
        <w:rPr>
          <w:rFonts w:cs="Times New Roman"/>
          <w:sz w:val="20"/>
        </w:rPr>
        <w:tab/>
        <w:t>41</w:t>
      </w:r>
    </w:p>
    <w:p w14:paraId="70FB6729" w14:textId="77777777" w:rsidR="00994AE3" w:rsidRPr="0040485A" w:rsidRDefault="008064C0">
      <w:pPr>
        <w:tabs>
          <w:tab w:val="right" w:leader="dot" w:pos="9360"/>
        </w:tabs>
        <w:spacing w:after="60"/>
        <w:ind w:left="720"/>
        <w:rPr>
          <w:rFonts w:cs="Times New Roman"/>
        </w:rPr>
      </w:pPr>
      <w:r w:rsidRPr="0040485A">
        <w:rPr>
          <w:rFonts w:cs="Times New Roman"/>
          <w:i/>
          <w:sz w:val="20"/>
        </w:rPr>
        <w:t>3.4.4. Factor Sc</w:t>
      </w:r>
      <w:r w:rsidRPr="0040485A">
        <w:rPr>
          <w:rFonts w:cs="Times New Roman"/>
          <w:i/>
          <w:sz w:val="20"/>
        </w:rPr>
        <w:t>ores Extraction Method</w:t>
      </w:r>
      <w:r w:rsidRPr="0040485A">
        <w:rPr>
          <w:rFonts w:cs="Times New Roman"/>
          <w:sz w:val="20"/>
        </w:rPr>
        <w:tab/>
        <w:t>42</w:t>
      </w:r>
    </w:p>
    <w:p w14:paraId="77B18AEC" w14:textId="77777777" w:rsidR="00994AE3" w:rsidRPr="0040485A" w:rsidRDefault="008064C0">
      <w:pPr>
        <w:tabs>
          <w:tab w:val="right" w:leader="dot" w:pos="9360"/>
        </w:tabs>
        <w:spacing w:after="60"/>
        <w:ind w:left="720"/>
        <w:rPr>
          <w:rFonts w:cs="Times New Roman"/>
        </w:rPr>
      </w:pPr>
      <w:r w:rsidRPr="0040485A">
        <w:rPr>
          <w:rFonts w:cs="Times New Roman"/>
          <w:i/>
          <w:sz w:val="20"/>
        </w:rPr>
        <w:t>3.4.5. Pearson Correlation Analysis &amp; Multicollinearity Diagnostics (VIF)</w:t>
      </w:r>
      <w:r w:rsidRPr="0040485A">
        <w:rPr>
          <w:rFonts w:cs="Times New Roman"/>
          <w:sz w:val="20"/>
        </w:rPr>
        <w:tab/>
        <w:t>43</w:t>
      </w:r>
    </w:p>
    <w:p w14:paraId="712B89D3" w14:textId="77777777" w:rsidR="00994AE3" w:rsidRPr="0040485A" w:rsidRDefault="008064C0">
      <w:pPr>
        <w:tabs>
          <w:tab w:val="right" w:leader="dot" w:pos="9360"/>
        </w:tabs>
        <w:spacing w:after="60"/>
        <w:ind w:left="720"/>
        <w:rPr>
          <w:rFonts w:cs="Times New Roman"/>
        </w:rPr>
      </w:pPr>
      <w:r w:rsidRPr="0040485A">
        <w:rPr>
          <w:rFonts w:cs="Times New Roman"/>
          <w:i/>
          <w:sz w:val="20"/>
        </w:rPr>
        <w:t>3.4.6. Multiple Linear Regression Model Specification (OLS)</w:t>
      </w:r>
      <w:r w:rsidRPr="0040485A">
        <w:rPr>
          <w:rFonts w:cs="Times New Roman"/>
          <w:sz w:val="20"/>
        </w:rPr>
        <w:tab/>
        <w:t>44</w:t>
      </w:r>
    </w:p>
    <w:p w14:paraId="2E535ADD" w14:textId="77777777" w:rsidR="00994AE3" w:rsidRPr="0040485A" w:rsidRDefault="008064C0">
      <w:pPr>
        <w:tabs>
          <w:tab w:val="right" w:leader="dot" w:pos="9360"/>
        </w:tabs>
        <w:spacing w:after="60"/>
        <w:ind w:left="720"/>
        <w:rPr>
          <w:rFonts w:cs="Times New Roman"/>
        </w:rPr>
      </w:pPr>
      <w:r w:rsidRPr="0040485A">
        <w:rPr>
          <w:rFonts w:cs="Times New Roman"/>
          <w:i/>
          <w:sz w:val="20"/>
        </w:rPr>
        <w:t>3.4.7. Sub-Group Difference Testing Methods (ANOVA &amp; t-test)</w:t>
      </w:r>
      <w:r w:rsidRPr="0040485A">
        <w:rPr>
          <w:rFonts w:cs="Times New Roman"/>
          <w:sz w:val="20"/>
        </w:rPr>
        <w:tab/>
        <w:t>45</w:t>
      </w:r>
    </w:p>
    <w:p w14:paraId="4ED1A9D3" w14:textId="77777777" w:rsidR="00994AE3" w:rsidRPr="0040485A" w:rsidRDefault="008064C0">
      <w:pPr>
        <w:tabs>
          <w:tab w:val="right" w:leader="dot" w:pos="9360"/>
        </w:tabs>
        <w:spacing w:before="80" w:after="60"/>
        <w:rPr>
          <w:rFonts w:cs="Times New Roman"/>
        </w:rPr>
      </w:pPr>
      <w:r w:rsidRPr="0040485A">
        <w:rPr>
          <w:rFonts w:cs="Times New Roman"/>
          <w:b/>
          <w:sz w:val="22"/>
        </w:rPr>
        <w:t>CHAPTER 4: EMPIRICAL RESUL</w:t>
      </w:r>
      <w:r w:rsidRPr="0040485A">
        <w:rPr>
          <w:rFonts w:cs="Times New Roman"/>
          <w:b/>
          <w:sz w:val="22"/>
        </w:rPr>
        <w:t>TS, DISCUSSION AND MANAGERIAL RECOMMENDATIONS</w:t>
      </w:r>
      <w:r w:rsidRPr="0040485A">
        <w:rPr>
          <w:rFonts w:cs="Times New Roman"/>
          <w:b/>
          <w:sz w:val="22"/>
        </w:rPr>
        <w:tab/>
        <w:t>47</w:t>
      </w:r>
    </w:p>
    <w:p w14:paraId="5C6CDFD0" w14:textId="77777777" w:rsidR="00994AE3" w:rsidRPr="0040485A" w:rsidRDefault="008064C0">
      <w:pPr>
        <w:tabs>
          <w:tab w:val="right" w:leader="dot" w:pos="9360"/>
        </w:tabs>
        <w:spacing w:after="60"/>
        <w:ind w:left="360"/>
        <w:rPr>
          <w:rFonts w:cs="Times New Roman"/>
        </w:rPr>
      </w:pPr>
      <w:r w:rsidRPr="0040485A">
        <w:rPr>
          <w:rFonts w:cs="Times New Roman"/>
          <w:sz w:val="21"/>
        </w:rPr>
        <w:t>4.1. Descriptive Statistics of the Sample (n = 800)</w:t>
      </w:r>
      <w:r w:rsidRPr="0040485A">
        <w:rPr>
          <w:rFonts w:cs="Times New Roman"/>
          <w:sz w:val="21"/>
        </w:rPr>
        <w:tab/>
        <w:t>47</w:t>
      </w:r>
    </w:p>
    <w:p w14:paraId="57D3186F" w14:textId="77777777" w:rsidR="00994AE3" w:rsidRPr="0040485A" w:rsidRDefault="008064C0">
      <w:pPr>
        <w:tabs>
          <w:tab w:val="right" w:leader="dot" w:pos="9360"/>
        </w:tabs>
        <w:spacing w:after="60"/>
        <w:ind w:left="720"/>
        <w:rPr>
          <w:rFonts w:cs="Times New Roman"/>
        </w:rPr>
      </w:pPr>
      <w:r w:rsidRPr="0040485A">
        <w:rPr>
          <w:rFonts w:cs="Times New Roman"/>
          <w:i/>
          <w:sz w:val="20"/>
        </w:rPr>
        <w:t>4.1.1. Ownership Type Distribution</w:t>
      </w:r>
      <w:r w:rsidRPr="0040485A">
        <w:rPr>
          <w:rFonts w:cs="Times New Roman"/>
          <w:sz w:val="20"/>
        </w:rPr>
        <w:tab/>
        <w:t>47</w:t>
      </w:r>
    </w:p>
    <w:p w14:paraId="585D4D6A" w14:textId="77777777" w:rsidR="00994AE3" w:rsidRPr="0040485A" w:rsidRDefault="008064C0">
      <w:pPr>
        <w:tabs>
          <w:tab w:val="right" w:leader="dot" w:pos="9360"/>
        </w:tabs>
        <w:spacing w:after="60"/>
        <w:ind w:left="720"/>
        <w:rPr>
          <w:rFonts w:cs="Times New Roman"/>
        </w:rPr>
      </w:pPr>
      <w:r w:rsidRPr="0040485A">
        <w:rPr>
          <w:rFonts w:cs="Times New Roman"/>
          <w:i/>
          <w:sz w:val="20"/>
        </w:rPr>
        <w:t>4.1.2. Firm Revenue Scale Distribution</w:t>
      </w:r>
      <w:r w:rsidRPr="0040485A">
        <w:rPr>
          <w:rFonts w:cs="Times New Roman"/>
          <w:sz w:val="20"/>
        </w:rPr>
        <w:tab/>
        <w:t>49</w:t>
      </w:r>
    </w:p>
    <w:p w14:paraId="0E6FB55A" w14:textId="77777777" w:rsidR="00994AE3" w:rsidRPr="0040485A" w:rsidRDefault="008064C0">
      <w:pPr>
        <w:tabs>
          <w:tab w:val="right" w:leader="dot" w:pos="9360"/>
        </w:tabs>
        <w:spacing w:after="60"/>
        <w:ind w:left="720"/>
        <w:rPr>
          <w:rFonts w:cs="Times New Roman"/>
        </w:rPr>
      </w:pPr>
      <w:r w:rsidRPr="0040485A">
        <w:rPr>
          <w:rFonts w:cs="Times New Roman"/>
          <w:i/>
          <w:sz w:val="20"/>
        </w:rPr>
        <w:t>4.1.3. Operating Experience Distribution</w:t>
      </w:r>
      <w:r w:rsidRPr="0040485A">
        <w:rPr>
          <w:rFonts w:cs="Times New Roman"/>
          <w:sz w:val="20"/>
        </w:rPr>
        <w:tab/>
        <w:t>50</w:t>
      </w:r>
    </w:p>
    <w:p w14:paraId="6E8CE900" w14:textId="77777777" w:rsidR="00994AE3" w:rsidRPr="0040485A" w:rsidRDefault="008064C0">
      <w:pPr>
        <w:tabs>
          <w:tab w:val="right" w:leader="dot" w:pos="9360"/>
        </w:tabs>
        <w:spacing w:after="60"/>
        <w:ind w:left="720"/>
        <w:rPr>
          <w:rFonts w:cs="Times New Roman"/>
        </w:rPr>
      </w:pPr>
      <w:r w:rsidRPr="0040485A">
        <w:rPr>
          <w:rFonts w:cs="Times New Roman"/>
          <w:i/>
          <w:sz w:val="20"/>
        </w:rPr>
        <w:t>4.1.4. Usage Distribution of</w:t>
      </w:r>
      <w:r w:rsidRPr="0040485A">
        <w:rPr>
          <w:rFonts w:cs="Times New Roman"/>
          <w:i/>
          <w:sz w:val="20"/>
        </w:rPr>
        <w:t xml:space="preserve"> Bank Guarantee Products</w:t>
      </w:r>
      <w:r w:rsidRPr="0040485A">
        <w:rPr>
          <w:rFonts w:cs="Times New Roman"/>
          <w:sz w:val="20"/>
        </w:rPr>
        <w:tab/>
        <w:t>51</w:t>
      </w:r>
    </w:p>
    <w:p w14:paraId="2ED3A4C1" w14:textId="77777777" w:rsidR="00994AE3" w:rsidRPr="0040485A" w:rsidRDefault="008064C0">
      <w:pPr>
        <w:tabs>
          <w:tab w:val="right" w:leader="dot" w:pos="9360"/>
        </w:tabs>
        <w:spacing w:after="60"/>
        <w:ind w:left="720"/>
        <w:rPr>
          <w:rFonts w:cs="Times New Roman"/>
        </w:rPr>
      </w:pPr>
      <w:r w:rsidRPr="0040485A">
        <w:rPr>
          <w:rFonts w:cs="Times New Roman"/>
          <w:i/>
          <w:sz w:val="20"/>
        </w:rPr>
        <w:t>4.1.5. Multi-Banking Status Distribution</w:t>
      </w:r>
      <w:r w:rsidRPr="0040485A">
        <w:rPr>
          <w:rFonts w:cs="Times New Roman"/>
          <w:i/>
          <w:sz w:val="20"/>
        </w:rPr>
        <w:tab/>
        <w:t>52</w:t>
      </w:r>
    </w:p>
    <w:p w14:paraId="08644E6B" w14:textId="77777777" w:rsidR="00994AE3" w:rsidRPr="0040485A" w:rsidRDefault="008064C0">
      <w:pPr>
        <w:tabs>
          <w:tab w:val="right" w:leader="dot" w:pos="9360"/>
        </w:tabs>
        <w:spacing w:after="60"/>
        <w:ind w:left="360"/>
        <w:rPr>
          <w:rFonts w:cs="Times New Roman"/>
        </w:rPr>
      </w:pPr>
      <w:r w:rsidRPr="0040485A">
        <w:rPr>
          <w:rFonts w:cs="Times New Roman"/>
          <w:sz w:val="21"/>
        </w:rPr>
        <w:t>4.2. Scale Reliability Analysis Results (Cronbach’s Alpha)</w:t>
      </w:r>
      <w:r w:rsidRPr="0040485A">
        <w:rPr>
          <w:rFonts w:cs="Times New Roman"/>
          <w:sz w:val="21"/>
        </w:rPr>
        <w:tab/>
        <w:t>53</w:t>
      </w:r>
    </w:p>
    <w:p w14:paraId="0B210B3B" w14:textId="77777777" w:rsidR="00994AE3" w:rsidRPr="0040485A" w:rsidRDefault="008064C0">
      <w:pPr>
        <w:tabs>
          <w:tab w:val="right" w:leader="dot" w:pos="9360"/>
        </w:tabs>
        <w:spacing w:after="60"/>
        <w:ind w:left="360"/>
        <w:rPr>
          <w:rFonts w:cs="Times New Roman"/>
        </w:rPr>
      </w:pPr>
      <w:r w:rsidRPr="0040485A">
        <w:rPr>
          <w:rFonts w:cs="Times New Roman"/>
          <w:sz w:val="21"/>
        </w:rPr>
        <w:t>4.3. Exploratory Factor Analysis Results (EFA)</w:t>
      </w:r>
      <w:r w:rsidRPr="0040485A">
        <w:rPr>
          <w:rFonts w:cs="Times New Roman"/>
          <w:sz w:val="21"/>
        </w:rPr>
        <w:tab/>
        <w:t>55</w:t>
      </w:r>
    </w:p>
    <w:p w14:paraId="0DB89E4B" w14:textId="77777777" w:rsidR="00994AE3" w:rsidRPr="0040485A" w:rsidRDefault="008064C0">
      <w:pPr>
        <w:tabs>
          <w:tab w:val="right" w:leader="dot" w:pos="9360"/>
        </w:tabs>
        <w:spacing w:after="60"/>
        <w:ind w:left="720"/>
        <w:rPr>
          <w:rFonts w:cs="Times New Roman"/>
        </w:rPr>
      </w:pPr>
      <w:r w:rsidRPr="0040485A">
        <w:rPr>
          <w:rFonts w:cs="Times New Roman"/>
          <w:i/>
          <w:sz w:val="20"/>
        </w:rPr>
        <w:t>4.3.1. EFA for Independent Variables</w:t>
      </w:r>
      <w:r w:rsidRPr="0040485A">
        <w:rPr>
          <w:rFonts w:cs="Times New Roman"/>
          <w:sz w:val="20"/>
        </w:rPr>
        <w:tab/>
        <w:t>55</w:t>
      </w:r>
    </w:p>
    <w:p w14:paraId="7E9D5E2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4.3.2. EFA for </w:t>
      </w:r>
      <w:r w:rsidRPr="0040485A">
        <w:rPr>
          <w:rFonts w:cs="Times New Roman"/>
          <w:i/>
          <w:sz w:val="20"/>
        </w:rPr>
        <w:t>Dependent Variable (DEC)</w:t>
      </w:r>
      <w:r w:rsidRPr="0040485A">
        <w:rPr>
          <w:rFonts w:cs="Times New Roman"/>
          <w:sz w:val="20"/>
        </w:rPr>
        <w:tab/>
        <w:t>58</w:t>
      </w:r>
    </w:p>
    <w:p w14:paraId="76315C13" w14:textId="77777777" w:rsidR="00994AE3" w:rsidRPr="0040485A" w:rsidRDefault="008064C0">
      <w:pPr>
        <w:tabs>
          <w:tab w:val="right" w:leader="dot" w:pos="9360"/>
        </w:tabs>
        <w:spacing w:after="60"/>
        <w:ind w:left="360"/>
        <w:rPr>
          <w:rFonts w:cs="Times New Roman"/>
        </w:rPr>
      </w:pPr>
      <w:r w:rsidRPr="0040485A">
        <w:rPr>
          <w:rFonts w:cs="Times New Roman"/>
          <w:sz w:val="21"/>
        </w:rPr>
        <w:t>4.4. Correlation Analysis &amp; Multicollinearity Diagnostics (VIF)</w:t>
      </w:r>
      <w:r w:rsidRPr="0040485A">
        <w:rPr>
          <w:rFonts w:cs="Times New Roman"/>
          <w:sz w:val="21"/>
        </w:rPr>
        <w:tab/>
        <w:t>59</w:t>
      </w:r>
    </w:p>
    <w:p w14:paraId="5EA62C60" w14:textId="77777777" w:rsidR="00994AE3" w:rsidRPr="0040485A" w:rsidRDefault="008064C0">
      <w:pPr>
        <w:tabs>
          <w:tab w:val="right" w:leader="dot" w:pos="9360"/>
        </w:tabs>
        <w:spacing w:after="60"/>
        <w:ind w:left="360"/>
        <w:rPr>
          <w:rFonts w:cs="Times New Roman"/>
        </w:rPr>
      </w:pPr>
      <w:r w:rsidRPr="0040485A">
        <w:rPr>
          <w:rFonts w:cs="Times New Roman"/>
          <w:sz w:val="21"/>
        </w:rPr>
        <w:t>4.5. Multiple Linear Regression Results (OLS)</w:t>
      </w:r>
      <w:r w:rsidRPr="0040485A">
        <w:rPr>
          <w:rFonts w:cs="Times New Roman"/>
          <w:sz w:val="21"/>
        </w:rPr>
        <w:tab/>
        <w:t>61</w:t>
      </w:r>
    </w:p>
    <w:p w14:paraId="2801593C" w14:textId="77777777" w:rsidR="00994AE3" w:rsidRPr="0040485A" w:rsidRDefault="008064C0">
      <w:pPr>
        <w:tabs>
          <w:tab w:val="right" w:leader="dot" w:pos="9360"/>
        </w:tabs>
        <w:spacing w:after="60"/>
        <w:ind w:left="720"/>
        <w:rPr>
          <w:rFonts w:cs="Times New Roman"/>
        </w:rPr>
      </w:pPr>
      <w:r w:rsidRPr="0040485A">
        <w:rPr>
          <w:rFonts w:cs="Times New Roman"/>
          <w:i/>
          <w:sz w:val="20"/>
        </w:rPr>
        <w:t>4.5.1. Model Summary &amp; Goodness of Fit</w:t>
      </w:r>
      <w:r w:rsidRPr="0040485A">
        <w:rPr>
          <w:rFonts w:cs="Times New Roman"/>
          <w:sz w:val="20"/>
        </w:rPr>
        <w:tab/>
        <w:t>61</w:t>
      </w:r>
    </w:p>
    <w:p w14:paraId="56C91E06" w14:textId="77777777" w:rsidR="00994AE3" w:rsidRPr="0040485A" w:rsidRDefault="008064C0">
      <w:pPr>
        <w:tabs>
          <w:tab w:val="right" w:leader="dot" w:pos="9360"/>
        </w:tabs>
        <w:spacing w:after="60"/>
        <w:ind w:left="720"/>
        <w:rPr>
          <w:rFonts w:cs="Times New Roman"/>
        </w:rPr>
      </w:pPr>
      <w:r w:rsidRPr="0040485A">
        <w:rPr>
          <w:rFonts w:cs="Times New Roman"/>
          <w:i/>
          <w:sz w:val="20"/>
        </w:rPr>
        <w:t>4.5.2. Estimated Coefficients and Hypothesis Testing</w:t>
      </w:r>
      <w:r w:rsidRPr="0040485A">
        <w:rPr>
          <w:rFonts w:cs="Times New Roman"/>
          <w:sz w:val="20"/>
        </w:rPr>
        <w:tab/>
        <w:t>63</w:t>
      </w:r>
    </w:p>
    <w:p w14:paraId="7C91B41A" w14:textId="77777777" w:rsidR="00994AE3" w:rsidRPr="0040485A" w:rsidRDefault="008064C0">
      <w:pPr>
        <w:tabs>
          <w:tab w:val="right" w:leader="dot" w:pos="9360"/>
        </w:tabs>
        <w:spacing w:after="60"/>
        <w:ind w:left="720"/>
        <w:rPr>
          <w:rFonts w:cs="Times New Roman"/>
        </w:rPr>
      </w:pPr>
      <w:r w:rsidRPr="0040485A">
        <w:rPr>
          <w:rFonts w:cs="Times New Roman"/>
          <w:i/>
          <w:sz w:val="20"/>
        </w:rPr>
        <w:t>4.5.3. Robustn</w:t>
      </w:r>
      <w:r w:rsidRPr="0040485A">
        <w:rPr>
          <w:rFonts w:cs="Times New Roman"/>
          <w:i/>
          <w:sz w:val="20"/>
        </w:rPr>
        <w:t>ess Check with Ownership, Size and Multi-Banking Control Dummies</w:t>
      </w:r>
      <w:r w:rsidRPr="0040485A">
        <w:rPr>
          <w:rFonts w:cs="Times New Roman"/>
          <w:i/>
          <w:sz w:val="20"/>
        </w:rPr>
        <w:tab/>
        <w:t>66</w:t>
      </w:r>
    </w:p>
    <w:p w14:paraId="7CB7472C" w14:textId="77777777" w:rsidR="00994AE3" w:rsidRPr="0040485A" w:rsidRDefault="008064C0">
      <w:pPr>
        <w:tabs>
          <w:tab w:val="right" w:leader="dot" w:pos="9360"/>
        </w:tabs>
        <w:spacing w:after="60"/>
        <w:ind w:left="360"/>
        <w:rPr>
          <w:rFonts w:cs="Times New Roman"/>
        </w:rPr>
      </w:pPr>
      <w:r w:rsidRPr="0040485A">
        <w:rPr>
          <w:rFonts w:cs="Times New Roman"/>
          <w:sz w:val="21"/>
        </w:rPr>
        <w:t>4.6. Sub-Group Difference Analysis Results (ANOVA &amp; t-test)</w:t>
      </w:r>
      <w:r w:rsidRPr="0040485A">
        <w:rPr>
          <w:rFonts w:cs="Times New Roman"/>
          <w:sz w:val="21"/>
        </w:rPr>
        <w:tab/>
        <w:t>66</w:t>
      </w:r>
    </w:p>
    <w:p w14:paraId="1E325B66" w14:textId="77777777" w:rsidR="00994AE3" w:rsidRPr="0040485A" w:rsidRDefault="008064C0">
      <w:pPr>
        <w:tabs>
          <w:tab w:val="right" w:leader="dot" w:pos="9360"/>
        </w:tabs>
        <w:spacing w:after="60"/>
        <w:ind w:left="720"/>
        <w:rPr>
          <w:rFonts w:cs="Times New Roman"/>
        </w:rPr>
      </w:pPr>
      <w:r w:rsidRPr="0040485A">
        <w:rPr>
          <w:rFonts w:cs="Times New Roman"/>
          <w:i/>
          <w:sz w:val="20"/>
        </w:rPr>
        <w:t>4.6.1. Selection Differences across Ownership Types</w:t>
      </w:r>
      <w:r w:rsidRPr="0040485A">
        <w:rPr>
          <w:rFonts w:cs="Times New Roman"/>
          <w:sz w:val="20"/>
        </w:rPr>
        <w:tab/>
        <w:t>66</w:t>
      </w:r>
    </w:p>
    <w:p w14:paraId="0CE907A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4.6.2. Selection Differences across Firm Scales and Operating </w:t>
      </w:r>
      <w:r w:rsidRPr="0040485A">
        <w:rPr>
          <w:rFonts w:cs="Times New Roman"/>
          <w:i/>
          <w:sz w:val="20"/>
        </w:rPr>
        <w:t>Experience</w:t>
      </w:r>
      <w:r w:rsidRPr="0040485A">
        <w:rPr>
          <w:rFonts w:cs="Times New Roman"/>
          <w:sz w:val="20"/>
        </w:rPr>
        <w:tab/>
        <w:t>68</w:t>
      </w:r>
    </w:p>
    <w:p w14:paraId="62D6B8CD" w14:textId="77777777" w:rsidR="00994AE3" w:rsidRPr="0040485A" w:rsidRDefault="008064C0">
      <w:pPr>
        <w:tabs>
          <w:tab w:val="right" w:leader="dot" w:pos="9360"/>
        </w:tabs>
        <w:spacing w:after="60"/>
        <w:ind w:left="720"/>
        <w:rPr>
          <w:rFonts w:cs="Times New Roman"/>
        </w:rPr>
      </w:pPr>
      <w:r w:rsidRPr="0040485A">
        <w:rPr>
          <w:rFonts w:cs="Times New Roman"/>
          <w:i/>
          <w:sz w:val="20"/>
        </w:rPr>
        <w:t>4.6.3. Selection Differences across Guarantee Product Types</w:t>
      </w:r>
      <w:r w:rsidRPr="0040485A">
        <w:rPr>
          <w:rFonts w:cs="Times New Roman"/>
          <w:sz w:val="20"/>
        </w:rPr>
        <w:tab/>
        <w:t>70</w:t>
      </w:r>
    </w:p>
    <w:p w14:paraId="627C8057" w14:textId="77777777" w:rsidR="00994AE3" w:rsidRPr="0040485A" w:rsidRDefault="008064C0">
      <w:pPr>
        <w:tabs>
          <w:tab w:val="right" w:leader="dot" w:pos="9360"/>
        </w:tabs>
        <w:spacing w:after="60"/>
        <w:ind w:left="720"/>
        <w:rPr>
          <w:rFonts w:cs="Times New Roman"/>
        </w:rPr>
      </w:pPr>
      <w:r w:rsidRPr="0040485A">
        <w:rPr>
          <w:rFonts w:cs="Times New Roman"/>
          <w:i/>
          <w:sz w:val="20"/>
        </w:rPr>
        <w:t>4.6.4. Selection Differences between Single-Bank and Multi-Bank Users (t-test)</w:t>
      </w:r>
      <w:r w:rsidRPr="0040485A">
        <w:rPr>
          <w:rFonts w:cs="Times New Roman"/>
          <w:i/>
          <w:sz w:val="20"/>
        </w:rPr>
        <w:tab/>
        <w:t>71</w:t>
      </w:r>
    </w:p>
    <w:p w14:paraId="5D546AB6" w14:textId="77777777" w:rsidR="00994AE3" w:rsidRPr="0040485A" w:rsidRDefault="008064C0">
      <w:pPr>
        <w:tabs>
          <w:tab w:val="right" w:leader="dot" w:pos="9360"/>
        </w:tabs>
        <w:spacing w:after="60"/>
        <w:ind w:left="360"/>
        <w:rPr>
          <w:rFonts w:cs="Times New Roman"/>
        </w:rPr>
      </w:pPr>
      <w:r w:rsidRPr="0040485A">
        <w:rPr>
          <w:rFonts w:cs="Times New Roman"/>
          <w:sz w:val="21"/>
        </w:rPr>
        <w:t>4.7. Discussion of Empirical Findings</w:t>
      </w:r>
      <w:r w:rsidRPr="0040485A">
        <w:rPr>
          <w:rFonts w:cs="Times New Roman"/>
          <w:sz w:val="21"/>
        </w:rPr>
        <w:tab/>
        <w:t>72</w:t>
      </w:r>
    </w:p>
    <w:p w14:paraId="0A8EB18B" w14:textId="77777777" w:rsidR="00994AE3" w:rsidRPr="0040485A" w:rsidRDefault="008064C0">
      <w:pPr>
        <w:tabs>
          <w:tab w:val="right" w:leader="dot" w:pos="9360"/>
        </w:tabs>
        <w:spacing w:after="60"/>
        <w:ind w:left="360"/>
        <w:rPr>
          <w:rFonts w:cs="Times New Roman"/>
        </w:rPr>
      </w:pPr>
      <w:r w:rsidRPr="0040485A">
        <w:rPr>
          <w:rFonts w:cs="Times New Roman"/>
          <w:sz w:val="21"/>
        </w:rPr>
        <w:t>4.8. Managerial Implications &amp; Policy Recommendations fo</w:t>
      </w:r>
      <w:r w:rsidRPr="0040485A">
        <w:rPr>
          <w:rFonts w:cs="Times New Roman"/>
          <w:sz w:val="21"/>
        </w:rPr>
        <w:t>r VietinBank</w:t>
      </w:r>
      <w:r w:rsidRPr="0040485A">
        <w:rPr>
          <w:rFonts w:cs="Times New Roman"/>
          <w:sz w:val="21"/>
        </w:rPr>
        <w:tab/>
        <w:t>75</w:t>
      </w:r>
    </w:p>
    <w:p w14:paraId="1F3DEAC7" w14:textId="77777777" w:rsidR="00994AE3" w:rsidRPr="0040485A" w:rsidRDefault="008064C0">
      <w:pPr>
        <w:tabs>
          <w:tab w:val="right" w:leader="dot" w:pos="9360"/>
        </w:tabs>
        <w:spacing w:after="60"/>
        <w:ind w:left="720"/>
        <w:rPr>
          <w:rFonts w:cs="Times New Roman"/>
        </w:rPr>
      </w:pPr>
      <w:r w:rsidRPr="0040485A">
        <w:rPr>
          <w:rFonts w:cs="Times New Roman"/>
          <w:i/>
          <w:sz w:val="20"/>
        </w:rPr>
        <w:lastRenderedPageBreak/>
        <w:t>4.8.1. Enhancing Core Service Capabilities (Response to Objective 1)</w:t>
      </w:r>
      <w:r w:rsidRPr="0040485A">
        <w:rPr>
          <w:rFonts w:cs="Times New Roman"/>
          <w:sz w:val="20"/>
        </w:rPr>
        <w:tab/>
        <w:t>75</w:t>
      </w:r>
    </w:p>
    <w:p w14:paraId="2564A07F" w14:textId="77777777" w:rsidR="00994AE3" w:rsidRPr="0040485A" w:rsidRDefault="008064C0">
      <w:pPr>
        <w:tabs>
          <w:tab w:val="right" w:leader="dot" w:pos="9360"/>
        </w:tabs>
        <w:spacing w:after="60"/>
        <w:ind w:left="720"/>
        <w:rPr>
          <w:rFonts w:cs="Times New Roman"/>
        </w:rPr>
      </w:pPr>
      <w:r w:rsidRPr="0040485A">
        <w:rPr>
          <w:rFonts w:cs="Times New Roman"/>
          <w:i/>
          <w:sz w:val="20"/>
        </w:rPr>
        <w:t>4.8.2. Strategies for Price Competitiveness &amp; Processing Speed (Response to Objective 2)</w:t>
      </w:r>
      <w:r w:rsidRPr="0040485A">
        <w:rPr>
          <w:rFonts w:cs="Times New Roman"/>
          <w:sz w:val="20"/>
        </w:rPr>
        <w:tab/>
        <w:t>77</w:t>
      </w:r>
    </w:p>
    <w:p w14:paraId="206DF790" w14:textId="77777777" w:rsidR="00994AE3" w:rsidRPr="0040485A" w:rsidRDefault="008064C0">
      <w:pPr>
        <w:tabs>
          <w:tab w:val="right" w:leader="dot" w:pos="9360"/>
        </w:tabs>
        <w:spacing w:after="60"/>
        <w:ind w:left="720"/>
        <w:rPr>
          <w:rFonts w:cs="Times New Roman"/>
        </w:rPr>
      </w:pPr>
      <w:r w:rsidRPr="0040485A">
        <w:rPr>
          <w:rFonts w:cs="Times New Roman"/>
          <w:i/>
          <w:sz w:val="20"/>
        </w:rPr>
        <w:t>4.8.3. Tailored Guarantee Packages for Corporate Segments (Response to Objec</w:t>
      </w:r>
      <w:r w:rsidRPr="0040485A">
        <w:rPr>
          <w:rFonts w:cs="Times New Roman"/>
          <w:i/>
          <w:sz w:val="20"/>
        </w:rPr>
        <w:t>tive 3)</w:t>
      </w:r>
      <w:r w:rsidRPr="0040485A">
        <w:rPr>
          <w:rFonts w:cs="Times New Roman"/>
          <w:sz w:val="20"/>
        </w:rPr>
        <w:tab/>
        <w:t>79</w:t>
      </w:r>
    </w:p>
    <w:p w14:paraId="35BF1778" w14:textId="77777777" w:rsidR="00994AE3" w:rsidRPr="0040485A" w:rsidRDefault="008064C0">
      <w:pPr>
        <w:tabs>
          <w:tab w:val="right" w:leader="dot" w:pos="9360"/>
        </w:tabs>
        <w:spacing w:after="60"/>
        <w:ind w:left="720"/>
        <w:rPr>
          <w:rFonts w:cs="Times New Roman"/>
        </w:rPr>
      </w:pPr>
      <w:r w:rsidRPr="0040485A">
        <w:rPr>
          <w:rFonts w:cs="Times New Roman"/>
          <w:i/>
          <w:sz w:val="20"/>
        </w:rPr>
        <w:t>4.8.4. Breakthrough Digital Transformation Strategy via VietinBank eFAST (Response to Objective 4)</w:t>
      </w:r>
      <w:r w:rsidRPr="0040485A">
        <w:rPr>
          <w:rFonts w:cs="Times New Roman"/>
          <w:sz w:val="20"/>
        </w:rPr>
        <w:tab/>
        <w:t>81</w:t>
      </w:r>
    </w:p>
    <w:p w14:paraId="7EF42D5B" w14:textId="77777777" w:rsidR="00994AE3" w:rsidRPr="0040485A" w:rsidRDefault="008064C0">
      <w:pPr>
        <w:tabs>
          <w:tab w:val="right" w:leader="dot" w:pos="9360"/>
        </w:tabs>
        <w:spacing w:after="60"/>
        <w:ind w:left="360"/>
        <w:rPr>
          <w:rFonts w:cs="Times New Roman"/>
        </w:rPr>
      </w:pPr>
      <w:r w:rsidRPr="0040485A">
        <w:rPr>
          <w:rFonts w:cs="Times New Roman"/>
          <w:sz w:val="21"/>
        </w:rPr>
        <w:t>4.9. Policy Recommendations for the State Bank of Vietnam</w:t>
      </w:r>
      <w:r w:rsidRPr="0040485A">
        <w:rPr>
          <w:rFonts w:cs="Times New Roman"/>
          <w:sz w:val="21"/>
        </w:rPr>
        <w:tab/>
        <w:t>83</w:t>
      </w:r>
    </w:p>
    <w:p w14:paraId="787D094C" w14:textId="77777777" w:rsidR="00994AE3" w:rsidRPr="0040485A" w:rsidRDefault="008064C0">
      <w:pPr>
        <w:tabs>
          <w:tab w:val="right" w:leader="dot" w:pos="9360"/>
        </w:tabs>
        <w:spacing w:after="60"/>
        <w:ind w:left="360"/>
        <w:rPr>
          <w:rFonts w:cs="Times New Roman"/>
        </w:rPr>
      </w:pPr>
      <w:r w:rsidRPr="0040485A">
        <w:rPr>
          <w:rFonts w:cs="Times New Roman"/>
          <w:sz w:val="21"/>
        </w:rPr>
        <w:t>4.10. Research Limitations and Suggestions for Future Research</w:t>
      </w:r>
      <w:r w:rsidRPr="0040485A">
        <w:rPr>
          <w:rFonts w:cs="Times New Roman"/>
          <w:sz w:val="21"/>
        </w:rPr>
        <w:tab/>
        <w:t>85</w:t>
      </w:r>
    </w:p>
    <w:p w14:paraId="6FDA9195" w14:textId="77777777" w:rsidR="00994AE3" w:rsidRPr="0040485A" w:rsidRDefault="008064C0">
      <w:pPr>
        <w:tabs>
          <w:tab w:val="right" w:leader="dot" w:pos="9360"/>
        </w:tabs>
        <w:spacing w:before="80" w:after="60"/>
        <w:rPr>
          <w:rFonts w:cs="Times New Roman"/>
        </w:rPr>
      </w:pPr>
      <w:r w:rsidRPr="0040485A">
        <w:rPr>
          <w:rFonts w:cs="Times New Roman"/>
          <w:b/>
          <w:sz w:val="22"/>
        </w:rPr>
        <w:t>REFERENCES</w:t>
      </w:r>
      <w:r w:rsidRPr="0040485A">
        <w:rPr>
          <w:rFonts w:cs="Times New Roman"/>
          <w:b/>
          <w:sz w:val="22"/>
        </w:rPr>
        <w:tab/>
        <w:t>87</w:t>
      </w:r>
    </w:p>
    <w:p w14:paraId="2F0FED67" w14:textId="77777777" w:rsidR="00994AE3" w:rsidRPr="0040485A" w:rsidRDefault="008064C0">
      <w:pPr>
        <w:tabs>
          <w:tab w:val="right" w:leader="dot" w:pos="9360"/>
        </w:tabs>
        <w:spacing w:before="80" w:after="60"/>
        <w:rPr>
          <w:rFonts w:cs="Times New Roman"/>
        </w:rPr>
      </w:pPr>
      <w:r w:rsidRPr="0040485A">
        <w:rPr>
          <w:rFonts w:cs="Times New Roman"/>
          <w:b/>
          <w:sz w:val="22"/>
        </w:rPr>
        <w:t>AP</w:t>
      </w:r>
      <w:r w:rsidRPr="0040485A">
        <w:rPr>
          <w:rFonts w:cs="Times New Roman"/>
          <w:b/>
          <w:sz w:val="22"/>
        </w:rPr>
        <w:t>PENDICES</w:t>
      </w:r>
      <w:r w:rsidRPr="0040485A">
        <w:rPr>
          <w:rFonts w:cs="Times New Roman"/>
          <w:b/>
          <w:sz w:val="22"/>
        </w:rPr>
        <w:tab/>
        <w:t>92</w:t>
      </w:r>
    </w:p>
    <w:p w14:paraId="11134E08" w14:textId="77777777" w:rsidR="00994AE3" w:rsidRPr="0040485A" w:rsidRDefault="008064C0">
      <w:pPr>
        <w:tabs>
          <w:tab w:val="right" w:leader="dot" w:pos="9360"/>
        </w:tabs>
        <w:spacing w:after="60"/>
        <w:ind w:left="360"/>
        <w:rPr>
          <w:rFonts w:cs="Times New Roman"/>
        </w:rPr>
      </w:pPr>
      <w:r w:rsidRPr="0040485A">
        <w:rPr>
          <w:rFonts w:cs="Times New Roman"/>
          <w:sz w:val="21"/>
        </w:rPr>
        <w:t>Appendix 1: Sample Demographic Characteristics Output</w:t>
      </w:r>
      <w:r w:rsidRPr="0040485A">
        <w:rPr>
          <w:rFonts w:cs="Times New Roman"/>
          <w:sz w:val="21"/>
        </w:rPr>
        <w:tab/>
        <w:t>92</w:t>
      </w:r>
    </w:p>
    <w:p w14:paraId="2CA53291" w14:textId="77777777" w:rsidR="00994AE3" w:rsidRPr="0040485A" w:rsidRDefault="008064C0">
      <w:pPr>
        <w:tabs>
          <w:tab w:val="right" w:leader="dot" w:pos="9360"/>
        </w:tabs>
        <w:spacing w:after="60"/>
        <w:ind w:left="360"/>
        <w:rPr>
          <w:rFonts w:cs="Times New Roman"/>
        </w:rPr>
      </w:pPr>
      <w:r w:rsidRPr="0040485A">
        <w:rPr>
          <w:rFonts w:cs="Times New Roman"/>
          <w:sz w:val="21"/>
        </w:rPr>
        <w:t>Appendix 2: Cronbach’s Alpha Reliability Analysis Output</w:t>
      </w:r>
      <w:r w:rsidRPr="0040485A">
        <w:rPr>
          <w:rFonts w:cs="Times New Roman"/>
          <w:sz w:val="21"/>
        </w:rPr>
        <w:tab/>
        <w:t>94</w:t>
      </w:r>
    </w:p>
    <w:p w14:paraId="5891BE37" w14:textId="77777777" w:rsidR="00994AE3" w:rsidRPr="0040485A" w:rsidRDefault="008064C0">
      <w:pPr>
        <w:tabs>
          <w:tab w:val="right" w:leader="dot" w:pos="9360"/>
        </w:tabs>
        <w:spacing w:after="60"/>
        <w:ind w:left="360"/>
        <w:rPr>
          <w:rFonts w:cs="Times New Roman"/>
        </w:rPr>
      </w:pPr>
      <w:r w:rsidRPr="0040485A">
        <w:rPr>
          <w:rFonts w:cs="Times New Roman"/>
          <w:sz w:val="21"/>
        </w:rPr>
        <w:t>Appendix 3: EFA Total Variance Explained &amp; Rotated Component Matrix Output</w:t>
      </w:r>
      <w:r w:rsidRPr="0040485A">
        <w:rPr>
          <w:rFonts w:cs="Times New Roman"/>
          <w:sz w:val="21"/>
        </w:rPr>
        <w:tab/>
        <w:t>96</w:t>
      </w:r>
    </w:p>
    <w:p w14:paraId="6A3B2024" w14:textId="77777777" w:rsidR="00994AE3" w:rsidRPr="0040485A" w:rsidRDefault="008064C0">
      <w:pPr>
        <w:tabs>
          <w:tab w:val="right" w:leader="dot" w:pos="9360"/>
        </w:tabs>
        <w:spacing w:after="60"/>
        <w:ind w:left="360"/>
        <w:rPr>
          <w:rFonts w:cs="Times New Roman"/>
        </w:rPr>
      </w:pPr>
      <w:r w:rsidRPr="0040485A">
        <w:rPr>
          <w:rFonts w:cs="Times New Roman"/>
          <w:sz w:val="21"/>
        </w:rPr>
        <w:t xml:space="preserve">Appendix 4: OLS Multiple Regression, VIF &amp; </w:t>
      </w:r>
      <w:r w:rsidRPr="0040485A">
        <w:rPr>
          <w:rFonts w:cs="Times New Roman"/>
          <w:sz w:val="21"/>
        </w:rPr>
        <w:t>Sub-group ANOVA Output</w:t>
      </w:r>
      <w:r w:rsidRPr="0040485A">
        <w:rPr>
          <w:rFonts w:cs="Times New Roman"/>
          <w:sz w:val="21"/>
        </w:rPr>
        <w:tab/>
        <w:t>99</w:t>
      </w:r>
    </w:p>
    <w:p w14:paraId="794CEEF3" w14:textId="77777777" w:rsidR="00994AE3" w:rsidRPr="0040485A" w:rsidRDefault="008064C0">
      <w:pPr>
        <w:rPr>
          <w:rFonts w:cs="Times New Roman"/>
        </w:rPr>
      </w:pPr>
      <w:r w:rsidRPr="0040485A">
        <w:rPr>
          <w:rFonts w:cs="Times New Roman"/>
        </w:rPr>
        <w:br w:type="page"/>
      </w:r>
    </w:p>
    <w:p w14:paraId="1777D3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ABBREVIATIONS</w:t>
      </w:r>
    </w:p>
    <w:tbl>
      <w:tblPr>
        <w:tblW w:w="0" w:type="auto"/>
        <w:jc w:val="center"/>
        <w:tblLook w:val="04A0" w:firstRow="1" w:lastRow="0" w:firstColumn="1" w:lastColumn="0" w:noHBand="0" w:noVBand="1"/>
      </w:tblPr>
      <w:tblGrid>
        <w:gridCol w:w="4103"/>
        <w:gridCol w:w="5473"/>
      </w:tblGrid>
      <w:tr w:rsidR="00994AE3" w:rsidRPr="0040485A" w14:paraId="7B1AE2AA" w14:textId="77777777">
        <w:trPr>
          <w:jc w:val="center"/>
        </w:trPr>
        <w:tc>
          <w:tcPr>
            <w:tcW w:w="2880" w:type="dxa"/>
            <w:tcBorders>
              <w:top w:val="single" w:sz="12" w:space="0" w:color="000000"/>
              <w:bottom w:val="single" w:sz="8" w:space="0" w:color="000000"/>
            </w:tcBorders>
          </w:tcPr>
          <w:p w14:paraId="6AF496FC" w14:textId="77777777" w:rsidR="00994AE3" w:rsidRPr="0040485A" w:rsidRDefault="008064C0">
            <w:pPr>
              <w:rPr>
                <w:rFonts w:cs="Times New Roman"/>
              </w:rPr>
            </w:pPr>
            <w:r w:rsidRPr="0040485A">
              <w:rPr>
                <w:rFonts w:cs="Times New Roman"/>
                <w:b/>
              </w:rPr>
              <w:t>Abbreviation</w:t>
            </w:r>
          </w:p>
        </w:tc>
        <w:tc>
          <w:tcPr>
            <w:tcW w:w="6480" w:type="dxa"/>
            <w:tcBorders>
              <w:top w:val="single" w:sz="12" w:space="0" w:color="000000"/>
              <w:bottom w:val="single" w:sz="8" w:space="0" w:color="000000"/>
            </w:tcBorders>
          </w:tcPr>
          <w:p w14:paraId="44513995" w14:textId="77777777" w:rsidR="00994AE3" w:rsidRPr="0040485A" w:rsidRDefault="008064C0">
            <w:pPr>
              <w:rPr>
                <w:rFonts w:cs="Times New Roman"/>
              </w:rPr>
            </w:pPr>
            <w:r w:rsidRPr="0040485A">
              <w:rPr>
                <w:rFonts w:cs="Times New Roman"/>
                <w:b/>
              </w:rPr>
              <w:t>Full Term / Meaning</w:t>
            </w:r>
          </w:p>
        </w:tc>
      </w:tr>
      <w:tr w:rsidR="00994AE3" w:rsidRPr="0040485A" w14:paraId="6441E95F" w14:textId="77777777">
        <w:trPr>
          <w:jc w:val="center"/>
        </w:trPr>
        <w:tc>
          <w:tcPr>
            <w:tcW w:w="4680" w:type="dxa"/>
          </w:tcPr>
          <w:p w14:paraId="51769648" w14:textId="77777777" w:rsidR="00994AE3" w:rsidRPr="0040485A" w:rsidRDefault="008064C0">
            <w:pPr>
              <w:spacing w:after="40"/>
              <w:rPr>
                <w:rFonts w:cs="Times New Roman"/>
              </w:rPr>
            </w:pPr>
            <w:r w:rsidRPr="0040485A">
              <w:rPr>
                <w:rFonts w:cs="Times New Roman"/>
                <w:b/>
                <w:sz w:val="22"/>
              </w:rPr>
              <w:t>ANOVA</w:t>
            </w:r>
          </w:p>
        </w:tc>
        <w:tc>
          <w:tcPr>
            <w:tcW w:w="4680" w:type="dxa"/>
          </w:tcPr>
          <w:p w14:paraId="4D70322E" w14:textId="77777777" w:rsidR="00994AE3" w:rsidRPr="0040485A" w:rsidRDefault="008064C0">
            <w:pPr>
              <w:spacing w:after="40"/>
              <w:rPr>
                <w:rFonts w:cs="Times New Roman"/>
              </w:rPr>
            </w:pPr>
            <w:r w:rsidRPr="0040485A">
              <w:rPr>
                <w:rFonts w:cs="Times New Roman"/>
                <w:sz w:val="22"/>
              </w:rPr>
              <w:t>Analysis of Variance</w:t>
            </w:r>
          </w:p>
        </w:tc>
      </w:tr>
      <w:tr w:rsidR="00994AE3" w:rsidRPr="0040485A" w14:paraId="35A36096" w14:textId="77777777">
        <w:trPr>
          <w:jc w:val="center"/>
        </w:trPr>
        <w:tc>
          <w:tcPr>
            <w:tcW w:w="4680" w:type="dxa"/>
          </w:tcPr>
          <w:p w14:paraId="4FA2D979" w14:textId="77777777" w:rsidR="00994AE3" w:rsidRPr="0040485A" w:rsidRDefault="008064C0">
            <w:pPr>
              <w:spacing w:after="40"/>
              <w:rPr>
                <w:rFonts w:cs="Times New Roman"/>
              </w:rPr>
            </w:pPr>
            <w:r w:rsidRPr="0040485A">
              <w:rPr>
                <w:rFonts w:cs="Times New Roman"/>
                <w:b/>
                <w:sz w:val="22"/>
              </w:rPr>
              <w:t>APG</w:t>
            </w:r>
          </w:p>
        </w:tc>
        <w:tc>
          <w:tcPr>
            <w:tcW w:w="4680" w:type="dxa"/>
          </w:tcPr>
          <w:p w14:paraId="357DC961" w14:textId="77777777" w:rsidR="00994AE3" w:rsidRPr="0040485A" w:rsidRDefault="008064C0">
            <w:pPr>
              <w:spacing w:after="40"/>
              <w:rPr>
                <w:rFonts w:cs="Times New Roman"/>
              </w:rPr>
            </w:pPr>
            <w:r w:rsidRPr="0040485A">
              <w:rPr>
                <w:rFonts w:cs="Times New Roman"/>
                <w:sz w:val="22"/>
              </w:rPr>
              <w:t>Advance Payment Guarantee</w:t>
            </w:r>
          </w:p>
        </w:tc>
      </w:tr>
      <w:tr w:rsidR="00994AE3" w:rsidRPr="0040485A" w14:paraId="7A5A8FB6" w14:textId="77777777">
        <w:trPr>
          <w:jc w:val="center"/>
        </w:trPr>
        <w:tc>
          <w:tcPr>
            <w:tcW w:w="4680" w:type="dxa"/>
          </w:tcPr>
          <w:p w14:paraId="57BD25DE" w14:textId="77777777" w:rsidR="00994AE3" w:rsidRPr="0040485A" w:rsidRDefault="008064C0">
            <w:pPr>
              <w:spacing w:after="40"/>
              <w:rPr>
                <w:rFonts w:cs="Times New Roman"/>
              </w:rPr>
            </w:pPr>
            <w:r w:rsidRPr="0040485A">
              <w:rPr>
                <w:rFonts w:cs="Times New Roman"/>
                <w:b/>
                <w:sz w:val="22"/>
              </w:rPr>
              <w:t>BANK_REP</w:t>
            </w:r>
          </w:p>
        </w:tc>
        <w:tc>
          <w:tcPr>
            <w:tcW w:w="4680" w:type="dxa"/>
          </w:tcPr>
          <w:p w14:paraId="0E62AB84" w14:textId="77777777" w:rsidR="00994AE3" w:rsidRPr="0040485A" w:rsidRDefault="008064C0">
            <w:pPr>
              <w:spacing w:after="40"/>
              <w:rPr>
                <w:rFonts w:cs="Times New Roman"/>
              </w:rPr>
            </w:pPr>
            <w:r w:rsidRPr="0040485A">
              <w:rPr>
                <w:rFonts w:cs="Times New Roman"/>
                <w:sz w:val="22"/>
              </w:rPr>
              <w:t>Bank Reputation (independent construct X4)</w:t>
            </w:r>
          </w:p>
        </w:tc>
      </w:tr>
      <w:tr w:rsidR="00994AE3" w:rsidRPr="0040485A" w14:paraId="1BA442B3" w14:textId="77777777">
        <w:trPr>
          <w:jc w:val="center"/>
        </w:trPr>
        <w:tc>
          <w:tcPr>
            <w:tcW w:w="4680" w:type="dxa"/>
          </w:tcPr>
          <w:p w14:paraId="7F48321F" w14:textId="77777777" w:rsidR="00994AE3" w:rsidRPr="0040485A" w:rsidRDefault="008064C0">
            <w:pPr>
              <w:spacing w:after="40"/>
              <w:rPr>
                <w:rFonts w:cs="Times New Roman"/>
              </w:rPr>
            </w:pPr>
            <w:r w:rsidRPr="0040485A">
              <w:rPr>
                <w:rFonts w:cs="Times New Roman"/>
                <w:b/>
                <w:sz w:val="22"/>
              </w:rPr>
              <w:t>BG</w:t>
            </w:r>
          </w:p>
        </w:tc>
        <w:tc>
          <w:tcPr>
            <w:tcW w:w="4680" w:type="dxa"/>
          </w:tcPr>
          <w:p w14:paraId="0FB7DCF4" w14:textId="77777777" w:rsidR="00994AE3" w:rsidRPr="0040485A" w:rsidRDefault="008064C0">
            <w:pPr>
              <w:spacing w:after="40"/>
              <w:rPr>
                <w:rFonts w:cs="Times New Roman"/>
              </w:rPr>
            </w:pPr>
            <w:r w:rsidRPr="0040485A">
              <w:rPr>
                <w:rFonts w:cs="Times New Roman"/>
                <w:sz w:val="22"/>
              </w:rPr>
              <w:t>Payment Guarantee</w:t>
            </w:r>
          </w:p>
        </w:tc>
      </w:tr>
      <w:tr w:rsidR="00994AE3" w:rsidRPr="0040485A" w14:paraId="68A14E78" w14:textId="77777777">
        <w:trPr>
          <w:jc w:val="center"/>
        </w:trPr>
        <w:tc>
          <w:tcPr>
            <w:tcW w:w="4680" w:type="dxa"/>
          </w:tcPr>
          <w:p w14:paraId="079FA080" w14:textId="77777777" w:rsidR="00994AE3" w:rsidRPr="0040485A" w:rsidRDefault="008064C0">
            <w:pPr>
              <w:spacing w:after="40"/>
              <w:rPr>
                <w:rFonts w:cs="Times New Roman"/>
              </w:rPr>
            </w:pPr>
            <w:r w:rsidRPr="0040485A">
              <w:rPr>
                <w:rFonts w:cs="Times New Roman"/>
                <w:b/>
                <w:sz w:val="22"/>
              </w:rPr>
              <w:t>Big4</w:t>
            </w:r>
          </w:p>
        </w:tc>
        <w:tc>
          <w:tcPr>
            <w:tcW w:w="4680" w:type="dxa"/>
          </w:tcPr>
          <w:p w14:paraId="11DD0F51" w14:textId="77777777" w:rsidR="00994AE3" w:rsidRPr="0040485A" w:rsidRDefault="008064C0">
            <w:pPr>
              <w:spacing w:after="40"/>
              <w:rPr>
                <w:rFonts w:cs="Times New Roman"/>
              </w:rPr>
            </w:pPr>
            <w:r w:rsidRPr="0040485A">
              <w:rPr>
                <w:rFonts w:cs="Times New Roman"/>
                <w:sz w:val="22"/>
              </w:rPr>
              <w:t xml:space="preserve">The four largest </w:t>
            </w:r>
            <w:r w:rsidRPr="0040485A">
              <w:rPr>
                <w:rFonts w:cs="Times New Roman"/>
                <w:sz w:val="22"/>
              </w:rPr>
              <w:t>state-owned commercial banks in Vietnam</w:t>
            </w:r>
          </w:p>
        </w:tc>
      </w:tr>
      <w:tr w:rsidR="00994AE3" w:rsidRPr="0040485A" w14:paraId="69A4417A" w14:textId="77777777">
        <w:trPr>
          <w:jc w:val="center"/>
        </w:trPr>
        <w:tc>
          <w:tcPr>
            <w:tcW w:w="4680" w:type="dxa"/>
          </w:tcPr>
          <w:p w14:paraId="0F4C4CB4" w14:textId="77777777" w:rsidR="00994AE3" w:rsidRPr="0040485A" w:rsidRDefault="008064C0">
            <w:pPr>
              <w:spacing w:after="40"/>
              <w:rPr>
                <w:rFonts w:cs="Times New Roman"/>
              </w:rPr>
            </w:pPr>
            <w:r w:rsidRPr="0040485A">
              <w:rPr>
                <w:rFonts w:cs="Times New Roman"/>
                <w:b/>
                <w:sz w:val="22"/>
              </w:rPr>
              <w:t>CCF</w:t>
            </w:r>
          </w:p>
        </w:tc>
        <w:tc>
          <w:tcPr>
            <w:tcW w:w="4680" w:type="dxa"/>
          </w:tcPr>
          <w:p w14:paraId="7D275992" w14:textId="77777777" w:rsidR="00994AE3" w:rsidRPr="0040485A" w:rsidRDefault="008064C0">
            <w:pPr>
              <w:spacing w:after="40"/>
              <w:rPr>
                <w:rFonts w:cs="Times New Roman"/>
              </w:rPr>
            </w:pPr>
            <w:r w:rsidRPr="0040485A">
              <w:rPr>
                <w:rFonts w:cs="Times New Roman"/>
                <w:sz w:val="22"/>
              </w:rPr>
              <w:t>Credit Conversion Factor (Basel framework)</w:t>
            </w:r>
          </w:p>
        </w:tc>
      </w:tr>
      <w:tr w:rsidR="00994AE3" w:rsidRPr="0040485A" w14:paraId="2ADA231E" w14:textId="77777777">
        <w:trPr>
          <w:jc w:val="center"/>
        </w:trPr>
        <w:tc>
          <w:tcPr>
            <w:tcW w:w="4680" w:type="dxa"/>
          </w:tcPr>
          <w:p w14:paraId="5D70E6DF" w14:textId="77777777" w:rsidR="00994AE3" w:rsidRPr="0040485A" w:rsidRDefault="008064C0">
            <w:pPr>
              <w:spacing w:after="40"/>
              <w:rPr>
                <w:rFonts w:cs="Times New Roman"/>
              </w:rPr>
            </w:pPr>
            <w:r w:rsidRPr="0040485A">
              <w:rPr>
                <w:rFonts w:cs="Times New Roman"/>
                <w:b/>
                <w:sz w:val="22"/>
              </w:rPr>
              <w:t>COLL_POLICY</w:t>
            </w:r>
          </w:p>
        </w:tc>
        <w:tc>
          <w:tcPr>
            <w:tcW w:w="4680" w:type="dxa"/>
          </w:tcPr>
          <w:p w14:paraId="4F55D506" w14:textId="77777777" w:rsidR="00994AE3" w:rsidRPr="0040485A" w:rsidRDefault="008064C0">
            <w:pPr>
              <w:spacing w:after="40"/>
              <w:rPr>
                <w:rFonts w:cs="Times New Roman"/>
              </w:rPr>
            </w:pPr>
            <w:r w:rsidRPr="0040485A">
              <w:rPr>
                <w:rFonts w:cs="Times New Roman"/>
                <w:sz w:val="22"/>
              </w:rPr>
              <w:t>Collateral and Margin Flexibility (independent construct X7)</w:t>
            </w:r>
          </w:p>
        </w:tc>
      </w:tr>
      <w:tr w:rsidR="00994AE3" w:rsidRPr="0040485A" w14:paraId="65B38E60" w14:textId="77777777">
        <w:trPr>
          <w:jc w:val="center"/>
        </w:trPr>
        <w:tc>
          <w:tcPr>
            <w:tcW w:w="4680" w:type="dxa"/>
          </w:tcPr>
          <w:p w14:paraId="0D820ADF" w14:textId="77777777" w:rsidR="00994AE3" w:rsidRPr="0040485A" w:rsidRDefault="008064C0">
            <w:pPr>
              <w:spacing w:after="40"/>
              <w:rPr>
                <w:rFonts w:cs="Times New Roman"/>
              </w:rPr>
            </w:pPr>
            <w:r w:rsidRPr="0040485A">
              <w:rPr>
                <w:rFonts w:cs="Times New Roman"/>
                <w:b/>
                <w:sz w:val="22"/>
              </w:rPr>
              <w:t>COST_COMP</w:t>
            </w:r>
          </w:p>
        </w:tc>
        <w:tc>
          <w:tcPr>
            <w:tcW w:w="4680" w:type="dxa"/>
          </w:tcPr>
          <w:p w14:paraId="50E7BFBD" w14:textId="77777777" w:rsidR="00994AE3" w:rsidRPr="0040485A" w:rsidRDefault="008064C0">
            <w:pPr>
              <w:spacing w:after="40"/>
              <w:rPr>
                <w:rFonts w:cs="Times New Roman"/>
              </w:rPr>
            </w:pPr>
            <w:r w:rsidRPr="0040485A">
              <w:rPr>
                <w:rFonts w:cs="Times New Roman"/>
                <w:sz w:val="22"/>
              </w:rPr>
              <w:t>Price Competitiveness (independent construct X1)</w:t>
            </w:r>
          </w:p>
        </w:tc>
      </w:tr>
      <w:tr w:rsidR="00994AE3" w:rsidRPr="0040485A" w14:paraId="2FD2560F" w14:textId="77777777">
        <w:trPr>
          <w:jc w:val="center"/>
        </w:trPr>
        <w:tc>
          <w:tcPr>
            <w:tcW w:w="4680" w:type="dxa"/>
          </w:tcPr>
          <w:p w14:paraId="3469D51D" w14:textId="77777777" w:rsidR="00994AE3" w:rsidRPr="0040485A" w:rsidRDefault="008064C0">
            <w:pPr>
              <w:spacing w:after="40"/>
              <w:rPr>
                <w:rFonts w:cs="Times New Roman"/>
              </w:rPr>
            </w:pPr>
            <w:r w:rsidRPr="0040485A">
              <w:rPr>
                <w:rFonts w:cs="Times New Roman"/>
                <w:b/>
                <w:sz w:val="22"/>
              </w:rPr>
              <w:t>DEC</w:t>
            </w:r>
          </w:p>
        </w:tc>
        <w:tc>
          <w:tcPr>
            <w:tcW w:w="4680" w:type="dxa"/>
          </w:tcPr>
          <w:p w14:paraId="5B218403" w14:textId="77777777" w:rsidR="00994AE3" w:rsidRPr="0040485A" w:rsidRDefault="008064C0">
            <w:pPr>
              <w:spacing w:after="40"/>
              <w:rPr>
                <w:rFonts w:cs="Times New Roman"/>
              </w:rPr>
            </w:pPr>
            <w:r w:rsidRPr="0040485A">
              <w:rPr>
                <w:rFonts w:cs="Times New Roman"/>
                <w:sz w:val="22"/>
              </w:rPr>
              <w:t xml:space="preserve">Selection Priority and </w:t>
            </w:r>
            <w:r w:rsidRPr="0040485A">
              <w:rPr>
                <w:rFonts w:cs="Times New Roman"/>
                <w:sz w:val="22"/>
              </w:rPr>
              <w:t>Patronage Intention (dependent construct)</w:t>
            </w:r>
          </w:p>
        </w:tc>
      </w:tr>
      <w:tr w:rsidR="00994AE3" w:rsidRPr="0040485A" w14:paraId="563CC96D" w14:textId="77777777">
        <w:trPr>
          <w:jc w:val="center"/>
        </w:trPr>
        <w:tc>
          <w:tcPr>
            <w:tcW w:w="4680" w:type="dxa"/>
          </w:tcPr>
          <w:p w14:paraId="333C57AA" w14:textId="77777777" w:rsidR="00994AE3" w:rsidRPr="0040485A" w:rsidRDefault="008064C0">
            <w:pPr>
              <w:spacing w:after="40"/>
              <w:rPr>
                <w:rFonts w:cs="Times New Roman"/>
              </w:rPr>
            </w:pPr>
            <w:r w:rsidRPr="0040485A">
              <w:rPr>
                <w:rFonts w:cs="Times New Roman"/>
                <w:b/>
                <w:sz w:val="22"/>
              </w:rPr>
              <w:t>DIGITAL_CONV</w:t>
            </w:r>
          </w:p>
        </w:tc>
        <w:tc>
          <w:tcPr>
            <w:tcW w:w="4680" w:type="dxa"/>
          </w:tcPr>
          <w:p w14:paraId="2CFBE2E9" w14:textId="77777777" w:rsidR="00994AE3" w:rsidRPr="0040485A" w:rsidRDefault="008064C0">
            <w:pPr>
              <w:spacing w:after="40"/>
              <w:rPr>
                <w:rFonts w:cs="Times New Roman"/>
              </w:rPr>
            </w:pPr>
            <w:r w:rsidRPr="0040485A">
              <w:rPr>
                <w:rFonts w:cs="Times New Roman"/>
                <w:sz w:val="22"/>
              </w:rPr>
              <w:t>Digital eFAST Convenience (independent construct X3)</w:t>
            </w:r>
          </w:p>
        </w:tc>
      </w:tr>
      <w:tr w:rsidR="00994AE3" w:rsidRPr="0040485A" w14:paraId="249E6B0C" w14:textId="77777777">
        <w:trPr>
          <w:jc w:val="center"/>
        </w:trPr>
        <w:tc>
          <w:tcPr>
            <w:tcW w:w="4680" w:type="dxa"/>
          </w:tcPr>
          <w:p w14:paraId="7508510E" w14:textId="77777777" w:rsidR="00994AE3" w:rsidRPr="0040485A" w:rsidRDefault="008064C0">
            <w:pPr>
              <w:spacing w:after="40"/>
              <w:rPr>
                <w:rFonts w:cs="Times New Roman"/>
              </w:rPr>
            </w:pPr>
            <w:r w:rsidRPr="0040485A">
              <w:rPr>
                <w:rFonts w:cs="Times New Roman"/>
                <w:b/>
                <w:sz w:val="22"/>
              </w:rPr>
              <w:t>EFA</w:t>
            </w:r>
          </w:p>
        </w:tc>
        <w:tc>
          <w:tcPr>
            <w:tcW w:w="4680" w:type="dxa"/>
          </w:tcPr>
          <w:p w14:paraId="5B1A8CF5" w14:textId="77777777" w:rsidR="00994AE3" w:rsidRPr="0040485A" w:rsidRDefault="008064C0">
            <w:pPr>
              <w:spacing w:after="40"/>
              <w:rPr>
                <w:rFonts w:cs="Times New Roman"/>
              </w:rPr>
            </w:pPr>
            <w:r w:rsidRPr="0040485A">
              <w:rPr>
                <w:rFonts w:cs="Times New Roman"/>
                <w:sz w:val="22"/>
              </w:rPr>
              <w:t>Exploratory Factor Analysis</w:t>
            </w:r>
          </w:p>
        </w:tc>
      </w:tr>
      <w:tr w:rsidR="00994AE3" w:rsidRPr="0040485A" w14:paraId="592E9707" w14:textId="77777777">
        <w:trPr>
          <w:jc w:val="center"/>
        </w:trPr>
        <w:tc>
          <w:tcPr>
            <w:tcW w:w="4680" w:type="dxa"/>
          </w:tcPr>
          <w:p w14:paraId="6C7D6F3E" w14:textId="77777777" w:rsidR="00994AE3" w:rsidRPr="0040485A" w:rsidRDefault="008064C0">
            <w:pPr>
              <w:spacing w:after="40"/>
              <w:rPr>
                <w:rFonts w:cs="Times New Roman"/>
              </w:rPr>
            </w:pPr>
            <w:r w:rsidRPr="0040485A">
              <w:rPr>
                <w:rFonts w:cs="Times New Roman"/>
                <w:b/>
                <w:sz w:val="22"/>
              </w:rPr>
              <w:t>eFAST</w:t>
            </w:r>
          </w:p>
        </w:tc>
        <w:tc>
          <w:tcPr>
            <w:tcW w:w="4680" w:type="dxa"/>
          </w:tcPr>
          <w:p w14:paraId="23218D18" w14:textId="77777777" w:rsidR="00994AE3" w:rsidRPr="0040485A" w:rsidRDefault="008064C0">
            <w:pPr>
              <w:spacing w:after="40"/>
              <w:rPr>
                <w:rFonts w:cs="Times New Roman"/>
              </w:rPr>
            </w:pPr>
            <w:r w:rsidRPr="0040485A">
              <w:rPr>
                <w:rFonts w:cs="Times New Roman"/>
                <w:sz w:val="22"/>
              </w:rPr>
              <w:t>VietinBank corporate digital banking platform</w:t>
            </w:r>
          </w:p>
        </w:tc>
      </w:tr>
      <w:tr w:rsidR="00994AE3" w:rsidRPr="0040485A" w14:paraId="1D4D75EA" w14:textId="77777777">
        <w:trPr>
          <w:jc w:val="center"/>
        </w:trPr>
        <w:tc>
          <w:tcPr>
            <w:tcW w:w="4680" w:type="dxa"/>
          </w:tcPr>
          <w:p w14:paraId="6B64C20E" w14:textId="77777777" w:rsidR="00994AE3" w:rsidRPr="0040485A" w:rsidRDefault="008064C0">
            <w:pPr>
              <w:spacing w:after="40"/>
              <w:rPr>
                <w:rFonts w:cs="Times New Roman"/>
              </w:rPr>
            </w:pPr>
            <w:r w:rsidRPr="0040485A">
              <w:rPr>
                <w:rFonts w:cs="Times New Roman"/>
                <w:b/>
                <w:sz w:val="22"/>
              </w:rPr>
              <w:t>FDI</w:t>
            </w:r>
          </w:p>
        </w:tc>
        <w:tc>
          <w:tcPr>
            <w:tcW w:w="4680" w:type="dxa"/>
          </w:tcPr>
          <w:p w14:paraId="13757D1D" w14:textId="77777777" w:rsidR="00994AE3" w:rsidRPr="0040485A" w:rsidRDefault="008064C0">
            <w:pPr>
              <w:spacing w:after="40"/>
              <w:rPr>
                <w:rFonts w:cs="Times New Roman"/>
              </w:rPr>
            </w:pPr>
            <w:r w:rsidRPr="0040485A">
              <w:rPr>
                <w:rFonts w:cs="Times New Roman"/>
                <w:sz w:val="22"/>
              </w:rPr>
              <w:t>Foreign Direct Investment</w:t>
            </w:r>
          </w:p>
        </w:tc>
      </w:tr>
      <w:tr w:rsidR="00994AE3" w:rsidRPr="0040485A" w14:paraId="29279F18" w14:textId="77777777">
        <w:trPr>
          <w:jc w:val="center"/>
        </w:trPr>
        <w:tc>
          <w:tcPr>
            <w:tcW w:w="4680" w:type="dxa"/>
          </w:tcPr>
          <w:p w14:paraId="3FB14436" w14:textId="77777777" w:rsidR="00994AE3" w:rsidRPr="0040485A" w:rsidRDefault="008064C0">
            <w:pPr>
              <w:spacing w:after="40"/>
              <w:rPr>
                <w:rFonts w:cs="Times New Roman"/>
              </w:rPr>
            </w:pPr>
            <w:r w:rsidRPr="0040485A">
              <w:rPr>
                <w:rFonts w:cs="Times New Roman"/>
                <w:b/>
                <w:sz w:val="22"/>
              </w:rPr>
              <w:t>HSD</w:t>
            </w:r>
          </w:p>
        </w:tc>
        <w:tc>
          <w:tcPr>
            <w:tcW w:w="4680" w:type="dxa"/>
          </w:tcPr>
          <w:p w14:paraId="0E9299EC" w14:textId="77777777" w:rsidR="00994AE3" w:rsidRPr="0040485A" w:rsidRDefault="008064C0">
            <w:pPr>
              <w:spacing w:after="40"/>
              <w:rPr>
                <w:rFonts w:cs="Times New Roman"/>
              </w:rPr>
            </w:pPr>
            <w:r w:rsidRPr="0040485A">
              <w:rPr>
                <w:rFonts w:cs="Times New Roman"/>
                <w:sz w:val="22"/>
              </w:rPr>
              <w:t xml:space="preserve">Honestly </w:t>
            </w:r>
            <w:r w:rsidRPr="0040485A">
              <w:rPr>
                <w:rFonts w:cs="Times New Roman"/>
                <w:sz w:val="22"/>
              </w:rPr>
              <w:t>Significant Difference (Tukey post-hoc test)</w:t>
            </w:r>
          </w:p>
        </w:tc>
      </w:tr>
      <w:tr w:rsidR="00994AE3" w:rsidRPr="0040485A" w14:paraId="6AFDE78A" w14:textId="77777777">
        <w:trPr>
          <w:jc w:val="center"/>
        </w:trPr>
        <w:tc>
          <w:tcPr>
            <w:tcW w:w="4680" w:type="dxa"/>
          </w:tcPr>
          <w:p w14:paraId="700F2393" w14:textId="77777777" w:rsidR="00994AE3" w:rsidRPr="0040485A" w:rsidRDefault="008064C0">
            <w:pPr>
              <w:spacing w:after="40"/>
              <w:rPr>
                <w:rFonts w:cs="Times New Roman"/>
              </w:rPr>
            </w:pPr>
            <w:r w:rsidRPr="0040485A">
              <w:rPr>
                <w:rFonts w:cs="Times New Roman"/>
                <w:b/>
                <w:sz w:val="22"/>
              </w:rPr>
              <w:t>ICC</w:t>
            </w:r>
          </w:p>
        </w:tc>
        <w:tc>
          <w:tcPr>
            <w:tcW w:w="4680" w:type="dxa"/>
          </w:tcPr>
          <w:p w14:paraId="0FD49FAA" w14:textId="77777777" w:rsidR="00994AE3" w:rsidRPr="0040485A" w:rsidRDefault="008064C0">
            <w:pPr>
              <w:spacing w:after="40"/>
              <w:rPr>
                <w:rFonts w:cs="Times New Roman"/>
              </w:rPr>
            </w:pPr>
            <w:r w:rsidRPr="0040485A">
              <w:rPr>
                <w:rFonts w:cs="Times New Roman"/>
                <w:sz w:val="22"/>
              </w:rPr>
              <w:t>International Chamber of Commerce</w:t>
            </w:r>
          </w:p>
        </w:tc>
      </w:tr>
      <w:tr w:rsidR="00994AE3" w:rsidRPr="0040485A" w14:paraId="23B734FF" w14:textId="77777777">
        <w:trPr>
          <w:jc w:val="center"/>
        </w:trPr>
        <w:tc>
          <w:tcPr>
            <w:tcW w:w="4680" w:type="dxa"/>
          </w:tcPr>
          <w:p w14:paraId="29A88E79" w14:textId="77777777" w:rsidR="00994AE3" w:rsidRPr="0040485A" w:rsidRDefault="008064C0">
            <w:pPr>
              <w:spacing w:after="40"/>
              <w:rPr>
                <w:rFonts w:cs="Times New Roman"/>
              </w:rPr>
            </w:pPr>
            <w:r w:rsidRPr="0040485A">
              <w:rPr>
                <w:rFonts w:cs="Times New Roman"/>
                <w:b/>
                <w:sz w:val="22"/>
              </w:rPr>
              <w:t>ISS</w:t>
            </w:r>
          </w:p>
        </w:tc>
        <w:tc>
          <w:tcPr>
            <w:tcW w:w="4680" w:type="dxa"/>
          </w:tcPr>
          <w:p w14:paraId="426E7CD1" w14:textId="77777777" w:rsidR="00994AE3" w:rsidRPr="0040485A" w:rsidRDefault="008064C0">
            <w:pPr>
              <w:spacing w:after="40"/>
              <w:rPr>
                <w:rFonts w:cs="Times New Roman"/>
              </w:rPr>
            </w:pPr>
            <w:r w:rsidRPr="0040485A">
              <w:rPr>
                <w:rFonts w:cs="Times New Roman"/>
                <w:sz w:val="22"/>
              </w:rPr>
              <w:t>International Institute of Social Studies, Erasmus University Rotterdam</w:t>
            </w:r>
          </w:p>
        </w:tc>
      </w:tr>
      <w:tr w:rsidR="00994AE3" w:rsidRPr="0040485A" w14:paraId="58D6DAED" w14:textId="77777777">
        <w:trPr>
          <w:jc w:val="center"/>
        </w:trPr>
        <w:tc>
          <w:tcPr>
            <w:tcW w:w="4680" w:type="dxa"/>
          </w:tcPr>
          <w:p w14:paraId="4678D0A9" w14:textId="77777777" w:rsidR="00994AE3" w:rsidRPr="0040485A" w:rsidRDefault="008064C0">
            <w:pPr>
              <w:spacing w:after="40"/>
              <w:rPr>
                <w:rFonts w:cs="Times New Roman"/>
              </w:rPr>
            </w:pPr>
            <w:r w:rsidRPr="0040485A">
              <w:rPr>
                <w:rFonts w:cs="Times New Roman"/>
                <w:b/>
                <w:sz w:val="22"/>
              </w:rPr>
              <w:t>KMO</w:t>
            </w:r>
          </w:p>
        </w:tc>
        <w:tc>
          <w:tcPr>
            <w:tcW w:w="4680" w:type="dxa"/>
          </w:tcPr>
          <w:p w14:paraId="23E9BBD0" w14:textId="77777777" w:rsidR="00994AE3" w:rsidRPr="0040485A" w:rsidRDefault="008064C0">
            <w:pPr>
              <w:spacing w:after="40"/>
              <w:rPr>
                <w:rFonts w:cs="Times New Roman"/>
              </w:rPr>
            </w:pPr>
            <w:r w:rsidRPr="0040485A">
              <w:rPr>
                <w:rFonts w:cs="Times New Roman"/>
                <w:sz w:val="22"/>
              </w:rPr>
              <w:t>Kaiser–Meyer–Olkin measure of sampling adequacy</w:t>
            </w:r>
          </w:p>
        </w:tc>
      </w:tr>
      <w:tr w:rsidR="00994AE3" w:rsidRPr="0040485A" w14:paraId="64DAF4AB" w14:textId="77777777">
        <w:trPr>
          <w:jc w:val="center"/>
        </w:trPr>
        <w:tc>
          <w:tcPr>
            <w:tcW w:w="4680" w:type="dxa"/>
          </w:tcPr>
          <w:p w14:paraId="45999110" w14:textId="77777777" w:rsidR="00994AE3" w:rsidRPr="0040485A" w:rsidRDefault="008064C0">
            <w:pPr>
              <w:spacing w:after="40"/>
              <w:rPr>
                <w:rFonts w:cs="Times New Roman"/>
              </w:rPr>
            </w:pPr>
            <w:r w:rsidRPr="0040485A">
              <w:rPr>
                <w:rFonts w:cs="Times New Roman"/>
                <w:b/>
                <w:sz w:val="22"/>
              </w:rPr>
              <w:t>MDE</w:t>
            </w:r>
          </w:p>
        </w:tc>
        <w:tc>
          <w:tcPr>
            <w:tcW w:w="4680" w:type="dxa"/>
          </w:tcPr>
          <w:p w14:paraId="2F5ED9EC" w14:textId="77777777" w:rsidR="00994AE3" w:rsidRPr="0040485A" w:rsidRDefault="008064C0">
            <w:pPr>
              <w:spacing w:after="40"/>
              <w:rPr>
                <w:rFonts w:cs="Times New Roman"/>
              </w:rPr>
            </w:pPr>
            <w:r w:rsidRPr="0040485A">
              <w:rPr>
                <w:rFonts w:cs="Times New Roman"/>
                <w:sz w:val="22"/>
              </w:rPr>
              <w:t>Master's Programme in Development Eco</w:t>
            </w:r>
            <w:r w:rsidRPr="0040485A">
              <w:rPr>
                <w:rFonts w:cs="Times New Roman"/>
                <w:sz w:val="22"/>
              </w:rPr>
              <w:t>nomics</w:t>
            </w:r>
          </w:p>
        </w:tc>
      </w:tr>
      <w:tr w:rsidR="00994AE3" w:rsidRPr="0040485A" w14:paraId="155861CB" w14:textId="77777777">
        <w:trPr>
          <w:jc w:val="center"/>
        </w:trPr>
        <w:tc>
          <w:tcPr>
            <w:tcW w:w="4680" w:type="dxa"/>
          </w:tcPr>
          <w:p w14:paraId="3EE93E54" w14:textId="77777777" w:rsidR="00994AE3" w:rsidRPr="0040485A" w:rsidRDefault="008064C0">
            <w:pPr>
              <w:spacing w:after="40"/>
              <w:rPr>
                <w:rFonts w:cs="Times New Roman"/>
              </w:rPr>
            </w:pPr>
            <w:r w:rsidRPr="0040485A">
              <w:rPr>
                <w:rFonts w:cs="Times New Roman"/>
                <w:b/>
                <w:sz w:val="22"/>
              </w:rPr>
              <w:t>NEU</w:t>
            </w:r>
          </w:p>
        </w:tc>
        <w:tc>
          <w:tcPr>
            <w:tcW w:w="4680" w:type="dxa"/>
          </w:tcPr>
          <w:p w14:paraId="1509002C" w14:textId="77777777" w:rsidR="00994AE3" w:rsidRPr="0040485A" w:rsidRDefault="008064C0">
            <w:pPr>
              <w:spacing w:after="40"/>
              <w:rPr>
                <w:rFonts w:cs="Times New Roman"/>
              </w:rPr>
            </w:pPr>
            <w:r w:rsidRPr="0040485A">
              <w:rPr>
                <w:rFonts w:cs="Times New Roman"/>
                <w:sz w:val="22"/>
              </w:rPr>
              <w:t>National Economics University</w:t>
            </w:r>
          </w:p>
        </w:tc>
      </w:tr>
      <w:tr w:rsidR="00994AE3" w:rsidRPr="0040485A" w14:paraId="4CF24167" w14:textId="77777777">
        <w:trPr>
          <w:jc w:val="center"/>
        </w:trPr>
        <w:tc>
          <w:tcPr>
            <w:tcW w:w="4680" w:type="dxa"/>
          </w:tcPr>
          <w:p w14:paraId="7AAC58FF" w14:textId="77777777" w:rsidR="00994AE3" w:rsidRPr="0040485A" w:rsidRDefault="008064C0">
            <w:pPr>
              <w:spacing w:after="40"/>
              <w:rPr>
                <w:rFonts w:cs="Times New Roman"/>
              </w:rPr>
            </w:pPr>
            <w:r w:rsidRPr="0040485A">
              <w:rPr>
                <w:rFonts w:cs="Times New Roman"/>
                <w:b/>
                <w:sz w:val="22"/>
              </w:rPr>
              <w:t>NIM</w:t>
            </w:r>
          </w:p>
        </w:tc>
        <w:tc>
          <w:tcPr>
            <w:tcW w:w="4680" w:type="dxa"/>
          </w:tcPr>
          <w:p w14:paraId="40DF2DF1" w14:textId="77777777" w:rsidR="00994AE3" w:rsidRPr="0040485A" w:rsidRDefault="008064C0">
            <w:pPr>
              <w:spacing w:after="40"/>
              <w:rPr>
                <w:rFonts w:cs="Times New Roman"/>
              </w:rPr>
            </w:pPr>
            <w:r w:rsidRPr="0040485A">
              <w:rPr>
                <w:rFonts w:cs="Times New Roman"/>
                <w:sz w:val="22"/>
              </w:rPr>
              <w:t>Net Interest Margin</w:t>
            </w:r>
          </w:p>
        </w:tc>
      </w:tr>
      <w:tr w:rsidR="00994AE3" w:rsidRPr="0040485A" w14:paraId="04844501" w14:textId="77777777">
        <w:trPr>
          <w:jc w:val="center"/>
        </w:trPr>
        <w:tc>
          <w:tcPr>
            <w:tcW w:w="4680" w:type="dxa"/>
          </w:tcPr>
          <w:p w14:paraId="04C3F7DE" w14:textId="77777777" w:rsidR="00994AE3" w:rsidRPr="0040485A" w:rsidRDefault="008064C0">
            <w:pPr>
              <w:spacing w:after="40"/>
              <w:rPr>
                <w:rFonts w:cs="Times New Roman"/>
              </w:rPr>
            </w:pPr>
            <w:r w:rsidRPr="0040485A">
              <w:rPr>
                <w:rFonts w:cs="Times New Roman"/>
                <w:b/>
                <w:sz w:val="22"/>
              </w:rPr>
              <w:t>OLS</w:t>
            </w:r>
          </w:p>
        </w:tc>
        <w:tc>
          <w:tcPr>
            <w:tcW w:w="4680" w:type="dxa"/>
          </w:tcPr>
          <w:p w14:paraId="6D08C541" w14:textId="77777777" w:rsidR="00994AE3" w:rsidRPr="0040485A" w:rsidRDefault="008064C0">
            <w:pPr>
              <w:spacing w:after="40"/>
              <w:rPr>
                <w:rFonts w:cs="Times New Roman"/>
              </w:rPr>
            </w:pPr>
            <w:r w:rsidRPr="0040485A">
              <w:rPr>
                <w:rFonts w:cs="Times New Roman"/>
                <w:sz w:val="22"/>
              </w:rPr>
              <w:t>Ordinary Least Squares</w:t>
            </w:r>
          </w:p>
        </w:tc>
      </w:tr>
      <w:tr w:rsidR="00994AE3" w:rsidRPr="0040485A" w14:paraId="5C8C031E" w14:textId="77777777">
        <w:trPr>
          <w:jc w:val="center"/>
        </w:trPr>
        <w:tc>
          <w:tcPr>
            <w:tcW w:w="4680" w:type="dxa"/>
          </w:tcPr>
          <w:p w14:paraId="6157EA8A" w14:textId="77777777" w:rsidR="00994AE3" w:rsidRPr="0040485A" w:rsidRDefault="008064C0">
            <w:pPr>
              <w:spacing w:after="40"/>
              <w:rPr>
                <w:rFonts w:cs="Times New Roman"/>
              </w:rPr>
            </w:pPr>
            <w:r w:rsidRPr="0040485A">
              <w:rPr>
                <w:rFonts w:cs="Times New Roman"/>
                <w:b/>
                <w:sz w:val="22"/>
              </w:rPr>
              <w:t>PG</w:t>
            </w:r>
          </w:p>
        </w:tc>
        <w:tc>
          <w:tcPr>
            <w:tcW w:w="4680" w:type="dxa"/>
          </w:tcPr>
          <w:p w14:paraId="04CD8C4C" w14:textId="77777777" w:rsidR="00994AE3" w:rsidRPr="0040485A" w:rsidRDefault="008064C0">
            <w:pPr>
              <w:spacing w:after="40"/>
              <w:rPr>
                <w:rFonts w:cs="Times New Roman"/>
              </w:rPr>
            </w:pPr>
            <w:r w:rsidRPr="0040485A">
              <w:rPr>
                <w:rFonts w:cs="Times New Roman"/>
                <w:sz w:val="22"/>
              </w:rPr>
              <w:t>Performance Guarantee</w:t>
            </w:r>
          </w:p>
        </w:tc>
      </w:tr>
      <w:tr w:rsidR="00994AE3" w:rsidRPr="0040485A" w14:paraId="1FBF366D" w14:textId="77777777">
        <w:trPr>
          <w:jc w:val="center"/>
        </w:trPr>
        <w:tc>
          <w:tcPr>
            <w:tcW w:w="4680" w:type="dxa"/>
          </w:tcPr>
          <w:p w14:paraId="026088FE" w14:textId="77777777" w:rsidR="00994AE3" w:rsidRPr="0040485A" w:rsidRDefault="008064C0">
            <w:pPr>
              <w:spacing w:after="40"/>
              <w:rPr>
                <w:rFonts w:cs="Times New Roman"/>
              </w:rPr>
            </w:pPr>
            <w:r w:rsidRPr="0040485A">
              <w:rPr>
                <w:rFonts w:cs="Times New Roman"/>
                <w:b/>
                <w:sz w:val="22"/>
              </w:rPr>
              <w:t>PROC_SPEED</w:t>
            </w:r>
          </w:p>
        </w:tc>
        <w:tc>
          <w:tcPr>
            <w:tcW w:w="4680" w:type="dxa"/>
          </w:tcPr>
          <w:p w14:paraId="4C742BC0" w14:textId="77777777" w:rsidR="00994AE3" w:rsidRPr="0040485A" w:rsidRDefault="008064C0">
            <w:pPr>
              <w:spacing w:after="40"/>
              <w:rPr>
                <w:rFonts w:cs="Times New Roman"/>
              </w:rPr>
            </w:pPr>
            <w:r w:rsidRPr="0040485A">
              <w:rPr>
                <w:rFonts w:cs="Times New Roman"/>
                <w:sz w:val="22"/>
              </w:rPr>
              <w:t>Processing Speed (independent construct X2)</w:t>
            </w:r>
          </w:p>
        </w:tc>
      </w:tr>
      <w:tr w:rsidR="00994AE3" w:rsidRPr="0040485A" w14:paraId="5F3742E1" w14:textId="77777777">
        <w:trPr>
          <w:jc w:val="center"/>
        </w:trPr>
        <w:tc>
          <w:tcPr>
            <w:tcW w:w="4680" w:type="dxa"/>
          </w:tcPr>
          <w:p w14:paraId="0597BDA1" w14:textId="77777777" w:rsidR="00994AE3" w:rsidRPr="0040485A" w:rsidRDefault="008064C0">
            <w:pPr>
              <w:spacing w:after="40"/>
              <w:rPr>
                <w:rFonts w:cs="Times New Roman"/>
              </w:rPr>
            </w:pPr>
            <w:r w:rsidRPr="0040485A">
              <w:rPr>
                <w:rFonts w:cs="Times New Roman"/>
                <w:b/>
                <w:sz w:val="22"/>
              </w:rPr>
              <w:t>RELATIONSHIP</w:t>
            </w:r>
          </w:p>
        </w:tc>
        <w:tc>
          <w:tcPr>
            <w:tcW w:w="4680" w:type="dxa"/>
          </w:tcPr>
          <w:p w14:paraId="29528EA6" w14:textId="77777777" w:rsidR="00994AE3" w:rsidRPr="0040485A" w:rsidRDefault="008064C0">
            <w:pPr>
              <w:spacing w:after="40"/>
              <w:rPr>
                <w:rFonts w:cs="Times New Roman"/>
              </w:rPr>
            </w:pPr>
            <w:r w:rsidRPr="0040485A">
              <w:rPr>
                <w:rFonts w:cs="Times New Roman"/>
                <w:sz w:val="22"/>
              </w:rPr>
              <w:t>Relationship Banking and Limits (independent construct X5)</w:t>
            </w:r>
          </w:p>
        </w:tc>
      </w:tr>
      <w:tr w:rsidR="00994AE3" w:rsidRPr="0040485A" w14:paraId="6B9A406E" w14:textId="77777777">
        <w:trPr>
          <w:jc w:val="center"/>
        </w:trPr>
        <w:tc>
          <w:tcPr>
            <w:tcW w:w="4680" w:type="dxa"/>
          </w:tcPr>
          <w:p w14:paraId="660DA400" w14:textId="77777777" w:rsidR="00994AE3" w:rsidRPr="0040485A" w:rsidRDefault="008064C0">
            <w:pPr>
              <w:spacing w:after="40"/>
              <w:rPr>
                <w:rFonts w:cs="Times New Roman"/>
              </w:rPr>
            </w:pPr>
            <w:r w:rsidRPr="0040485A">
              <w:rPr>
                <w:rFonts w:cs="Times New Roman"/>
                <w:b/>
                <w:sz w:val="22"/>
              </w:rPr>
              <w:t>RG</w:t>
            </w:r>
          </w:p>
        </w:tc>
        <w:tc>
          <w:tcPr>
            <w:tcW w:w="4680" w:type="dxa"/>
          </w:tcPr>
          <w:p w14:paraId="34599447" w14:textId="77777777" w:rsidR="00994AE3" w:rsidRPr="0040485A" w:rsidRDefault="008064C0">
            <w:pPr>
              <w:spacing w:after="40"/>
              <w:rPr>
                <w:rFonts w:cs="Times New Roman"/>
              </w:rPr>
            </w:pPr>
            <w:r w:rsidRPr="0040485A">
              <w:rPr>
                <w:rFonts w:cs="Times New Roman"/>
                <w:sz w:val="22"/>
              </w:rPr>
              <w:t>Re-guarantee / Counter-guarantee</w:t>
            </w:r>
          </w:p>
        </w:tc>
      </w:tr>
      <w:tr w:rsidR="00994AE3" w:rsidRPr="0040485A" w14:paraId="6F3DD042" w14:textId="77777777">
        <w:trPr>
          <w:jc w:val="center"/>
        </w:trPr>
        <w:tc>
          <w:tcPr>
            <w:tcW w:w="4680" w:type="dxa"/>
          </w:tcPr>
          <w:p w14:paraId="17A6B798" w14:textId="77777777" w:rsidR="00994AE3" w:rsidRPr="0040485A" w:rsidRDefault="008064C0">
            <w:pPr>
              <w:spacing w:after="40"/>
              <w:rPr>
                <w:rFonts w:cs="Times New Roman"/>
              </w:rPr>
            </w:pPr>
            <w:r w:rsidRPr="0040485A">
              <w:rPr>
                <w:rFonts w:cs="Times New Roman"/>
                <w:b/>
                <w:sz w:val="22"/>
              </w:rPr>
              <w:t>RM</w:t>
            </w:r>
          </w:p>
        </w:tc>
        <w:tc>
          <w:tcPr>
            <w:tcW w:w="4680" w:type="dxa"/>
          </w:tcPr>
          <w:p w14:paraId="71DE10F7" w14:textId="77777777" w:rsidR="00994AE3" w:rsidRPr="0040485A" w:rsidRDefault="008064C0">
            <w:pPr>
              <w:spacing w:after="40"/>
              <w:rPr>
                <w:rFonts w:cs="Times New Roman"/>
              </w:rPr>
            </w:pPr>
            <w:r w:rsidRPr="0040485A">
              <w:rPr>
                <w:rFonts w:cs="Times New Roman"/>
                <w:sz w:val="22"/>
              </w:rPr>
              <w:t>Relationship Manager</w:t>
            </w:r>
          </w:p>
        </w:tc>
      </w:tr>
      <w:tr w:rsidR="00994AE3" w:rsidRPr="0040485A" w14:paraId="6CE670FB" w14:textId="77777777">
        <w:trPr>
          <w:jc w:val="center"/>
        </w:trPr>
        <w:tc>
          <w:tcPr>
            <w:tcW w:w="4680" w:type="dxa"/>
          </w:tcPr>
          <w:p w14:paraId="316B6FFC" w14:textId="77777777" w:rsidR="00994AE3" w:rsidRPr="0040485A" w:rsidRDefault="008064C0">
            <w:pPr>
              <w:spacing w:after="40"/>
              <w:rPr>
                <w:rFonts w:cs="Times New Roman"/>
              </w:rPr>
            </w:pPr>
            <w:r w:rsidRPr="0040485A">
              <w:rPr>
                <w:rFonts w:cs="Times New Roman"/>
                <w:b/>
                <w:sz w:val="22"/>
              </w:rPr>
              <w:t>RQ</w:t>
            </w:r>
          </w:p>
        </w:tc>
        <w:tc>
          <w:tcPr>
            <w:tcW w:w="4680" w:type="dxa"/>
          </w:tcPr>
          <w:p w14:paraId="01B3E1B4" w14:textId="77777777" w:rsidR="00994AE3" w:rsidRPr="0040485A" w:rsidRDefault="008064C0">
            <w:pPr>
              <w:spacing w:after="40"/>
              <w:rPr>
                <w:rFonts w:cs="Times New Roman"/>
              </w:rPr>
            </w:pPr>
            <w:r w:rsidRPr="0040485A">
              <w:rPr>
                <w:rFonts w:cs="Times New Roman"/>
                <w:sz w:val="22"/>
              </w:rPr>
              <w:t>Research Question</w:t>
            </w:r>
          </w:p>
        </w:tc>
      </w:tr>
      <w:tr w:rsidR="00994AE3" w:rsidRPr="0040485A" w14:paraId="6020F87F" w14:textId="77777777">
        <w:trPr>
          <w:jc w:val="center"/>
        </w:trPr>
        <w:tc>
          <w:tcPr>
            <w:tcW w:w="4680" w:type="dxa"/>
          </w:tcPr>
          <w:p w14:paraId="5F894F09" w14:textId="77777777" w:rsidR="00994AE3" w:rsidRPr="0040485A" w:rsidRDefault="008064C0">
            <w:pPr>
              <w:spacing w:after="40"/>
              <w:rPr>
                <w:rFonts w:cs="Times New Roman"/>
              </w:rPr>
            </w:pPr>
            <w:r w:rsidRPr="0040485A">
              <w:rPr>
                <w:rFonts w:cs="Times New Roman"/>
                <w:b/>
                <w:sz w:val="22"/>
              </w:rPr>
              <w:t>SBV</w:t>
            </w:r>
          </w:p>
        </w:tc>
        <w:tc>
          <w:tcPr>
            <w:tcW w:w="4680" w:type="dxa"/>
          </w:tcPr>
          <w:p w14:paraId="31A9F4CC" w14:textId="77777777" w:rsidR="00994AE3" w:rsidRPr="0040485A" w:rsidRDefault="008064C0">
            <w:pPr>
              <w:spacing w:after="40"/>
              <w:rPr>
                <w:rFonts w:cs="Times New Roman"/>
              </w:rPr>
            </w:pPr>
            <w:r w:rsidRPr="0040485A">
              <w:rPr>
                <w:rFonts w:cs="Times New Roman"/>
                <w:sz w:val="22"/>
              </w:rPr>
              <w:t>State Bank of Vietnam</w:t>
            </w:r>
          </w:p>
        </w:tc>
      </w:tr>
      <w:tr w:rsidR="00994AE3" w:rsidRPr="0040485A" w14:paraId="0C4353E2" w14:textId="77777777">
        <w:trPr>
          <w:jc w:val="center"/>
        </w:trPr>
        <w:tc>
          <w:tcPr>
            <w:tcW w:w="4680" w:type="dxa"/>
          </w:tcPr>
          <w:p w14:paraId="6BE9F76D" w14:textId="77777777" w:rsidR="00994AE3" w:rsidRPr="0040485A" w:rsidRDefault="008064C0">
            <w:pPr>
              <w:spacing w:after="40"/>
              <w:rPr>
                <w:rFonts w:cs="Times New Roman"/>
              </w:rPr>
            </w:pPr>
            <w:r w:rsidRPr="0040485A">
              <w:rPr>
                <w:rFonts w:cs="Times New Roman"/>
                <w:b/>
                <w:sz w:val="22"/>
              </w:rPr>
              <w:t>SERVQUAL</w:t>
            </w:r>
          </w:p>
        </w:tc>
        <w:tc>
          <w:tcPr>
            <w:tcW w:w="4680" w:type="dxa"/>
          </w:tcPr>
          <w:p w14:paraId="09C601E5" w14:textId="77777777" w:rsidR="00994AE3" w:rsidRPr="0040485A" w:rsidRDefault="008064C0">
            <w:pPr>
              <w:spacing w:after="40"/>
              <w:rPr>
                <w:rFonts w:cs="Times New Roman"/>
              </w:rPr>
            </w:pPr>
            <w:r w:rsidRPr="0040485A">
              <w:rPr>
                <w:rFonts w:cs="Times New Roman"/>
                <w:sz w:val="22"/>
              </w:rPr>
              <w:t>Service Quality measurement model</w:t>
            </w:r>
          </w:p>
        </w:tc>
      </w:tr>
      <w:tr w:rsidR="00994AE3" w:rsidRPr="0040485A" w14:paraId="5CE316A1" w14:textId="77777777">
        <w:trPr>
          <w:jc w:val="center"/>
        </w:trPr>
        <w:tc>
          <w:tcPr>
            <w:tcW w:w="4680" w:type="dxa"/>
          </w:tcPr>
          <w:p w14:paraId="0DF5C698" w14:textId="77777777" w:rsidR="00994AE3" w:rsidRPr="0040485A" w:rsidRDefault="008064C0">
            <w:pPr>
              <w:spacing w:after="40"/>
              <w:rPr>
                <w:rFonts w:cs="Times New Roman"/>
              </w:rPr>
            </w:pPr>
            <w:r w:rsidRPr="0040485A">
              <w:rPr>
                <w:rFonts w:cs="Times New Roman"/>
                <w:b/>
                <w:sz w:val="22"/>
              </w:rPr>
              <w:t>SME</w:t>
            </w:r>
          </w:p>
        </w:tc>
        <w:tc>
          <w:tcPr>
            <w:tcW w:w="4680" w:type="dxa"/>
          </w:tcPr>
          <w:p w14:paraId="28D05F41" w14:textId="77777777" w:rsidR="00994AE3" w:rsidRPr="0040485A" w:rsidRDefault="008064C0">
            <w:pPr>
              <w:spacing w:after="40"/>
              <w:rPr>
                <w:rFonts w:cs="Times New Roman"/>
              </w:rPr>
            </w:pPr>
            <w:r w:rsidRPr="0040485A">
              <w:rPr>
                <w:rFonts w:cs="Times New Roman"/>
                <w:sz w:val="22"/>
              </w:rPr>
              <w:t>Small and Medium-sized Enterprise</w:t>
            </w:r>
          </w:p>
        </w:tc>
      </w:tr>
      <w:tr w:rsidR="00994AE3" w:rsidRPr="0040485A" w14:paraId="28AF6587" w14:textId="77777777">
        <w:trPr>
          <w:jc w:val="center"/>
        </w:trPr>
        <w:tc>
          <w:tcPr>
            <w:tcW w:w="4680" w:type="dxa"/>
          </w:tcPr>
          <w:p w14:paraId="0EE80C69" w14:textId="77777777" w:rsidR="00994AE3" w:rsidRPr="0040485A" w:rsidRDefault="008064C0">
            <w:pPr>
              <w:spacing w:after="40"/>
              <w:rPr>
                <w:rFonts w:cs="Times New Roman"/>
              </w:rPr>
            </w:pPr>
            <w:r w:rsidRPr="0040485A">
              <w:rPr>
                <w:rFonts w:cs="Times New Roman"/>
                <w:b/>
                <w:sz w:val="22"/>
              </w:rPr>
              <w:t>SOE</w:t>
            </w:r>
          </w:p>
        </w:tc>
        <w:tc>
          <w:tcPr>
            <w:tcW w:w="4680" w:type="dxa"/>
          </w:tcPr>
          <w:p w14:paraId="7730DD86" w14:textId="77777777" w:rsidR="00994AE3" w:rsidRPr="0040485A" w:rsidRDefault="008064C0">
            <w:pPr>
              <w:spacing w:after="40"/>
              <w:rPr>
                <w:rFonts w:cs="Times New Roman"/>
              </w:rPr>
            </w:pPr>
            <w:r w:rsidRPr="0040485A">
              <w:rPr>
                <w:rFonts w:cs="Times New Roman"/>
                <w:sz w:val="22"/>
              </w:rPr>
              <w:t>State-Owned Enterprise</w:t>
            </w:r>
          </w:p>
        </w:tc>
      </w:tr>
      <w:tr w:rsidR="00994AE3" w:rsidRPr="0040485A" w14:paraId="5AE6FF96" w14:textId="77777777">
        <w:trPr>
          <w:jc w:val="center"/>
        </w:trPr>
        <w:tc>
          <w:tcPr>
            <w:tcW w:w="4680" w:type="dxa"/>
          </w:tcPr>
          <w:p w14:paraId="6BD6ABA8" w14:textId="77777777" w:rsidR="00994AE3" w:rsidRPr="0040485A" w:rsidRDefault="008064C0">
            <w:pPr>
              <w:spacing w:after="40"/>
              <w:rPr>
                <w:rFonts w:cs="Times New Roman"/>
              </w:rPr>
            </w:pPr>
            <w:r w:rsidRPr="0040485A">
              <w:rPr>
                <w:rFonts w:cs="Times New Roman"/>
                <w:b/>
                <w:sz w:val="22"/>
              </w:rPr>
              <w:t>STAFF_QUAL</w:t>
            </w:r>
          </w:p>
        </w:tc>
        <w:tc>
          <w:tcPr>
            <w:tcW w:w="4680" w:type="dxa"/>
          </w:tcPr>
          <w:p w14:paraId="25842E0A" w14:textId="77777777" w:rsidR="00994AE3" w:rsidRPr="0040485A" w:rsidRDefault="008064C0">
            <w:pPr>
              <w:spacing w:after="40"/>
              <w:rPr>
                <w:rFonts w:cs="Times New Roman"/>
              </w:rPr>
            </w:pPr>
            <w:r w:rsidRPr="0040485A">
              <w:rPr>
                <w:rFonts w:cs="Times New Roman"/>
                <w:sz w:val="22"/>
              </w:rPr>
              <w:t xml:space="preserve">Staff </w:t>
            </w:r>
            <w:r w:rsidRPr="0040485A">
              <w:rPr>
                <w:rFonts w:cs="Times New Roman"/>
                <w:sz w:val="22"/>
              </w:rPr>
              <w:t>Professionalism (independent construct X6)</w:t>
            </w:r>
          </w:p>
        </w:tc>
      </w:tr>
      <w:tr w:rsidR="00994AE3" w:rsidRPr="0040485A" w14:paraId="524FA60D" w14:textId="77777777">
        <w:trPr>
          <w:jc w:val="center"/>
        </w:trPr>
        <w:tc>
          <w:tcPr>
            <w:tcW w:w="4680" w:type="dxa"/>
          </w:tcPr>
          <w:p w14:paraId="6AE8020B" w14:textId="77777777" w:rsidR="00994AE3" w:rsidRPr="0040485A" w:rsidRDefault="008064C0">
            <w:pPr>
              <w:spacing w:after="40"/>
              <w:rPr>
                <w:rFonts w:cs="Times New Roman"/>
              </w:rPr>
            </w:pPr>
            <w:r w:rsidRPr="0040485A">
              <w:rPr>
                <w:rFonts w:cs="Times New Roman"/>
                <w:b/>
                <w:sz w:val="22"/>
              </w:rPr>
              <w:lastRenderedPageBreak/>
              <w:t>STP</w:t>
            </w:r>
          </w:p>
        </w:tc>
        <w:tc>
          <w:tcPr>
            <w:tcW w:w="4680" w:type="dxa"/>
          </w:tcPr>
          <w:p w14:paraId="61A3570E" w14:textId="77777777" w:rsidR="00994AE3" w:rsidRPr="0040485A" w:rsidRDefault="008064C0">
            <w:pPr>
              <w:spacing w:after="40"/>
              <w:rPr>
                <w:rFonts w:cs="Times New Roman"/>
              </w:rPr>
            </w:pPr>
            <w:r w:rsidRPr="0040485A">
              <w:rPr>
                <w:rFonts w:cs="Times New Roman"/>
                <w:sz w:val="22"/>
              </w:rPr>
              <w:t>Straight-Through Processing</w:t>
            </w:r>
          </w:p>
        </w:tc>
      </w:tr>
      <w:tr w:rsidR="00994AE3" w:rsidRPr="0040485A" w14:paraId="54F00A85" w14:textId="77777777">
        <w:trPr>
          <w:jc w:val="center"/>
        </w:trPr>
        <w:tc>
          <w:tcPr>
            <w:tcW w:w="4680" w:type="dxa"/>
          </w:tcPr>
          <w:p w14:paraId="54A22520" w14:textId="77777777" w:rsidR="00994AE3" w:rsidRPr="0040485A" w:rsidRDefault="008064C0">
            <w:pPr>
              <w:spacing w:after="40"/>
              <w:rPr>
                <w:rFonts w:cs="Times New Roman"/>
              </w:rPr>
            </w:pPr>
            <w:r w:rsidRPr="0040485A">
              <w:rPr>
                <w:rFonts w:cs="Times New Roman"/>
                <w:b/>
                <w:sz w:val="22"/>
              </w:rPr>
              <w:t>TAM</w:t>
            </w:r>
          </w:p>
        </w:tc>
        <w:tc>
          <w:tcPr>
            <w:tcW w:w="4680" w:type="dxa"/>
          </w:tcPr>
          <w:p w14:paraId="6B7725BF" w14:textId="77777777" w:rsidR="00994AE3" w:rsidRPr="0040485A" w:rsidRDefault="008064C0">
            <w:pPr>
              <w:spacing w:after="40"/>
              <w:rPr>
                <w:rFonts w:cs="Times New Roman"/>
              </w:rPr>
            </w:pPr>
            <w:r w:rsidRPr="0040485A">
              <w:rPr>
                <w:rFonts w:cs="Times New Roman"/>
                <w:sz w:val="22"/>
              </w:rPr>
              <w:t>Technology Acceptance Model</w:t>
            </w:r>
          </w:p>
        </w:tc>
      </w:tr>
      <w:tr w:rsidR="00994AE3" w:rsidRPr="0040485A" w14:paraId="1DAFF9E9" w14:textId="77777777">
        <w:trPr>
          <w:jc w:val="center"/>
        </w:trPr>
        <w:tc>
          <w:tcPr>
            <w:tcW w:w="4680" w:type="dxa"/>
          </w:tcPr>
          <w:p w14:paraId="17D06D28" w14:textId="77777777" w:rsidR="00994AE3" w:rsidRPr="0040485A" w:rsidRDefault="008064C0">
            <w:pPr>
              <w:spacing w:after="40"/>
              <w:rPr>
                <w:rFonts w:cs="Times New Roman"/>
              </w:rPr>
            </w:pPr>
            <w:r w:rsidRPr="0040485A">
              <w:rPr>
                <w:rFonts w:cs="Times New Roman"/>
                <w:b/>
                <w:sz w:val="22"/>
              </w:rPr>
              <w:t>TG</w:t>
            </w:r>
          </w:p>
        </w:tc>
        <w:tc>
          <w:tcPr>
            <w:tcW w:w="4680" w:type="dxa"/>
          </w:tcPr>
          <w:p w14:paraId="31F84D08" w14:textId="77777777" w:rsidR="00994AE3" w:rsidRPr="0040485A" w:rsidRDefault="008064C0">
            <w:pPr>
              <w:spacing w:after="40"/>
              <w:rPr>
                <w:rFonts w:cs="Times New Roman"/>
              </w:rPr>
            </w:pPr>
            <w:r w:rsidRPr="0040485A">
              <w:rPr>
                <w:rFonts w:cs="Times New Roman"/>
                <w:sz w:val="22"/>
              </w:rPr>
              <w:t>Tender Guarantee / Bid Bond</w:t>
            </w:r>
          </w:p>
        </w:tc>
      </w:tr>
      <w:tr w:rsidR="00994AE3" w:rsidRPr="0040485A" w14:paraId="166E104C" w14:textId="77777777">
        <w:trPr>
          <w:jc w:val="center"/>
        </w:trPr>
        <w:tc>
          <w:tcPr>
            <w:tcW w:w="4680" w:type="dxa"/>
          </w:tcPr>
          <w:p w14:paraId="0313167F" w14:textId="77777777" w:rsidR="00994AE3" w:rsidRPr="0040485A" w:rsidRDefault="008064C0">
            <w:pPr>
              <w:spacing w:after="40"/>
              <w:rPr>
                <w:rFonts w:cs="Times New Roman"/>
              </w:rPr>
            </w:pPr>
            <w:r w:rsidRPr="0040485A">
              <w:rPr>
                <w:rFonts w:cs="Times New Roman"/>
                <w:b/>
                <w:sz w:val="22"/>
              </w:rPr>
              <w:t>URDG 758</w:t>
            </w:r>
          </w:p>
        </w:tc>
        <w:tc>
          <w:tcPr>
            <w:tcW w:w="4680" w:type="dxa"/>
          </w:tcPr>
          <w:p w14:paraId="0E52B81E" w14:textId="77777777" w:rsidR="00994AE3" w:rsidRPr="0040485A" w:rsidRDefault="008064C0">
            <w:pPr>
              <w:spacing w:after="40"/>
              <w:rPr>
                <w:rFonts w:cs="Times New Roman"/>
              </w:rPr>
            </w:pPr>
            <w:r w:rsidRPr="0040485A">
              <w:rPr>
                <w:rFonts w:cs="Times New Roman"/>
                <w:sz w:val="22"/>
              </w:rPr>
              <w:t>Uniform Rules for Demand Guarantees, ICC Publication No. 758</w:t>
            </w:r>
          </w:p>
        </w:tc>
      </w:tr>
      <w:tr w:rsidR="00994AE3" w:rsidRPr="0040485A" w14:paraId="0E8C2BEE" w14:textId="77777777">
        <w:trPr>
          <w:jc w:val="center"/>
        </w:trPr>
        <w:tc>
          <w:tcPr>
            <w:tcW w:w="4680" w:type="dxa"/>
          </w:tcPr>
          <w:p w14:paraId="17740356" w14:textId="77777777" w:rsidR="00994AE3" w:rsidRPr="0040485A" w:rsidRDefault="008064C0">
            <w:pPr>
              <w:spacing w:after="40"/>
              <w:rPr>
                <w:rFonts w:cs="Times New Roman"/>
              </w:rPr>
            </w:pPr>
            <w:r w:rsidRPr="0040485A">
              <w:rPr>
                <w:rFonts w:cs="Times New Roman"/>
                <w:b/>
                <w:sz w:val="22"/>
              </w:rPr>
              <w:t>VIF</w:t>
            </w:r>
          </w:p>
        </w:tc>
        <w:tc>
          <w:tcPr>
            <w:tcW w:w="4680" w:type="dxa"/>
          </w:tcPr>
          <w:p w14:paraId="58B0B7E8" w14:textId="77777777" w:rsidR="00994AE3" w:rsidRPr="0040485A" w:rsidRDefault="008064C0">
            <w:pPr>
              <w:spacing w:after="40"/>
              <w:rPr>
                <w:rFonts w:cs="Times New Roman"/>
              </w:rPr>
            </w:pPr>
            <w:r w:rsidRPr="0040485A">
              <w:rPr>
                <w:rFonts w:cs="Times New Roman"/>
                <w:sz w:val="22"/>
              </w:rPr>
              <w:t>Variance Inflation Factor</w:t>
            </w:r>
          </w:p>
        </w:tc>
      </w:tr>
      <w:tr w:rsidR="00994AE3" w:rsidRPr="0040485A" w14:paraId="76E99419" w14:textId="77777777">
        <w:trPr>
          <w:jc w:val="center"/>
        </w:trPr>
        <w:tc>
          <w:tcPr>
            <w:tcW w:w="4680" w:type="dxa"/>
          </w:tcPr>
          <w:p w14:paraId="327E0B79" w14:textId="77777777" w:rsidR="00994AE3" w:rsidRPr="0040485A" w:rsidRDefault="008064C0">
            <w:pPr>
              <w:spacing w:after="40"/>
              <w:rPr>
                <w:rFonts w:cs="Times New Roman"/>
              </w:rPr>
            </w:pPr>
            <w:r w:rsidRPr="0040485A">
              <w:rPr>
                <w:rFonts w:cs="Times New Roman"/>
                <w:b/>
                <w:sz w:val="22"/>
              </w:rPr>
              <w:t>VND</w:t>
            </w:r>
          </w:p>
        </w:tc>
        <w:tc>
          <w:tcPr>
            <w:tcW w:w="4680" w:type="dxa"/>
          </w:tcPr>
          <w:p w14:paraId="288AFBC6" w14:textId="77777777" w:rsidR="00994AE3" w:rsidRPr="0040485A" w:rsidRDefault="008064C0">
            <w:pPr>
              <w:spacing w:after="40"/>
              <w:rPr>
                <w:rFonts w:cs="Times New Roman"/>
              </w:rPr>
            </w:pPr>
            <w:r w:rsidRPr="0040485A">
              <w:rPr>
                <w:rFonts w:cs="Times New Roman"/>
                <w:sz w:val="22"/>
              </w:rPr>
              <w:t>Vietnamese Dong</w:t>
            </w:r>
          </w:p>
        </w:tc>
      </w:tr>
    </w:tbl>
    <w:p w14:paraId="79E3739F" w14:textId="77777777" w:rsidR="00994AE3" w:rsidRPr="0040485A" w:rsidRDefault="008064C0">
      <w:pPr>
        <w:rPr>
          <w:rFonts w:cs="Times New Roman"/>
        </w:rPr>
      </w:pPr>
      <w:r w:rsidRPr="0040485A">
        <w:rPr>
          <w:rFonts w:cs="Times New Roman"/>
        </w:rPr>
        <w:br w:type="page"/>
      </w:r>
    </w:p>
    <w:p w14:paraId="25D794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TABLES</w:t>
      </w:r>
    </w:p>
    <w:p>
      <w:pPr>
        <w:spacing w:after="80" w:line="312" w:lineRule="auto"/>
        <w:jc w:val="left"/>
      </w:pPr>
      <w:r>
        <w:rPr>
          <w:rFonts w:ascii="Times New Roman" w:hAnsi="Times New Roman"/>
          <w:sz w:val="22"/>
        </w:rPr>
        <w:t>Table 2.1: Principal corporate bank guarantee products</w:t>
      </w:r>
      <w:r>
        <w:rPr>
          <w:rFonts w:ascii="Times New Roman" w:hAnsi="Times New Roman"/>
          <w:sz w:val="22"/>
        </w:rPr>
        <w:tab/>
        <w:t>12</w:t>
      </w:r>
    </w:p>
    <w:p>
      <w:pPr>
        <w:spacing w:after="80" w:line="312" w:lineRule="auto"/>
        <w:jc w:val="left"/>
      </w:pPr>
      <w:r>
        <w:rPr>
          <w:rFonts w:ascii="Times New Roman" w:hAnsi="Times New Roman"/>
          <w:sz w:val="22"/>
        </w:rPr>
        <w:t>Table 2.2: Research gaps and the response of this study</w:t>
      </w:r>
      <w:r>
        <w:rPr>
          <w:rFonts w:ascii="Times New Roman" w:hAnsi="Times New Roman"/>
          <w:sz w:val="22"/>
        </w:rPr>
        <w:tab/>
        <w:t>23</w:t>
      </w:r>
    </w:p>
    <w:p>
      <w:pPr>
        <w:spacing w:after="80" w:line="312" w:lineRule="auto"/>
        <w:jc w:val="left"/>
      </w:pPr>
      <w:r>
        <w:rPr>
          <w:rFonts w:ascii="Times New Roman" w:hAnsi="Times New Roman"/>
          <w:sz w:val="22"/>
        </w:rPr>
        <w:t>Table 3.1: Operationalisation of constructs and measurement indicators</w:t>
      </w:r>
      <w:r>
        <w:rPr>
          <w:rFonts w:ascii="Times New Roman" w:hAnsi="Times New Roman"/>
          <w:sz w:val="22"/>
        </w:rPr>
        <w:tab/>
        <w:t>33</w:t>
      </w:r>
    </w:p>
    <w:p>
      <w:pPr>
        <w:spacing w:after="80" w:line="312" w:lineRule="auto"/>
        <w:jc w:val="left"/>
      </w:pPr>
      <w:r>
        <w:rPr>
          <w:rFonts w:ascii="Times New Roman" w:hAnsi="Times New Roman"/>
          <w:sz w:val="22"/>
        </w:rPr>
        <w:t>Table 3.2: Criteria applied in exploratory factor analysis</w:t>
      </w:r>
      <w:r>
        <w:rPr>
          <w:rFonts w:ascii="Times New Roman" w:hAnsi="Times New Roman"/>
          <w:sz w:val="22"/>
        </w:rPr>
        <w:tab/>
        <w:t>41</w:t>
      </w:r>
    </w:p>
    <w:p>
      <w:pPr>
        <w:spacing w:after="80" w:line="312" w:lineRule="auto"/>
        <w:jc w:val="left"/>
      </w:pPr>
      <w:r>
        <w:rPr>
          <w:rFonts w:ascii="Times New Roman" w:hAnsi="Times New Roman"/>
          <w:sz w:val="22"/>
        </w:rPr>
        <w:t>Table 3.3: Grouping variables and corresponding difference tests</w:t>
      </w:r>
      <w:r>
        <w:rPr>
          <w:rFonts w:ascii="Times New Roman" w:hAnsi="Times New Roman"/>
          <w:sz w:val="22"/>
        </w:rPr>
        <w:tab/>
        <w:t>45</w:t>
      </w:r>
    </w:p>
    <w:p>
      <w:pPr>
        <w:spacing w:after="80" w:line="312" w:lineRule="auto"/>
        <w:jc w:val="left"/>
      </w:pPr>
      <w:r>
        <w:rPr>
          <w:rFonts w:ascii="Times New Roman" w:hAnsi="Times New Roman"/>
          <w:sz w:val="22"/>
        </w:rPr>
        <w:t>Table 4.1: Distribution of sample by enterprise ownership type</w:t>
      </w:r>
      <w:r>
        <w:rPr>
          <w:rFonts w:ascii="Times New Roman" w:hAnsi="Times New Roman"/>
          <w:sz w:val="22"/>
        </w:rPr>
        <w:tab/>
        <w:t>48</w:t>
      </w:r>
    </w:p>
    <w:p>
      <w:pPr>
        <w:spacing w:after="80" w:line="312" w:lineRule="auto"/>
        <w:jc w:val="left"/>
      </w:pPr>
      <w:r>
        <w:rPr>
          <w:rFonts w:ascii="Times New Roman" w:hAnsi="Times New Roman"/>
          <w:sz w:val="22"/>
        </w:rPr>
        <w:t>Table 4.2: Distribution of sample by annual revenue scale</w:t>
      </w:r>
      <w:r>
        <w:rPr>
          <w:rFonts w:ascii="Times New Roman" w:hAnsi="Times New Roman"/>
          <w:sz w:val="22"/>
        </w:rPr>
        <w:tab/>
        <w:t>49</w:t>
      </w:r>
    </w:p>
    <w:p>
      <w:pPr>
        <w:spacing w:after="80" w:line="312" w:lineRule="auto"/>
        <w:jc w:val="left"/>
      </w:pPr>
      <w:r>
        <w:rPr>
          <w:rFonts w:ascii="Times New Roman" w:hAnsi="Times New Roman"/>
          <w:sz w:val="22"/>
        </w:rPr>
        <w:t>Table 4.3: Distribution of sample by operating experience (tenure)</w:t>
      </w:r>
      <w:r>
        <w:rPr>
          <w:rFonts w:ascii="Times New Roman" w:hAnsi="Times New Roman"/>
          <w:sz w:val="22"/>
        </w:rPr>
        <w:tab/>
        <w:t>50</w:t>
      </w:r>
    </w:p>
    <w:p>
      <w:pPr>
        <w:spacing w:after="80" w:line="312" w:lineRule="auto"/>
        <w:jc w:val="left"/>
      </w:pPr>
      <w:r>
        <w:rPr>
          <w:rFonts w:ascii="Times New Roman" w:hAnsi="Times New Roman"/>
          <w:sz w:val="22"/>
        </w:rPr>
        <w:t>Table 4.4: Distribution of primary guarantee product used</w:t>
      </w:r>
      <w:r>
        <w:rPr>
          <w:rFonts w:ascii="Times New Roman" w:hAnsi="Times New Roman"/>
          <w:sz w:val="22"/>
        </w:rPr>
        <w:tab/>
        <w:t>51</w:t>
      </w:r>
    </w:p>
    <w:p>
      <w:pPr>
        <w:spacing w:after="80" w:line="312" w:lineRule="auto"/>
        <w:jc w:val="left"/>
      </w:pPr>
      <w:r>
        <w:rPr>
          <w:rFonts w:ascii="Times New Roman" w:hAnsi="Times New Roman"/>
          <w:sz w:val="22"/>
        </w:rPr>
        <w:t>Table 4.5: Multi-banking status and respondent corporate positions</w:t>
      </w:r>
      <w:r>
        <w:rPr>
          <w:rFonts w:ascii="Times New Roman" w:hAnsi="Times New Roman"/>
          <w:sz w:val="22"/>
        </w:rPr>
        <w:tab/>
        <w:t>52</w:t>
      </w:r>
    </w:p>
    <w:p>
      <w:pPr>
        <w:spacing w:after="80" w:line="312" w:lineRule="auto"/>
        <w:jc w:val="left"/>
      </w:pPr>
      <w:r>
        <w:rPr>
          <w:rFonts w:ascii="Times New Roman" w:hAnsi="Times New Roman"/>
          <w:sz w:val="22"/>
        </w:rPr>
        <w:t>Table 4.6: Scale reliability analysis results (Cronbach's Alpha and Item-Total Statistics)</w:t>
      </w:r>
      <w:r>
        <w:rPr>
          <w:rFonts w:ascii="Times New Roman" w:hAnsi="Times New Roman"/>
          <w:sz w:val="22"/>
        </w:rPr>
        <w:tab/>
        <w:t>54</w:t>
      </w:r>
    </w:p>
    <w:p>
      <w:pPr>
        <w:spacing w:after="80" w:line="312" w:lineRule="auto"/>
        <w:jc w:val="left"/>
      </w:pPr>
      <w:r>
        <w:rPr>
          <w:rFonts w:ascii="Times New Roman" w:hAnsi="Times New Roman"/>
          <w:sz w:val="22"/>
        </w:rPr>
        <w:t>Table 4.7: KMO and Bartlett's Test of Sphericity for independent variables</w:t>
      </w:r>
      <w:r>
        <w:rPr>
          <w:rFonts w:ascii="Times New Roman" w:hAnsi="Times New Roman"/>
          <w:sz w:val="22"/>
        </w:rPr>
        <w:tab/>
        <w:t>56</w:t>
      </w:r>
    </w:p>
    <w:p>
      <w:pPr>
        <w:spacing w:after="80" w:line="312" w:lineRule="auto"/>
        <w:jc w:val="left"/>
      </w:pPr>
      <w:r>
        <w:rPr>
          <w:rFonts w:ascii="Times New Roman" w:hAnsi="Times New Roman"/>
          <w:sz w:val="22"/>
        </w:rPr>
        <w:t>Table 4.8: Rotated Component Matrix and Variance Explained (28 Independent Items)</w:t>
      </w:r>
      <w:r>
        <w:rPr>
          <w:rFonts w:ascii="Times New Roman" w:hAnsi="Times New Roman"/>
          <w:sz w:val="22"/>
        </w:rPr>
        <w:tab/>
        <w:t>57</w:t>
      </w:r>
    </w:p>
    <w:p>
      <w:pPr>
        <w:spacing w:after="80" w:line="312" w:lineRule="auto"/>
        <w:jc w:val="left"/>
      </w:pPr>
      <w:r>
        <w:rPr>
          <w:rFonts w:ascii="Times New Roman" w:hAnsi="Times New Roman"/>
          <w:sz w:val="22"/>
        </w:rPr>
        <w:t>Table 4.9: Component Matrix for Dependent Variable (DEC)</w:t>
      </w:r>
      <w:r>
        <w:rPr>
          <w:rFonts w:ascii="Times New Roman" w:hAnsi="Times New Roman"/>
          <w:sz w:val="22"/>
        </w:rPr>
        <w:tab/>
        <w:t>59</w:t>
      </w:r>
    </w:p>
    <w:p>
      <w:pPr>
        <w:spacing w:after="80" w:line="312" w:lineRule="auto"/>
        <w:jc w:val="left"/>
      </w:pPr>
      <w:r>
        <w:rPr>
          <w:rFonts w:ascii="Times New Roman" w:hAnsi="Times New Roman"/>
          <w:sz w:val="22"/>
        </w:rPr>
        <w:t>Table 4.10: Pearson correlation matrix and multicollinearity diagnostics (VIF &amp; Tolerance)</w:t>
      </w:r>
      <w:r>
        <w:rPr>
          <w:rFonts w:ascii="Times New Roman" w:hAnsi="Times New Roman"/>
          <w:sz w:val="22"/>
        </w:rPr>
        <w:tab/>
        <w:t>60</w:t>
      </w:r>
    </w:p>
    <w:p>
      <w:pPr>
        <w:spacing w:after="80" w:line="312" w:lineRule="auto"/>
        <w:jc w:val="left"/>
      </w:pPr>
      <w:r>
        <w:rPr>
          <w:rFonts w:ascii="Times New Roman" w:hAnsi="Times New Roman"/>
          <w:sz w:val="22"/>
        </w:rPr>
        <w:t>Table 4.11: OLS Multiple Regression Model Summary and ANOVA</w:t>
      </w:r>
      <w:r>
        <w:rPr>
          <w:rFonts w:ascii="Times New Roman" w:hAnsi="Times New Roman"/>
          <w:sz w:val="22"/>
        </w:rPr>
        <w:tab/>
        <w:t>62</w:t>
      </w:r>
    </w:p>
    <w:p>
      <w:pPr>
        <w:spacing w:after="80" w:line="312" w:lineRule="auto"/>
        <w:jc w:val="left"/>
      </w:pPr>
      <w:r>
        <w:rPr>
          <w:rFonts w:ascii="Times New Roman" w:hAnsi="Times New Roman"/>
          <w:sz w:val="22"/>
        </w:rPr>
        <w:t>Table 4.12: Regression coefficients and research hypothesis testing decisions</w:t>
      </w:r>
      <w:r>
        <w:rPr>
          <w:rFonts w:ascii="Times New Roman" w:hAnsi="Times New Roman"/>
          <w:sz w:val="22"/>
        </w:rPr>
        <w:tab/>
        <w:t>64</w:t>
      </w:r>
    </w:p>
    <w:p>
      <w:pPr>
        <w:spacing w:after="80" w:line="312" w:lineRule="auto"/>
        <w:jc w:val="left"/>
      </w:pPr>
      <w:r>
        <w:rPr>
          <w:rFonts w:ascii="Times New Roman" w:hAnsi="Times New Roman"/>
          <w:sz w:val="22"/>
        </w:rPr>
        <w:t>Table 4.13: Robustness check regression model with corporate control variables</w:t>
      </w:r>
      <w:r>
        <w:rPr>
          <w:rFonts w:ascii="Times New Roman" w:hAnsi="Times New Roman"/>
          <w:sz w:val="22"/>
        </w:rPr>
        <w:tab/>
        <w:t>66</w:t>
      </w:r>
    </w:p>
    <w:p>
      <w:pPr>
        <w:spacing w:after="80" w:line="312" w:lineRule="auto"/>
        <w:jc w:val="left"/>
      </w:pPr>
      <w:r>
        <w:rPr>
          <w:rFonts w:ascii="Times New Roman" w:hAnsi="Times New Roman"/>
          <w:sz w:val="22"/>
        </w:rPr>
        <w:t>Table 4.14: One-Way ANOVA of construct evaluations across enterprise ownership types</w:t>
      </w:r>
      <w:r>
        <w:rPr>
          <w:rFonts w:ascii="Times New Roman" w:hAnsi="Times New Roman"/>
          <w:sz w:val="22"/>
        </w:rPr>
        <w:tab/>
        <w:t>68</w:t>
      </w:r>
    </w:p>
    <w:p>
      <w:pPr>
        <w:spacing w:after="80" w:line="312" w:lineRule="auto"/>
        <w:jc w:val="left"/>
      </w:pPr>
      <w:r>
        <w:rPr>
          <w:rFonts w:ascii="Times New Roman" w:hAnsi="Times New Roman"/>
          <w:sz w:val="22"/>
        </w:rPr>
        <w:t>Table 4.15: One-Way ANOVA across enterprise revenue scales and operating experience</w:t>
      </w:r>
      <w:r>
        <w:rPr>
          <w:rFonts w:ascii="Times New Roman" w:hAnsi="Times New Roman"/>
          <w:sz w:val="22"/>
        </w:rPr>
        <w:tab/>
        <w:t>70</w:t>
      </w:r>
    </w:p>
    <w:p>
      <w:pPr>
        <w:spacing w:after="80" w:line="312" w:lineRule="auto"/>
        <w:jc w:val="left"/>
      </w:pPr>
      <w:r>
        <w:rPr>
          <w:rFonts w:ascii="Times New Roman" w:hAnsi="Times New Roman"/>
          <w:sz w:val="22"/>
        </w:rPr>
        <w:t>Table 4.16: One-Way ANOVA across primary guarantee product categories</w:t>
      </w:r>
      <w:r>
        <w:rPr>
          <w:rFonts w:ascii="Times New Roman" w:hAnsi="Times New Roman"/>
          <w:sz w:val="22"/>
        </w:rPr>
        <w:tab/>
        <w:t>71</w:t>
      </w:r>
    </w:p>
    <w:p>
      <w:pPr>
        <w:spacing w:after="80" w:line="312" w:lineRule="auto"/>
        <w:jc w:val="left"/>
      </w:pPr>
      <w:r>
        <w:rPr>
          <w:rFonts w:ascii="Times New Roman" w:hAnsi="Times New Roman"/>
          <w:sz w:val="22"/>
        </w:rPr>
        <w:t>Table 4.17: Independent samples t-test between single-bank and multi-bank users</w:t>
      </w:r>
      <w:r>
        <w:rPr>
          <w:rFonts w:ascii="Times New Roman" w:hAnsi="Times New Roman"/>
          <w:sz w:val="22"/>
        </w:rPr>
        <w:tab/>
        <w:t>72</w:t>
      </w:r>
    </w:p>
    <w:p w14:paraId="5A63D2DB" w14:textId="77777777" w:rsidR="00994AE3" w:rsidRPr="0040485A" w:rsidRDefault="008064C0">
      <w:pPr>
        <w:rPr>
          <w:rFonts w:cs="Times New Roman"/>
        </w:rPr>
      </w:pPr>
      <w:r w:rsidRPr="0040485A">
        <w:rPr>
          <w:rFonts w:cs="Times New Roman"/>
        </w:rPr>
        <w:br w:type="page"/>
      </w:r>
    </w:p>
    <w:p w14:paraId="429D0D4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FIGURES</w:t>
      </w:r>
    </w:p>
    <w:p>
      <w:pPr>
        <w:spacing w:after="80" w:line="312" w:lineRule="auto"/>
        <w:jc w:val="left"/>
      </w:pPr>
      <w:r>
        <w:rPr>
          <w:rFonts w:ascii="Times New Roman" w:hAnsi="Times New Roman"/>
          <w:sz w:val="22"/>
        </w:rPr>
        <w:t>Figure 2.1: Conceptual research framework and hypothesised relationships</w:t>
      </w:r>
      <w:r>
        <w:rPr>
          <w:rFonts w:ascii="Times New Roman" w:hAnsi="Times New Roman"/>
          <w:sz w:val="22"/>
        </w:rPr>
        <w:tab/>
        <w:t>27</w:t>
      </w:r>
    </w:p>
    <w:p>
      <w:pPr>
        <w:spacing w:after="80" w:line="312" w:lineRule="auto"/>
        <w:jc w:val="left"/>
      </w:pPr>
      <w:r>
        <w:rPr>
          <w:rFonts w:ascii="Times New Roman" w:hAnsi="Times New Roman"/>
          <w:sz w:val="22"/>
        </w:rPr>
        <w:t>Figure 4.1: Empirical regression results and standardized path coefficients</w:t>
      </w:r>
      <w:r>
        <w:rPr>
          <w:rFonts w:ascii="Times New Roman" w:hAnsi="Times New Roman"/>
          <w:sz w:val="22"/>
        </w:rPr>
        <w:tab/>
        <w:t>65</w:t>
      </w:r>
    </w:p>
    <w:p w14:paraId="1E141279" w14:textId="77777777" w:rsidR="00994AE3" w:rsidRPr="0040485A" w:rsidRDefault="008064C0">
      <w:pPr>
        <w:rPr>
          <w:rFonts w:cs="Times New Roman"/>
        </w:rPr>
      </w:pPr>
      <w:r w:rsidRPr="0040485A">
        <w:rPr>
          <w:rFonts w:cs="Times New Roman"/>
        </w:rPr>
        <w:br w:type="page"/>
      </w:r>
    </w:p>
    <w:p w14:paraId="03157B16"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1: INTRODUCTION</w:t>
      </w:r>
    </w:p>
    <w:p w14:paraId="6A1FA74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1.1. Research Rationales &amp; Background</w:t>
      </w:r>
    </w:p>
    <w:p w14:paraId="5B610FAF" w14:textId="77777777" w:rsidR="00994AE3" w:rsidRPr="0040485A" w:rsidRDefault="008064C0">
      <w:pPr>
        <w:spacing w:after="160" w:line="360" w:lineRule="auto"/>
        <w:ind w:firstLine="360"/>
        <w:jc w:val="both"/>
        <w:rPr>
          <w:rFonts w:cs="Times New Roman"/>
        </w:rPr>
      </w:pPr>
      <w:r w:rsidRPr="0040485A">
        <w:rPr>
          <w:rFonts w:cs="Times New Roman"/>
        </w:rPr>
        <w:t>In modern commercial banking the bank guarantee occupies an unusual position. It is a credit instrument that ordinarily consumes no funds, a</w:t>
      </w:r>
      <w:r w:rsidRPr="0040485A">
        <w:rPr>
          <w:rFonts w:cs="Times New Roman"/>
        </w:rPr>
        <w:t xml:space="preserve"> fee-earning service whose fee is in substance a risk premium, and a product whose usefulness depends not on the satisfaction of the paying customer but on its acceptance by a third party who is not a customer at all. These characteristics, examined in det</w:t>
      </w:r>
      <w:r w:rsidRPr="0040485A">
        <w:rPr>
          <w:rFonts w:cs="Times New Roman"/>
        </w:rPr>
        <w:t>ail in Chapter 2, make the segment economically attractive to banks and strategically important to the enterprises that depend on it.</w:t>
      </w:r>
    </w:p>
    <w:p w14:paraId="35A38298" w14:textId="77777777" w:rsidR="00994AE3" w:rsidRPr="0040485A" w:rsidRDefault="008064C0">
      <w:pPr>
        <w:spacing w:after="160" w:line="360" w:lineRule="auto"/>
        <w:ind w:firstLine="360"/>
        <w:jc w:val="both"/>
        <w:rPr>
          <w:rFonts w:cs="Times New Roman"/>
        </w:rPr>
      </w:pPr>
      <w:r w:rsidRPr="0040485A">
        <w:rPr>
          <w:rFonts w:cs="Times New Roman"/>
        </w:rPr>
        <w:t xml:space="preserve">For Vietnamese enterprises, demand for guarantees is created largely by law rather than by commercial preference. The Law </w:t>
      </w:r>
      <w:r w:rsidRPr="0040485A">
        <w:rPr>
          <w:rFonts w:cs="Times New Roman"/>
        </w:rPr>
        <w:t xml:space="preserve">on Bidding No. 22/2023/QH15, as amended by Law No. 57/2024/QH15, requires bid security and contract performance security in public procurement. Decree No. 37/2015/ND-CP on construction contracts, as amended by Decree No. 35/2023/ND-CP, requires an advance </w:t>
      </w:r>
      <w:r w:rsidRPr="0040485A">
        <w:rPr>
          <w:rFonts w:cs="Times New Roman"/>
        </w:rPr>
        <w:t>payment guarantee where the employer releases an advance above the prescribed threshold. In cross-border trade, guarantees issued subject to the ICC Uniform Rules for Demand Guarantees (URDG 758) substitute for cash deposits and release working capital tha</w:t>
      </w:r>
      <w:r w:rsidRPr="0040485A">
        <w:rPr>
          <w:rFonts w:cs="Times New Roman"/>
        </w:rPr>
        <w:t>t would otherwise be immobilised. A construction contractor or trading enterprise operating at scale in Vietnam does not decide whether to obtain guarantees; it decides only which bank will issue them.</w:t>
      </w:r>
    </w:p>
    <w:p w14:paraId="5CD5C8C6" w14:textId="77777777" w:rsidR="00994AE3" w:rsidRPr="0040485A" w:rsidRDefault="008064C0">
      <w:pPr>
        <w:spacing w:after="160" w:line="360" w:lineRule="auto"/>
        <w:ind w:firstLine="360"/>
        <w:jc w:val="both"/>
        <w:rPr>
          <w:rFonts w:cs="Times New Roman"/>
        </w:rPr>
      </w:pPr>
      <w:r w:rsidRPr="0040485A">
        <w:rPr>
          <w:rFonts w:cs="Times New Roman"/>
        </w:rPr>
        <w:t>That decision is genuinely open. Unlike a term loan, a</w:t>
      </w:r>
      <w:r w:rsidRPr="0040485A">
        <w:rPr>
          <w:rFonts w:cs="Times New Roman"/>
        </w:rPr>
        <w:t xml:space="preserve"> guarantee does not lock the enterprise into a multi-year relationship: an instrument can be arranged for a single contract, and turning to a different bank for the next one requires no unwinding of an existing facility. Switching costs are therefore low, </w:t>
      </w:r>
      <w:r w:rsidRPr="0040485A">
        <w:rPr>
          <w:rFonts w:cs="Times New Roman"/>
        </w:rPr>
        <w:t>and banks compete for the same business simultaneously on fee levels, on the speed with which the instrument is issued, on the cash margin and collateral demanded, on the institutional standing that determines whether beneficiaries accept the letter, and i</w:t>
      </w:r>
      <w:r w:rsidRPr="0040485A">
        <w:rPr>
          <w:rFonts w:cs="Times New Roman"/>
        </w:rPr>
        <w:t>ncreasingly on the digital channel through which the transaction is conducted. What is not known, in the Vietnamese market, is the relative weight enterprises actually place on these competing dimensions.</w:t>
      </w:r>
    </w:p>
    <w:p w14:paraId="10843FAE" w14:textId="77777777" w:rsidR="00994AE3" w:rsidRPr="0040485A" w:rsidRDefault="008064C0">
      <w:pPr>
        <w:spacing w:after="160" w:line="360" w:lineRule="auto"/>
        <w:ind w:firstLine="360"/>
        <w:jc w:val="both"/>
        <w:rPr>
          <w:rFonts w:cs="Times New Roman"/>
        </w:rPr>
      </w:pPr>
      <w:r w:rsidRPr="0040485A">
        <w:rPr>
          <w:rFonts w:cs="Times New Roman"/>
        </w:rPr>
        <w:t>Two recent developments make the question more pres</w:t>
      </w:r>
      <w:r w:rsidRPr="0040485A">
        <w:rPr>
          <w:rFonts w:cs="Times New Roman"/>
        </w:rPr>
        <w:t xml:space="preserve">sing than it would have been a few years ago. The first is regulatory. Circular No. 61/2024/TT-NHNN, effective from 1 April 2025 and replacing Circular No. 11/2022/TT-NHNN, established a complete legal framework for </w:t>
      </w:r>
      <w:r w:rsidRPr="0040485A">
        <w:rPr>
          <w:rFonts w:cs="Times New Roman"/>
        </w:rPr>
        <w:lastRenderedPageBreak/>
        <w:t>electronic guarantees. Before that chang</w:t>
      </w:r>
      <w:r w:rsidRPr="0040485A">
        <w:rPr>
          <w:rFonts w:cs="Times New Roman"/>
        </w:rPr>
        <w:t>e, a bank could digitise its internal workflow but could not issue an instrument that a beneficiary was obliged to accept without a paper original; digital capability was an efficiency measure. After it, an electronically issued and authenticated guarantee</w:t>
      </w:r>
      <w:r w:rsidRPr="0040485A">
        <w:rPr>
          <w:rFonts w:cs="Times New Roman"/>
        </w:rPr>
        <w:t xml:space="preserve"> carries the same legal effect as a paper one, which converts the digital channel into something an enterprise can choose a bank for. Whether enterprises in fact do so is an empirical question that could not have been asked before 2025.</w:t>
      </w:r>
    </w:p>
    <w:p w14:paraId="3C8BB154" w14:textId="77777777" w:rsidR="00994AE3" w:rsidRPr="0040485A" w:rsidRDefault="008064C0">
      <w:pPr>
        <w:spacing w:after="160" w:line="360" w:lineRule="auto"/>
        <w:ind w:firstLine="360"/>
        <w:jc w:val="both"/>
        <w:rPr>
          <w:rFonts w:cs="Times New Roman"/>
        </w:rPr>
      </w:pPr>
      <w:r w:rsidRPr="0040485A">
        <w:rPr>
          <w:rFonts w:cs="Times New Roman"/>
        </w:rPr>
        <w:t>The second is compe</w:t>
      </w:r>
      <w:r w:rsidRPr="0040485A">
        <w:rPr>
          <w:rFonts w:cs="Times New Roman"/>
        </w:rPr>
        <w:t>titive. Sustained pressure on net interest margins has pushed Vietnamese commercial banks to expand non-interest income, and guarantee fees are among the most attractive sources available: they are recurring, they require no funding, and the underlying exp</w:t>
      </w:r>
      <w:r w:rsidRPr="0040485A">
        <w:rPr>
          <w:rFonts w:cs="Times New Roman"/>
        </w:rPr>
        <w:t>osure consumes less regulatory capital than funded lending of equivalent face value. The predictable consequence is intensified competition for guarantee business, expressed through fee discounting, faster approval and more accommodating security terms. Co</w:t>
      </w:r>
      <w:r w:rsidRPr="0040485A">
        <w:rPr>
          <w:rFonts w:cs="Times New Roman"/>
        </w:rPr>
        <w:t>mpeting on all dimensions at once is expensive, and a bank that does not know which dimension actually moves the client's decision will allocate that spending inefficiently.</w:t>
      </w:r>
    </w:p>
    <w:p w14:paraId="561EC96B" w14:textId="77777777" w:rsidR="00994AE3" w:rsidRPr="0040485A" w:rsidRDefault="008064C0">
      <w:pPr>
        <w:spacing w:after="160" w:line="360" w:lineRule="auto"/>
        <w:ind w:firstLine="360"/>
        <w:jc w:val="both"/>
        <w:rPr>
          <w:rFonts w:cs="Times New Roman"/>
        </w:rPr>
      </w:pPr>
      <w:r w:rsidRPr="0040485A">
        <w:rPr>
          <w:rFonts w:cs="Times New Roman"/>
        </w:rPr>
        <w:t xml:space="preserve">Against this background the academic literature is notably thin. As Section 2.3 </w:t>
      </w:r>
      <w:r w:rsidRPr="0040485A">
        <w:rPr>
          <w:rFonts w:cs="Times New Roman"/>
        </w:rPr>
        <w:t>documents, research on corporate bank selection has concentrated on lending and general banking services, reaching trade finance in one instance but not guarantee issuance; Vietnamese quantitative research has concentrated on retail service quality; and Vi</w:t>
      </w:r>
      <w:r w:rsidRPr="0040485A">
        <w:rPr>
          <w:rFonts w:cs="Times New Roman"/>
        </w:rPr>
        <w:t>etnamese research on guarantees has been predominantly legal and qualitative. No study identified in this review applies a quantitative selection model to the corporate guarantee product in Vietnam, and none incorporates digital channel capability under th</w:t>
      </w:r>
      <w:r w:rsidRPr="0040485A">
        <w:rPr>
          <w:rFonts w:cs="Times New Roman"/>
        </w:rPr>
        <w:t>e legal regime now in force.</w:t>
      </w:r>
    </w:p>
    <w:p w14:paraId="7621E8E8" w14:textId="77777777" w:rsidR="00994AE3" w:rsidRPr="0040485A" w:rsidRDefault="008064C0">
      <w:pPr>
        <w:spacing w:after="160" w:line="360" w:lineRule="auto"/>
        <w:ind w:firstLine="360"/>
        <w:jc w:val="both"/>
        <w:rPr>
          <w:rFonts w:cs="Times New Roman"/>
        </w:rPr>
      </w:pPr>
      <w:r w:rsidRPr="0040485A">
        <w:rPr>
          <w:rFonts w:cs="Times New Roman"/>
        </w:rPr>
        <w:t>This thesis addresses that gap. It examines the factors associated with corporate customers' decision to choose Vietnam Joint Stock Commercial Bank for Industry and Trade (VietinBank) for bank guarantee services, estimating the</w:t>
      </w:r>
      <w:r w:rsidRPr="0040485A">
        <w:rPr>
          <w:rFonts w:cs="Times New Roman"/>
        </w:rPr>
        <w:t xml:space="preserve"> direction and relative importance of seven service and relationship attributes, and testing whether their importance differs across types of enterprise and types of guarantee product.</w:t>
      </w:r>
    </w:p>
    <w:p w14:paraId="0DF100B9"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1.2. Research Problem &amp; Industry Context at VietinBank</w:t>
      </w:r>
    </w:p>
    <w:p w14:paraId="71B5772C" w14:textId="77777777" w:rsidR="00994AE3" w:rsidRPr="0040485A" w:rsidRDefault="008064C0">
      <w:pPr>
        <w:spacing w:after="160" w:line="360" w:lineRule="auto"/>
        <w:ind w:firstLine="360"/>
        <w:jc w:val="both"/>
        <w:rPr>
          <w:rFonts w:cs="Times New Roman"/>
        </w:rPr>
      </w:pPr>
      <w:r>
        <w:t>VietinBank is one of Vietnam's largest commercial banks, operating a nationwide corporate banking network of 155 domestic branches together with the VietinBank eFAST digital platform for corporate clients. Its scale in the corporate segment makes it a suitable setting for this study on two grounds: the population of corporate guarantee users is large enough to support the sample requirements set out in Section 3.3.2, and the bank competes across the full range of guarantee products, from short-dated tender guarantees for domestic contractors to counter-guarantees supporting cross-border trade.</w:t>
      </w:r>
    </w:p>
    <w:p w14:paraId="5E96FE1E" w14:textId="77777777" w:rsidR="00994AE3" w:rsidRPr="0040485A" w:rsidRDefault="008064C0">
      <w:pPr>
        <w:spacing w:after="160" w:line="360" w:lineRule="auto"/>
        <w:ind w:firstLine="360"/>
        <w:jc w:val="both"/>
        <w:rPr>
          <w:rFonts w:cs="Times New Roman"/>
        </w:rPr>
      </w:pPr>
      <w:r w:rsidRPr="0040485A">
        <w:rPr>
          <w:rFonts w:cs="Times New Roman"/>
        </w:rPr>
        <w:t>The managerial problem arises from the combination of these two facts. The bank competes on several dimensions at once, and each carries a real cost. Fee discounting reduces revenue on every tra</w:t>
      </w:r>
      <w:r w:rsidRPr="0040485A">
        <w:rPr>
          <w:rFonts w:cs="Times New Roman"/>
        </w:rPr>
        <w:t>nsaction to which it applies. Compressing appraisal turnaround requires either additional underwriting capacity or a relaxation of review depth. Reducing the cash margin increases the unsecured portion of the contingent exposure. Extending the digital chan</w:t>
      </w:r>
      <w:r w:rsidRPr="0040485A">
        <w:rPr>
          <w:rFonts w:cs="Times New Roman"/>
        </w:rPr>
        <w:t>nel requires sustained investment in platform development, authentication infrastructure and integration with beneficiary verification. Each of these is a legitimate competitive instrument, and each consumes resources that cannot simultaneously be spent on</w:t>
      </w:r>
      <w:r w:rsidRPr="0040485A">
        <w:rPr>
          <w:rFonts w:cs="Times New Roman"/>
        </w:rPr>
        <w:t xml:space="preserve"> the others.</w:t>
      </w:r>
    </w:p>
    <w:p w14:paraId="619FAF25" w14:textId="77777777" w:rsidR="00994AE3" w:rsidRPr="0040485A" w:rsidRDefault="008064C0">
      <w:pPr>
        <w:spacing w:after="160" w:line="360" w:lineRule="auto"/>
        <w:ind w:firstLine="360"/>
        <w:jc w:val="both"/>
        <w:rPr>
          <w:rFonts w:cs="Times New Roman"/>
        </w:rPr>
      </w:pPr>
      <w:r w:rsidRPr="0040485A">
        <w:rPr>
          <w:rFonts w:cs="Times New Roman"/>
        </w:rPr>
        <w:t>Deciding among them requires evidence about what corporate clients actually weigh, and that evidence is not currently available. Internal transaction records reveal what enterprises did — which guarantees were issued, at what fee, through whic</w:t>
      </w:r>
      <w:r w:rsidRPr="0040485A">
        <w:rPr>
          <w:rFonts w:cs="Times New Roman"/>
        </w:rPr>
        <w:t>h channel — but not why they brought the business to VietinBank rather than to a competitor. A client who would have remained regardless of a fee discount is indistinguishable in the transaction data from one whom the discount retained. The information nee</w:t>
      </w:r>
      <w:r w:rsidRPr="0040485A">
        <w:rPr>
          <w:rFonts w:cs="Times New Roman"/>
        </w:rPr>
        <w:t>ded to allocate competitive spending efficiently is perceptual, concerns the comparison the enterprise makes between banks, and can be obtained only by asking.</w:t>
      </w:r>
    </w:p>
    <w:p w14:paraId="460F0E02" w14:textId="77777777" w:rsidR="00994AE3" w:rsidRPr="0040485A" w:rsidRDefault="008064C0">
      <w:pPr>
        <w:spacing w:after="160" w:line="360" w:lineRule="auto"/>
        <w:ind w:firstLine="360"/>
        <w:jc w:val="both"/>
        <w:rPr>
          <w:rFonts w:cs="Times New Roman"/>
        </w:rPr>
      </w:pPr>
      <w:r w:rsidRPr="0040485A">
        <w:rPr>
          <w:rFonts w:cs="Times New Roman"/>
        </w:rPr>
        <w:t>A second dimension of the problem concerns segmentation. A uniform competitive posture across th</w:t>
      </w:r>
      <w:r w:rsidRPr="0040485A">
        <w:rPr>
          <w:rFonts w:cs="Times New Roman"/>
        </w:rPr>
        <w:t>e entire corporate base is unlikely to be efficient if, as the international literature suggests (Turnbull and Gibbs, 1989; Kaur et al., 2021), selection criteria vary with firm characteristics. A state-owned enterprise operating under public procurement r</w:t>
      </w:r>
      <w:r w:rsidRPr="0040485A">
        <w:rPr>
          <w:rFonts w:cs="Times New Roman"/>
        </w:rPr>
        <w:t xml:space="preserve">ules, a private </w:t>
      </w:r>
      <w:r w:rsidRPr="0040485A">
        <w:rPr>
          <w:rFonts w:cs="Times New Roman"/>
        </w:rPr>
        <w:lastRenderedPageBreak/>
        <w:t>contractor managing tender deadlines, and a foreign-invested firm requiring counter-guarantees abroad plausibly weigh speed, price and reputation differently. If such differences exist and are of material size, they justify differentiated p</w:t>
      </w:r>
      <w:r w:rsidRPr="0040485A">
        <w:rPr>
          <w:rFonts w:cs="Times New Roman"/>
        </w:rPr>
        <w:t>roduct and pricing strategies; if they do not, a uniform approach is the more efficient choice. The bank presently has no empirical basis on which to make that determination.</w:t>
      </w:r>
    </w:p>
    <w:p w14:paraId="4A994E53" w14:textId="77777777" w:rsidR="00994AE3" w:rsidRPr="0040485A" w:rsidRDefault="008064C0">
      <w:pPr>
        <w:spacing w:after="160" w:line="360" w:lineRule="auto"/>
        <w:ind w:firstLine="360"/>
        <w:jc w:val="both"/>
        <w:rPr>
          <w:rFonts w:cs="Times New Roman"/>
        </w:rPr>
      </w:pPr>
      <w:r w:rsidRPr="0040485A">
        <w:rPr>
          <w:rFonts w:cs="Times New Roman"/>
        </w:rPr>
        <w:t>The research problem this thesis addresses can therefore be stated precisely: Vie</w:t>
      </w:r>
      <w:r w:rsidRPr="0040485A">
        <w:rPr>
          <w:rFonts w:cs="Times New Roman"/>
        </w:rPr>
        <w:t>tinBank competes for corporate guarantee business across several costly dimensions without measured evidence of which dimensions drive corporate selection priority, and without evidence of whether those drivers differ across the segments of its corporate c</w:t>
      </w:r>
      <w:r w:rsidRPr="0040485A">
        <w:rPr>
          <w:rFonts w:cs="Times New Roman"/>
        </w:rPr>
        <w:t>lient base.</w:t>
      </w:r>
    </w:p>
    <w:p w14:paraId="765E99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1.3. Research Objectives</w:t>
      </w:r>
    </w:p>
    <w:p w14:paraId="263B2FD0" w14:textId="77777777" w:rsidR="00994AE3" w:rsidRPr="0040485A" w:rsidRDefault="008064C0">
      <w:pPr>
        <w:spacing w:after="160" w:line="360" w:lineRule="auto"/>
        <w:ind w:firstLine="360"/>
        <w:jc w:val="both"/>
        <w:rPr>
          <w:rFonts w:cs="Times New Roman"/>
        </w:rPr>
      </w:pPr>
      <w:r w:rsidRPr="0040485A">
        <w:rPr>
          <w:rFonts w:cs="Times New Roman"/>
        </w:rPr>
        <w:t>The objectives below translate the research problem into measurable aims. The general objective states the overall purpose of the study; the four specific objectives decompose it into components that can each be address</w:t>
      </w:r>
      <w:r w:rsidRPr="0040485A">
        <w:rPr>
          <w:rFonts w:cs="Times New Roman"/>
        </w:rPr>
        <w:t>ed by an identifiable analytical procedure, and each is matched to one research question in Section 1.4 and to one group of recommendations in Section 4.8.</w:t>
      </w:r>
    </w:p>
    <w:p w14:paraId="47A5F2A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1.3.1. General Objective</w:t>
      </w:r>
    </w:p>
    <w:p w14:paraId="445A3A45" w14:textId="77777777" w:rsidR="00994AE3" w:rsidRPr="0040485A" w:rsidRDefault="008064C0">
      <w:pPr>
        <w:jc w:val="both"/>
        <w:rPr>
          <w:rFonts w:cs="Times New Roman"/>
        </w:rPr>
      </w:pPr>
      <w:r w:rsidRPr="0040485A">
        <w:rPr>
          <w:rFonts w:cs="Times New Roman"/>
        </w:rPr>
        <w:t>The general objective of this study is to identify and assess the factors a</w:t>
      </w:r>
      <w:r w:rsidRPr="0040485A">
        <w:rPr>
          <w:rFonts w:cs="Times New Roman"/>
        </w:rPr>
        <w:t>ssociated with corporate customers’ decision to choose VietinBank for bank guarantee services, and to propose managerial recommendations for improving VietinBank’s attractiveness and competitiveness in the corporate bank guarantee market.</w:t>
      </w:r>
    </w:p>
    <w:p w14:paraId="547A47D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1.3.2. </w:t>
      </w:r>
      <w:r w:rsidRPr="0040485A">
        <w:rPr>
          <w:rFonts w:ascii="Times New Roman" w:hAnsi="Times New Roman" w:cs="Times New Roman"/>
        </w:rPr>
        <w:t>Specific Objectives</w:t>
      </w:r>
    </w:p>
    <w:p w14:paraId="7223476A" w14:textId="77777777" w:rsidR="00994AE3" w:rsidRPr="0040485A" w:rsidRDefault="008064C0">
      <w:pPr>
        <w:jc w:val="both"/>
        <w:rPr>
          <w:rFonts w:cs="Times New Roman"/>
        </w:rPr>
      </w:pPr>
      <w:r w:rsidRPr="0040485A">
        <w:rPr>
          <w:rFonts w:cs="Times New Roman"/>
        </w:rPr>
        <w:t>1. Identify the key factors associated with corporate customers’ decision to choose VietinBank for bank guarantee services, based on relevant theories, previous empirical studies, and the characteristics of bank guarantee services.</w:t>
      </w:r>
    </w:p>
    <w:p w14:paraId="4E77A9D0" w14:textId="77777777" w:rsidR="00994AE3" w:rsidRPr="0040485A" w:rsidRDefault="008064C0">
      <w:pPr>
        <w:jc w:val="both"/>
        <w:rPr>
          <w:rFonts w:cs="Times New Roman"/>
        </w:rPr>
      </w:pPr>
      <w:r w:rsidRPr="0040485A">
        <w:rPr>
          <w:rFonts w:cs="Times New Roman"/>
        </w:rPr>
        <w:t>2. A</w:t>
      </w:r>
      <w:r w:rsidRPr="0040485A">
        <w:rPr>
          <w:rFonts w:cs="Times New Roman"/>
        </w:rPr>
        <w:t>ssess the direction and relative importance of these factors in explaining corporate customers’ selection decisions.</w:t>
      </w:r>
    </w:p>
    <w:p w14:paraId="5FBA7796" w14:textId="77777777" w:rsidR="00994AE3" w:rsidRPr="0040485A" w:rsidRDefault="008064C0">
      <w:pPr>
        <w:jc w:val="both"/>
        <w:rPr>
          <w:rFonts w:cs="Times New Roman"/>
        </w:rPr>
      </w:pPr>
      <w:r w:rsidRPr="0040485A">
        <w:rPr>
          <w:rFonts w:cs="Times New Roman"/>
        </w:rPr>
        <w:t>3. Examine whether corporate customers’ selection decisions differ across major firm characteristics, such as ownership type, firm size, op</w:t>
      </w:r>
      <w:r w:rsidRPr="0040485A">
        <w:rPr>
          <w:rFonts w:cs="Times New Roman"/>
        </w:rPr>
        <w:t>erating experience, and types of bank guarantees used.</w:t>
      </w:r>
    </w:p>
    <w:p w14:paraId="0F8AAC55" w14:textId="77777777" w:rsidR="00994AE3" w:rsidRPr="0040485A" w:rsidRDefault="008064C0">
      <w:pPr>
        <w:jc w:val="both"/>
        <w:rPr>
          <w:rFonts w:cs="Times New Roman"/>
        </w:rPr>
      </w:pPr>
      <w:r w:rsidRPr="0040485A">
        <w:rPr>
          <w:rFonts w:cs="Times New Roman"/>
        </w:rPr>
        <w:t>4. Propose managerial recommendations for VietinBank to improve its bank guarantee products and services and strengthen its ability to attract and retain corporate customers.</w:t>
      </w:r>
    </w:p>
    <w:p w14:paraId="5601EF80"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1.4. Research Questions</w:t>
      </w:r>
    </w:p>
    <w:p w14:paraId="234DEB4D" w14:textId="77777777" w:rsidR="00994AE3" w:rsidRPr="0040485A" w:rsidRDefault="008064C0">
      <w:pPr>
        <w:spacing w:after="160" w:line="360" w:lineRule="auto"/>
        <w:ind w:firstLine="360"/>
        <w:jc w:val="both"/>
        <w:rPr>
          <w:rFonts w:cs="Times New Roman"/>
        </w:rPr>
      </w:pPr>
      <w:r w:rsidRPr="0040485A">
        <w:rPr>
          <w:rFonts w:cs="Times New Roman"/>
        </w:rPr>
        <w:t>Ea</w:t>
      </w:r>
      <w:r w:rsidRPr="0040485A">
        <w:rPr>
          <w:rFonts w:cs="Times New Roman"/>
        </w:rPr>
        <w:t xml:space="preserve">ch research question corresponds to the specific objective bearing the same number and is answered by a designated part of the empirical analysis: RQ1 by the factor structure and correlation results, RQ2 by the standardised regression coefficients, RQ3 by </w:t>
      </w:r>
      <w:r w:rsidRPr="0040485A">
        <w:rPr>
          <w:rFonts w:cs="Times New Roman"/>
        </w:rPr>
        <w:t>the sub-group difference tests, and RQ4 by the managerial discussion that follows from them.</w:t>
      </w:r>
    </w:p>
    <w:p w14:paraId="7F48AEBA" w14:textId="77777777" w:rsidR="00994AE3" w:rsidRPr="0040485A" w:rsidRDefault="008064C0">
      <w:pPr>
        <w:jc w:val="both"/>
        <w:rPr>
          <w:rFonts w:cs="Times New Roman"/>
        </w:rPr>
      </w:pPr>
      <w:r w:rsidRPr="0040485A">
        <w:rPr>
          <w:rFonts w:cs="Times New Roman"/>
        </w:rPr>
        <w:t>• Research Question 1: What key factors significantly influence corporate customers’ decision to choose VietinBank for bank guarantee services?</w:t>
      </w:r>
    </w:p>
    <w:p w14:paraId="226419E5" w14:textId="77777777" w:rsidR="00994AE3" w:rsidRPr="0040485A" w:rsidRDefault="008064C0">
      <w:pPr>
        <w:jc w:val="both"/>
        <w:rPr>
          <w:rFonts w:cs="Times New Roman"/>
        </w:rPr>
      </w:pPr>
      <w:r w:rsidRPr="0040485A">
        <w:rPr>
          <w:rFonts w:cs="Times New Roman"/>
        </w:rPr>
        <w:t>• Research Question</w:t>
      </w:r>
      <w:r w:rsidRPr="0040485A">
        <w:rPr>
          <w:rFonts w:cs="Times New Roman"/>
        </w:rPr>
        <w:t xml:space="preserve"> 2: What is the direction and relative importance of each factor in explaining corporate selection decisions?</w:t>
      </w:r>
    </w:p>
    <w:p w14:paraId="754237A3" w14:textId="77777777" w:rsidR="00994AE3" w:rsidRPr="0040485A" w:rsidRDefault="008064C0">
      <w:pPr>
        <w:jc w:val="both"/>
        <w:rPr>
          <w:rFonts w:cs="Times New Roman"/>
        </w:rPr>
      </w:pPr>
      <w:r w:rsidRPr="0040485A">
        <w:rPr>
          <w:rFonts w:cs="Times New Roman"/>
        </w:rPr>
        <w:t>• Research Question 3: Do corporate selection decisions significantly differ across corporate ownership types, firm revenue sizes, operating tenur</w:t>
      </w:r>
      <w:r w:rsidRPr="0040485A">
        <w:rPr>
          <w:rFonts w:cs="Times New Roman"/>
        </w:rPr>
        <w:t>e, and guarantee product lines?</w:t>
      </w:r>
    </w:p>
    <w:p w14:paraId="085D5311" w14:textId="77777777" w:rsidR="00994AE3" w:rsidRPr="0040485A" w:rsidRDefault="008064C0">
      <w:pPr>
        <w:jc w:val="both"/>
        <w:rPr>
          <w:rFonts w:cs="Times New Roman"/>
        </w:rPr>
      </w:pPr>
      <w:r w:rsidRPr="0040485A">
        <w:rPr>
          <w:rFonts w:cs="Times New Roman"/>
        </w:rPr>
        <w:t>• Research Question 4: What actionable managerial recommendations should VietinBank implement to enhance its competitive standing, product attractiveness, and client retention?</w:t>
      </w:r>
    </w:p>
    <w:p w14:paraId="7F486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1.5. Scope and Boundaries of the Study</w:t>
      </w:r>
    </w:p>
    <w:p w14:paraId="17B964CA" w14:textId="77777777" w:rsidR="00994AE3" w:rsidRPr="0040485A" w:rsidRDefault="008064C0">
      <w:pPr>
        <w:spacing w:after="160" w:line="360" w:lineRule="auto"/>
        <w:ind w:firstLine="360"/>
        <w:jc w:val="both"/>
        <w:rPr>
          <w:rFonts w:cs="Times New Roman"/>
        </w:rPr>
      </w:pPr>
      <w:r w:rsidRPr="0040485A">
        <w:rPr>
          <w:rFonts w:cs="Times New Roman"/>
        </w:rPr>
        <w:t>The scop</w:t>
      </w:r>
      <w:r w:rsidRPr="0040485A">
        <w:rPr>
          <w:rFonts w:cs="Times New Roman"/>
        </w:rPr>
        <w:t>e of the study is defined along four dimensions, and the boundaries are stated explicitly so that the findings are not extended beyond what the design can support.</w:t>
      </w:r>
    </w:p>
    <w:p w14:paraId="3E5C67D5" w14:textId="77777777" w:rsidR="00994AE3" w:rsidRPr="0040485A" w:rsidRDefault="008064C0">
      <w:pPr>
        <w:spacing w:after="160" w:line="360" w:lineRule="auto"/>
        <w:ind w:firstLine="360"/>
        <w:jc w:val="both"/>
        <w:rPr>
          <w:rFonts w:cs="Times New Roman"/>
        </w:rPr>
      </w:pPr>
      <w:r w:rsidRPr="0040485A">
        <w:rPr>
          <w:rFonts w:cs="Times New Roman"/>
        </w:rPr>
        <w:t>In subject matter, the study is confined to bank guarantee services for corporate customers.</w:t>
      </w:r>
      <w:r w:rsidRPr="0040485A">
        <w:rPr>
          <w:rFonts w:cs="Times New Roman"/>
        </w:rPr>
        <w:t xml:space="preserve"> Other corporate banking products — term lending, working capital finance, documentary credits, payments and foreign exchange — enter the analysis only insofar as their prior use constitutes part of the banking relationship measured by the construct RELATI</w:t>
      </w:r>
      <w:r w:rsidRPr="0040485A">
        <w:rPr>
          <w:rFonts w:cs="Times New Roman"/>
        </w:rPr>
        <w:t>ONSHIP. Guarantee services for individual and household customers are outside the scope, since the corporate product differs in appraisal process, documentation and legal framework.</w:t>
      </w:r>
    </w:p>
    <w:p w14:paraId="7A083708" w14:textId="77777777" w:rsidR="00994AE3" w:rsidRPr="0040485A" w:rsidRDefault="008064C0">
      <w:pPr>
        <w:spacing w:after="160" w:line="360" w:lineRule="auto"/>
        <w:ind w:firstLine="360"/>
        <w:jc w:val="both"/>
        <w:rPr>
          <w:rFonts w:cs="Times New Roman"/>
        </w:rPr>
      </w:pPr>
      <w:r w:rsidRPr="0040485A">
        <w:rPr>
          <w:rFonts w:cs="Times New Roman"/>
        </w:rPr>
        <w:t xml:space="preserve">In content, the model examines seven determinants: price </w:t>
      </w:r>
      <w:r w:rsidRPr="0040485A">
        <w:rPr>
          <w:rFonts w:cs="Times New Roman"/>
        </w:rPr>
        <w:t>competitiveness, processing speed, digital eFAST convenience, bank reputation, relationship and limits, staff professionalism, and collateral and margin flexibility. This set follows the supervisor's guidance on model parsimony and is justified construct b</w:t>
      </w:r>
      <w:r w:rsidRPr="0040485A">
        <w:rPr>
          <w:rFonts w:cs="Times New Roman"/>
        </w:rPr>
        <w:t>y construct in Section 2.2. Attributes not included — among them branch network density, correspondent banking reach and bespoke structuring capability — are not thereby asserted to be irrelevant; they were excluded to keep the model within a size that the</w:t>
      </w:r>
      <w:r w:rsidRPr="0040485A">
        <w:rPr>
          <w:rFonts w:cs="Times New Roman"/>
        </w:rPr>
        <w:t xml:space="preserve"> available degrees of freedom and the risk of multicollinearity can support, and Section 4.10 identifies them as candidates for future research.</w:t>
      </w:r>
    </w:p>
    <w:p w14:paraId="28343A40" w14:textId="77777777" w:rsidR="00994AE3" w:rsidRPr="0040485A" w:rsidRDefault="008064C0">
      <w:pPr>
        <w:spacing w:after="160" w:line="360" w:lineRule="auto"/>
        <w:ind w:firstLine="360"/>
        <w:jc w:val="both"/>
        <w:rPr>
          <w:rFonts w:cs="Times New Roman"/>
        </w:rPr>
      </w:pPr>
      <w:r w:rsidRPr="0040485A">
        <w:rPr>
          <w:rFonts w:cs="Times New Roman"/>
        </w:rPr>
        <w:lastRenderedPageBreak/>
        <w:t>In space, the study covers corporate customers of VietinBank across its 155 domestic branches. Findings therefo</w:t>
      </w:r>
      <w:r w:rsidRPr="0040485A">
        <w:rPr>
          <w:rFonts w:cs="Times New Roman"/>
        </w:rPr>
        <w:t>re describe one large Vietnamese commercial bank; they are not a market-wide estimate, and generalisation to banks of materially different scale, ownership or digital maturity requires replication.</w:t>
      </w:r>
    </w:p>
    <w:p w14:paraId="76AB64F7" w14:textId="77777777" w:rsidR="00994AE3" w:rsidRPr="0040485A" w:rsidRDefault="008064C0">
      <w:pPr>
        <w:spacing w:after="160" w:line="360" w:lineRule="auto"/>
        <w:ind w:firstLine="360"/>
        <w:jc w:val="both"/>
        <w:rPr>
          <w:rFonts w:cs="Times New Roman"/>
        </w:rPr>
      </w:pPr>
      <w:r w:rsidRPr="0040485A">
        <w:rPr>
          <w:rFonts w:cs="Times New Roman"/>
        </w:rPr>
        <w:t>In time, the survey is conducted at a single point, and th</w:t>
      </w:r>
      <w:r w:rsidRPr="0040485A">
        <w:rPr>
          <w:rFonts w:cs="Times New Roman"/>
        </w:rPr>
        <w:t>e legal framework described is that in force following the entry into effect of Circular No. 61/2024/TT-NHNN on 1 April 2025. The cross-sectional design means the study measures association rather than causation and cannot capture change in selection crite</w:t>
      </w:r>
      <w:r w:rsidRPr="0040485A">
        <w:rPr>
          <w:rFonts w:cs="Times New Roman"/>
        </w:rPr>
        <w:t>ria over time.</w:t>
      </w:r>
    </w:p>
    <w:p w14:paraId="284D4F05" w14:textId="77777777" w:rsidR="00994AE3" w:rsidRPr="0040485A" w:rsidRDefault="008064C0">
      <w:pPr>
        <w:spacing w:after="160" w:line="360" w:lineRule="auto"/>
        <w:ind w:firstLine="360"/>
        <w:jc w:val="both"/>
        <w:rPr>
          <w:rFonts w:cs="Times New Roman"/>
        </w:rPr>
      </w:pPr>
      <w:r w:rsidRPr="0040485A">
        <w:rPr>
          <w:rFonts w:cs="Times New Roman"/>
        </w:rPr>
        <w:t xml:space="preserve">One boundary requires particular emphasis because it shapes how the results must be read. The sample consists of enterprises that are already customers of VietinBank. Enterprises that considered the bank and selected a competitor, and those </w:t>
      </w:r>
      <w:r w:rsidRPr="0040485A">
        <w:rPr>
          <w:rFonts w:cs="Times New Roman"/>
        </w:rPr>
        <w:t>that formerly used it and left, are not represented. The dependent construct accordingly measures the priority an existing customer assigns to VietinBank relative to the other banks it uses or has considered, and the study's contribution lies in explaining</w:t>
      </w:r>
      <w:r w:rsidRPr="0040485A">
        <w:rPr>
          <w:rFonts w:cs="Times New Roman"/>
        </w:rPr>
        <w:t xml:space="preserve"> retention and the share of guarantee business a client concentrates at the bank, rather than in explaining first-time bank choice across the market as a whole. The managerial implications in Section 4.8 are framed within that boundary, and Section 4.10 pr</w:t>
      </w:r>
      <w:r w:rsidRPr="0040485A">
        <w:rPr>
          <w:rFonts w:cs="Times New Roman"/>
        </w:rPr>
        <w:t>oposes a comparative design including non-customers as the appropriate extension.</w:t>
      </w:r>
    </w:p>
    <w:p w14:paraId="38DD2CE3"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1.6. Significance &amp; Contributions of the Study</w:t>
      </w:r>
    </w:p>
    <w:p w14:paraId="180FD18A" w14:textId="77777777" w:rsidR="00994AE3" w:rsidRPr="0040485A" w:rsidRDefault="008064C0">
      <w:pPr>
        <w:spacing w:after="160" w:line="360" w:lineRule="auto"/>
        <w:ind w:firstLine="360"/>
        <w:jc w:val="both"/>
        <w:rPr>
          <w:rFonts w:cs="Times New Roman"/>
        </w:rPr>
      </w:pPr>
      <w:r w:rsidRPr="0040485A">
        <w:rPr>
          <w:rFonts w:cs="Times New Roman"/>
        </w:rPr>
        <w:t>The study offers contributions of three kinds.</w:t>
      </w:r>
    </w:p>
    <w:p w14:paraId="31E66324" w14:textId="77777777" w:rsidR="00994AE3" w:rsidRPr="0040485A" w:rsidRDefault="008064C0">
      <w:pPr>
        <w:spacing w:after="160" w:line="360" w:lineRule="auto"/>
        <w:ind w:firstLine="360"/>
        <w:jc w:val="both"/>
        <w:rPr>
          <w:rFonts w:cs="Times New Roman"/>
        </w:rPr>
      </w:pPr>
      <w:r w:rsidRPr="0040485A">
        <w:rPr>
          <w:rFonts w:cs="Times New Roman"/>
        </w:rPr>
        <w:t>Theoretically, it isolates bank guarantee services as the object of the selectio</w:t>
      </w:r>
      <w:r w:rsidRPr="0040485A">
        <w:rPr>
          <w:rFonts w:cs="Times New Roman"/>
        </w:rPr>
        <w:t>n decision. On the basis of the review in Section 2.3, no previous quantitative study in Vietnam has done so: the corporate selection literature has examined lending and general banking services, and the Vietnamese guarantee literature has been legal and q</w:t>
      </w:r>
      <w:r w:rsidRPr="0040485A">
        <w:rPr>
          <w:rFonts w:cs="Times New Roman"/>
        </w:rPr>
        <w:t>ualitative in method. The study also demonstrates that a coherent model of this decision requires drawing on several theoretical traditions simultaneously, since service quality theory alone cannot account for the price and security dimensions, and interme</w:t>
      </w:r>
      <w:r w:rsidRPr="0040485A">
        <w:rPr>
          <w:rFonts w:cs="Times New Roman"/>
        </w:rPr>
        <w:t xml:space="preserve">diation theory alone cannot account for the process and personnel dimensions. In doing so it clarifies a distinction that is frequently blurred in applied work: institutional reputation, understood as the willingness of a third-party beneficiary to accept </w:t>
      </w:r>
      <w:r w:rsidRPr="0040485A">
        <w:rPr>
          <w:rFonts w:cs="Times New Roman"/>
        </w:rPr>
        <w:t xml:space="preserve">the issuer's undertaking, is not the reliability dimension of service quality and should not be modelled as one. Finally, the study provides the first opportunity to test whether digital channel </w:t>
      </w:r>
      <w:r w:rsidRPr="0040485A">
        <w:rPr>
          <w:rFonts w:cs="Times New Roman"/>
        </w:rPr>
        <w:lastRenderedPageBreak/>
        <w:t xml:space="preserve">capability influences corporate bank selection under a legal </w:t>
      </w:r>
      <w:r w:rsidRPr="0040485A">
        <w:rPr>
          <w:rFonts w:cs="Times New Roman"/>
        </w:rPr>
        <w:t>regime in which electronic guarantees are effective, a condition that did not exist before April 2025.</w:t>
      </w:r>
    </w:p>
    <w:p w14:paraId="6E7624E8" w14:textId="77777777" w:rsidR="00994AE3" w:rsidRPr="0040485A" w:rsidRDefault="008064C0">
      <w:pPr>
        <w:spacing w:after="160" w:line="360" w:lineRule="auto"/>
        <w:ind w:firstLine="360"/>
        <w:jc w:val="both"/>
        <w:rPr>
          <w:rFonts w:cs="Times New Roman"/>
        </w:rPr>
      </w:pPr>
      <w:r w:rsidRPr="0040485A">
        <w:rPr>
          <w:rFonts w:cs="Times New Roman"/>
        </w:rPr>
        <w:t>Practically, the study converts a set of competing managerial intuitions into a ranked and quantified ordering. Because the seven constructs are estimate</w:t>
      </w:r>
      <w:r w:rsidRPr="0040485A">
        <w:rPr>
          <w:rFonts w:cs="Times New Roman"/>
        </w:rPr>
        <w:t>d within a single equation, the standardised coefficients indicate not merely which attributes matter but which matter more, which is the form in which the finding becomes usable for allocating a finite competitive budget. The sub-group analysis further es</w:t>
      </w:r>
      <w:r w:rsidRPr="0040485A">
        <w:rPr>
          <w:rFonts w:cs="Times New Roman"/>
        </w:rPr>
        <w:t>tablishes whether a uniform competitive posture is appropriate or whether differentiated strategies by ownership type, firm size and guarantee product line are warranted. Recommendations addressed to the State Bank of Vietnam follow from the same evidence,</w:t>
      </w:r>
      <w:r w:rsidRPr="0040485A">
        <w:rPr>
          <w:rFonts w:cs="Times New Roman"/>
        </w:rPr>
        <w:t xml:space="preserve"> concerning the consistent implementation of the electronic guarantee framework and the transparency of fee disclosure in the corporate guarantee market.</w:t>
      </w:r>
    </w:p>
    <w:p w14:paraId="4572C766" w14:textId="77777777" w:rsidR="00994AE3" w:rsidRPr="0040485A" w:rsidRDefault="008064C0">
      <w:pPr>
        <w:spacing w:after="160" w:line="360" w:lineRule="auto"/>
        <w:ind w:firstLine="360"/>
        <w:jc w:val="both"/>
        <w:rPr>
          <w:rFonts w:cs="Times New Roman"/>
        </w:rPr>
      </w:pPr>
      <w:r w:rsidRPr="0040485A">
        <w:rPr>
          <w:rFonts w:cs="Times New Roman"/>
        </w:rPr>
        <w:t>Methodologically, the study develops and validates a measurement instrument specific to corporate guar</w:t>
      </w:r>
      <w:r w:rsidRPr="0040485A">
        <w:rPr>
          <w:rFonts w:cs="Times New Roman"/>
        </w:rPr>
        <w:t xml:space="preserve">antee selection. Existing scales were designed for retail banking or for general service quality and require substantial adaptation before they can measure attributes such as beneficiary acceptance of a letter of guarantee, margin flexibility or the legal </w:t>
      </w:r>
      <w:r w:rsidRPr="0040485A">
        <w:rPr>
          <w:rFonts w:cs="Times New Roman"/>
        </w:rPr>
        <w:t>competence of guarantee wording. The thirty-two-item instrument reported in Section 3.2, together with its reliability and factor analysis results, provides a validated starting point for subsequent research on this product, whether at other Vietnamese ban</w:t>
      </w:r>
      <w:r w:rsidRPr="0040485A">
        <w:rPr>
          <w:rFonts w:cs="Times New Roman"/>
        </w:rPr>
        <w:t>ks or in comparative work across banks.</w:t>
      </w:r>
    </w:p>
    <w:p w14:paraId="5F587C47"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1.7. Structure of the Thesis</w:t>
      </w:r>
    </w:p>
    <w:p w14:paraId="60A4A308" w14:textId="77777777" w:rsidR="00994AE3" w:rsidRPr="0040485A" w:rsidRDefault="008064C0">
      <w:pPr>
        <w:spacing w:after="160" w:line="360" w:lineRule="auto"/>
        <w:ind w:firstLine="360"/>
        <w:jc w:val="both"/>
        <w:rPr>
          <w:rFonts w:cs="Times New Roman"/>
        </w:rPr>
      </w:pPr>
      <w:r w:rsidRPr="0040485A">
        <w:rPr>
          <w:rFonts w:cs="Times New Roman"/>
        </w:rPr>
        <w:t>The thesis is organised in four chapters.</w:t>
      </w:r>
    </w:p>
    <w:p w14:paraId="270F51AF" w14:textId="77777777" w:rsidR="00994AE3" w:rsidRPr="0040485A" w:rsidRDefault="008064C0">
      <w:pPr>
        <w:spacing w:after="100" w:line="336" w:lineRule="auto"/>
        <w:ind w:left="576" w:hanging="288"/>
        <w:jc w:val="both"/>
        <w:rPr>
          <w:rFonts w:cs="Times New Roman"/>
        </w:rPr>
      </w:pPr>
      <w:r w:rsidRPr="0040485A">
        <w:rPr>
          <w:rFonts w:cs="Times New Roman"/>
        </w:rPr>
        <w:t>– Chapter 1 establishes the rationale for the study, sets out the research problem in the context of VietinBank's corporate guarantee operations,</w:t>
      </w:r>
      <w:r w:rsidRPr="0040485A">
        <w:rPr>
          <w:rFonts w:cs="Times New Roman"/>
        </w:rPr>
        <w:t xml:space="preserve"> states the general and specific objectives and the corresponding research questions, defines the scope and boundaries, and identifies the contributions the study makes.</w:t>
      </w:r>
    </w:p>
    <w:p w14:paraId="11BD7002" w14:textId="77777777" w:rsidR="00994AE3" w:rsidRPr="0040485A" w:rsidRDefault="008064C0">
      <w:pPr>
        <w:spacing w:after="100" w:line="336" w:lineRule="auto"/>
        <w:ind w:left="576" w:hanging="288"/>
        <w:jc w:val="both"/>
        <w:rPr>
          <w:rFonts w:cs="Times New Roman"/>
        </w:rPr>
      </w:pPr>
      <w:r w:rsidRPr="0040485A">
        <w:rPr>
          <w:rFonts w:cs="Times New Roman"/>
        </w:rPr>
        <w:t>– Chapter 2 reviews the literature and develops the theoretical framework. It examines</w:t>
      </w:r>
      <w:r w:rsidRPr="0040485A">
        <w:rPr>
          <w:rFonts w:cs="Times New Roman"/>
        </w:rPr>
        <w:t xml:space="preserve"> the nature, product range and legal framework of bank guarantees in Vietnam; sets out the five theories on which the model rests; reviews the international and Vietnamese empirical literature on corporate bank selection; identifies four research gaps; and</w:t>
      </w:r>
      <w:r w:rsidRPr="0040485A">
        <w:rPr>
          <w:rFonts w:cs="Times New Roman"/>
        </w:rPr>
        <w:t xml:space="preserve"> derives the conceptual framework together with the eight hypotheses.</w:t>
      </w:r>
    </w:p>
    <w:p w14:paraId="2B7EB081"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xml:space="preserve">– Chapter 3 presents the research methodology. It describes the research design and the seven-step analytical procedure, the operationalisation of the eight constructs and their mapping </w:t>
      </w:r>
      <w:r w:rsidRPr="0040485A">
        <w:rPr>
          <w:rFonts w:cs="Times New Roman"/>
        </w:rPr>
        <w:t>to the thirty-two-item questionnaire, the target population, sampling strategy and sample size determination, and the econometric methods applied, including the regression specification and the sub-group difference tests.</w:t>
      </w:r>
    </w:p>
    <w:p w14:paraId="36460C0C" w14:textId="77777777" w:rsidR="00994AE3" w:rsidRPr="0040485A" w:rsidRDefault="008064C0">
      <w:pPr>
        <w:spacing w:after="100" w:line="336" w:lineRule="auto"/>
        <w:ind w:left="576" w:hanging="288"/>
        <w:jc w:val="both"/>
        <w:rPr>
          <w:rFonts w:cs="Times New Roman"/>
        </w:rPr>
      </w:pPr>
      <w:r w:rsidRPr="0040485A">
        <w:rPr>
          <w:rFonts w:cs="Times New Roman"/>
        </w:rPr>
        <w:t xml:space="preserve">– Chapter 4 reports and discusses </w:t>
      </w:r>
      <w:r w:rsidRPr="0040485A">
        <w:rPr>
          <w:rFonts w:cs="Times New Roman"/>
        </w:rPr>
        <w:t>the empirical results. It presents the sample profile, the reliability and factor analysis results, the correlation and multicollinearity diagnostics, the regression estimates and hypothesis tests together with a robustness check, and the sub-group compari</w:t>
      </w:r>
      <w:r w:rsidRPr="0040485A">
        <w:rPr>
          <w:rFonts w:cs="Times New Roman"/>
        </w:rPr>
        <w:t>sons. It then discusses the findings against the literature, sets out managerial recommendations for VietinBank and policy recommendations for the State Bank of Vietnam, and states the limitations of the study together with directions for future research.</w:t>
      </w:r>
    </w:p>
    <w:p w14:paraId="3848F144" w14:textId="77777777" w:rsidR="00994AE3" w:rsidRPr="0040485A" w:rsidRDefault="008064C0">
      <w:pPr>
        <w:spacing w:after="160" w:line="360" w:lineRule="auto"/>
        <w:ind w:firstLine="360"/>
        <w:jc w:val="both"/>
        <w:rPr>
          <w:rFonts w:cs="Times New Roman"/>
        </w:rPr>
      </w:pPr>
      <w:r w:rsidRPr="0040485A">
        <w:rPr>
          <w:rFonts w:cs="Times New Roman"/>
        </w:rPr>
        <w:t>References and four appendices containing the full statistical output follow Chapter 4.</w:t>
      </w:r>
    </w:p>
    <w:p w14:paraId="615C8D6D" w14:textId="77777777" w:rsidR="00994AE3" w:rsidRPr="0040485A" w:rsidRDefault="008064C0">
      <w:pPr>
        <w:rPr>
          <w:rFonts w:cs="Times New Roman"/>
        </w:rPr>
      </w:pPr>
      <w:r w:rsidRPr="0040485A">
        <w:rPr>
          <w:rFonts w:cs="Times New Roman"/>
        </w:rPr>
        <w:br w:type="page"/>
      </w:r>
    </w:p>
    <w:p w14:paraId="36AA72A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2: LITERATURE REVIEW AND THEORETICAL FRAMEWORK</w:t>
      </w:r>
    </w:p>
    <w:p w14:paraId="43FC50C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2.1. Overview of Bank Guarantee Services in Commercial Banking</w:t>
      </w:r>
    </w:p>
    <w:p w14:paraId="41B37DF1" w14:textId="77777777" w:rsidR="00994AE3" w:rsidRPr="0040485A" w:rsidRDefault="008064C0">
      <w:pPr>
        <w:spacing w:after="160" w:line="360" w:lineRule="auto"/>
        <w:ind w:firstLine="360"/>
        <w:jc w:val="both"/>
        <w:rPr>
          <w:rFonts w:cs="Times New Roman"/>
        </w:rPr>
      </w:pPr>
      <w:r w:rsidRPr="0040485A">
        <w:rPr>
          <w:rFonts w:cs="Times New Roman"/>
        </w:rPr>
        <w:t>This section establishes what a bank guarantee i</w:t>
      </w:r>
      <w:r w:rsidRPr="0040485A">
        <w:rPr>
          <w:rFonts w:cs="Times New Roman"/>
        </w:rPr>
        <w:t>s, why enterprises and banks use it, and the legal framework within which it operates in Vietnam. These foundations are necessary before the selection behaviour that forms the subject of this thesis can be theorised, because the attributes on which enterpr</w:t>
      </w:r>
      <w:r w:rsidRPr="0040485A">
        <w:rPr>
          <w:rFonts w:cs="Times New Roman"/>
        </w:rPr>
        <w:t>ises evaluate an issuing bank follow directly from the economic and legal structure of the instrument itself.</w:t>
      </w:r>
    </w:p>
    <w:p w14:paraId="1DF361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2.1.1. Nature and Economic Functions of Bank Guarantees</w:t>
      </w:r>
    </w:p>
    <w:p w14:paraId="1CEB0C52" w14:textId="77777777" w:rsidR="00994AE3" w:rsidRPr="0040485A" w:rsidRDefault="008064C0">
      <w:pPr>
        <w:spacing w:after="160" w:line="360" w:lineRule="auto"/>
        <w:ind w:firstLine="360"/>
        <w:jc w:val="both"/>
        <w:rPr>
          <w:rFonts w:cs="Times New Roman"/>
        </w:rPr>
      </w:pPr>
      <w:r w:rsidRPr="0040485A">
        <w:rPr>
          <w:rFonts w:cs="Times New Roman"/>
        </w:rPr>
        <w:t>A bank guarantee is an irrevocable undertaking by a credit institution to discharge a fina</w:t>
      </w:r>
      <w:r w:rsidRPr="0040485A">
        <w:rPr>
          <w:rFonts w:cs="Times New Roman"/>
        </w:rPr>
        <w:t>ncial obligation on behalf of its client should that client fail to perform. Circular No. 61/2024/TT-NHNN classifies the instrument as a form of credit extension, placing it alongside lending rather than among fee-based services, while Article 335 of the C</w:t>
      </w:r>
      <w:r w:rsidRPr="0040485A">
        <w:rPr>
          <w:rFonts w:cs="Times New Roman"/>
        </w:rPr>
        <w:t>ivil Code 2015 provides the general civil law basis of suretyship from which the banking variant derives. Two features distinguish a bank guarantee from ordinary suretyship: the guarantor must be a licensed credit institution, and the undertaking is docume</w:t>
      </w:r>
      <w:r w:rsidRPr="0040485A">
        <w:rPr>
          <w:rFonts w:cs="Times New Roman"/>
        </w:rPr>
        <w:t>ntary, meaning that payment follows from the presentation of conforming documents rather than from proof that the underlying contract was in fact breached.</w:t>
      </w:r>
    </w:p>
    <w:p w14:paraId="00446FF9" w14:textId="77777777" w:rsidR="00994AE3" w:rsidRPr="0040485A" w:rsidRDefault="008064C0">
      <w:pPr>
        <w:spacing w:after="160" w:line="360" w:lineRule="auto"/>
        <w:ind w:firstLine="360"/>
        <w:jc w:val="both"/>
        <w:rPr>
          <w:rFonts w:cs="Times New Roman"/>
        </w:rPr>
      </w:pPr>
      <w:r w:rsidRPr="0040485A">
        <w:rPr>
          <w:rFonts w:cs="Times New Roman"/>
        </w:rPr>
        <w:t>The relationship is tripartite. The principal is the enterprise whose obligation is secured; the ben</w:t>
      </w:r>
      <w:r w:rsidRPr="0040485A">
        <w:rPr>
          <w:rFonts w:cs="Times New Roman"/>
        </w:rPr>
        <w:t>eficiary is the counterparty in whose favour the undertaking is issued, typically a project owner, procuring entity or supplier; and the guarantor is the bank. A defining characteristic, codified in the ICC Uniform Rules for Demand Guarantees (URDG 758) an</w:t>
      </w:r>
      <w:r w:rsidRPr="0040485A">
        <w:rPr>
          <w:rFonts w:cs="Times New Roman"/>
        </w:rPr>
        <w:t>d analysed at length by Bertrams (2013), is the principle of independence: the guarantee constitutes an obligation separate from the underlying commercial contract, so the bank cannot refuse payment by invoking disputes between principal and beneficiary. T</w:t>
      </w:r>
      <w:r w:rsidRPr="0040485A">
        <w:rPr>
          <w:rFonts w:cs="Times New Roman"/>
        </w:rPr>
        <w:t>his autonomy is what gives the instrument its commercial value, since the beneficiary obtains a claim against a bank rather than against a trading partner whose solvency it cannot assess.</w:t>
      </w:r>
    </w:p>
    <w:p w14:paraId="5C885030" w14:textId="77777777" w:rsidR="00994AE3" w:rsidRPr="0040485A" w:rsidRDefault="008064C0">
      <w:pPr>
        <w:spacing w:after="160" w:line="360" w:lineRule="auto"/>
        <w:ind w:firstLine="360"/>
        <w:jc w:val="both"/>
        <w:rPr>
          <w:rFonts w:cs="Times New Roman"/>
        </w:rPr>
      </w:pPr>
      <w:r w:rsidRPr="0040485A">
        <w:rPr>
          <w:rFonts w:cs="Times New Roman"/>
        </w:rPr>
        <w:t>From the enterprise's perspective the instrument performs three econ</w:t>
      </w:r>
      <w:r w:rsidRPr="0040485A">
        <w:rPr>
          <w:rFonts w:cs="Times New Roman"/>
        </w:rPr>
        <w:t xml:space="preserve">omic functions. It substitutes institutional creditworthiness for the enterprise's own, allowing a firm without an established reputation to contract with counterparties who would otherwise decline the risk. It conserves working capital, since a guarantee </w:t>
      </w:r>
      <w:r w:rsidRPr="0040485A">
        <w:rPr>
          <w:rFonts w:cs="Times New Roman"/>
        </w:rPr>
        <w:t xml:space="preserve">replaces the cash deposit that a beneficiary would </w:t>
      </w:r>
      <w:r w:rsidRPr="0040485A">
        <w:rPr>
          <w:rFonts w:cs="Times New Roman"/>
        </w:rPr>
        <w:lastRenderedPageBreak/>
        <w:t>otherwise demand; for a contractor simultaneously executing several projects, the liquidity released is substantial. And it transfers non-performance risk to a party equipped to price and absorb it.</w:t>
      </w:r>
    </w:p>
    <w:p w14:paraId="74792C22" w14:textId="77777777" w:rsidR="00994AE3" w:rsidRPr="0040485A" w:rsidRDefault="008064C0">
      <w:pPr>
        <w:spacing w:after="160" w:line="360" w:lineRule="auto"/>
        <w:ind w:firstLine="360"/>
        <w:jc w:val="both"/>
        <w:rPr>
          <w:rFonts w:cs="Times New Roman"/>
        </w:rPr>
      </w:pPr>
      <w:r w:rsidRPr="0040485A">
        <w:rPr>
          <w:rFonts w:cs="Times New Roman"/>
        </w:rPr>
        <w:t>From t</w:t>
      </w:r>
      <w:r w:rsidRPr="0040485A">
        <w:rPr>
          <w:rFonts w:cs="Times New Roman"/>
        </w:rPr>
        <w:t>he bank's perspective the economics are distinctive in ways that shape competitive behaviour in this segment. At issuance the bank disburses no funds; it assumes a contingent liability recorded off the balance sheet, which converts into an on-balance-sheet</w:t>
      </w:r>
      <w:r w:rsidRPr="0040485A">
        <w:rPr>
          <w:rFonts w:cs="Times New Roman"/>
        </w:rPr>
        <w:t xml:space="preserve"> claim only if the guarantee is called and the bank pays. The instrument therefore generates fee income without funding cost, producing non-interest revenue that is insulated from the interest margin compression to which lending is exposed. Because the exp</w:t>
      </w:r>
      <w:r w:rsidRPr="0040485A">
        <w:rPr>
          <w:rFonts w:cs="Times New Roman"/>
        </w:rPr>
        <w:t>osure is contingent rather than drawn, it also consumes less regulatory capital than a funded loan of equivalent face value, the difference being governed by the applicable credit conversion factor. And the guarantee limit anchors the enterprise into a con</w:t>
      </w:r>
      <w:r w:rsidRPr="0040485A">
        <w:rPr>
          <w:rFonts w:cs="Times New Roman"/>
        </w:rPr>
        <w:t>tinuing credit relationship, creating opportunities to cross-sell deposit, payment, foreign exchange and trade finance products.</w:t>
      </w:r>
    </w:p>
    <w:p w14:paraId="679F15C0" w14:textId="77777777" w:rsidR="00994AE3" w:rsidRPr="0040485A" w:rsidRDefault="008064C0">
      <w:pPr>
        <w:spacing w:after="160" w:line="360" w:lineRule="auto"/>
        <w:ind w:firstLine="360"/>
        <w:jc w:val="both"/>
        <w:rPr>
          <w:rFonts w:cs="Times New Roman"/>
        </w:rPr>
      </w:pPr>
      <w:r w:rsidRPr="0040485A">
        <w:rPr>
          <w:rFonts w:cs="Times New Roman"/>
        </w:rPr>
        <w:t xml:space="preserve">These properties explain why the segment is contested. A product that earns fees, consumes little capital and secures the </w:t>
      </w:r>
      <w:r w:rsidRPr="0040485A">
        <w:rPr>
          <w:rFonts w:cs="Times New Roman"/>
        </w:rPr>
        <w:t xml:space="preserve">client relationship is attractive to every commercial bank, while the enterprise faces low switching costs: obtaining a guarantee from a different bank requires no unwinding of an existing facility and can be arranged for a single transaction. Competition </w:t>
      </w:r>
      <w:r w:rsidRPr="0040485A">
        <w:rPr>
          <w:rFonts w:cs="Times New Roman"/>
        </w:rPr>
        <w:t>is therefore exercised simultaneously on fee levels, approval speed, collateral requirements and, increasingly, digital channel capability. Identifying which of these dimensions actually drives the enterprise's choice is the empirical problem this thesis a</w:t>
      </w:r>
      <w:r w:rsidRPr="0040485A">
        <w:rPr>
          <w:rFonts w:cs="Times New Roman"/>
        </w:rPr>
        <w:t>ddresses.</w:t>
      </w:r>
    </w:p>
    <w:p w14:paraId="5D125B43" w14:textId="77777777" w:rsidR="00994AE3" w:rsidRPr="0040485A" w:rsidRDefault="008064C0">
      <w:pPr>
        <w:spacing w:after="160" w:line="360" w:lineRule="auto"/>
        <w:ind w:firstLine="360"/>
        <w:jc w:val="both"/>
        <w:rPr>
          <w:rFonts w:cs="Times New Roman"/>
        </w:rPr>
      </w:pPr>
      <w:r w:rsidRPr="0040485A">
        <w:rPr>
          <w:rFonts w:cs="Times New Roman"/>
        </w:rPr>
        <w:t>Carletti, Leonello and Marquez (2023) supply a necessary counterweight to this account by showing that guarantee arrangements alter the incentives of the issuing bank itself, potentially weakening the rigour of its underwriting. Their analysis is</w:t>
      </w:r>
      <w:r w:rsidRPr="0040485A">
        <w:rPr>
          <w:rFonts w:cs="Times New Roman"/>
        </w:rPr>
        <w:t xml:space="preserve"> a reminder that the competitive pressures described above operate on a product whose risk is contingent and therefore easy to underprice, which is why the fee and collateral dimensions examined in this thesis carry prudential as well as commercial signifi</w:t>
      </w:r>
      <w:r w:rsidRPr="0040485A">
        <w:rPr>
          <w:rFonts w:cs="Times New Roman"/>
        </w:rPr>
        <w:t>cance.</w:t>
      </w:r>
    </w:p>
    <w:p w14:paraId="2444047D"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2.1.2. Main Types of Corporate Bank Guarantees</w:t>
      </w:r>
    </w:p>
    <w:p w14:paraId="606CFF82" w14:textId="77777777" w:rsidR="00994AE3" w:rsidRPr="0040485A" w:rsidRDefault="008064C0">
      <w:pPr>
        <w:spacing w:after="160" w:line="360" w:lineRule="auto"/>
        <w:ind w:firstLine="360"/>
        <w:jc w:val="both"/>
        <w:rPr>
          <w:rFonts w:cs="Times New Roman"/>
        </w:rPr>
      </w:pPr>
      <w:r w:rsidRPr="0040485A">
        <w:rPr>
          <w:rFonts w:cs="Times New Roman"/>
        </w:rPr>
        <w:t>Vietnamese commercial banks issue guarantees across a range of product lines, each attaching to a distinct stage of the commercial or construction cycle. The distinction matters for this study because t</w:t>
      </w:r>
      <w:r w:rsidRPr="0040485A">
        <w:rPr>
          <w:rFonts w:cs="Times New Roman"/>
        </w:rPr>
        <w:t xml:space="preserve">he attributes an enterprise values may depend on which product it </w:t>
      </w:r>
      <w:r w:rsidRPr="0040485A">
        <w:rPr>
          <w:rFonts w:cs="Times New Roman"/>
        </w:rPr>
        <w:lastRenderedPageBreak/>
        <w:t>predominantly uses, a proposition tested through the sub-group analysis described in Section 3.4.7.</w:t>
      </w:r>
    </w:p>
    <w:p w14:paraId="5092FEBC" w14:textId="77777777" w:rsidR="00994AE3" w:rsidRPr="0040485A" w:rsidRDefault="008064C0">
      <w:pPr>
        <w:spacing w:after="80" w:line="360" w:lineRule="auto"/>
        <w:jc w:val="center"/>
        <w:rPr>
          <w:rFonts w:cs="Times New Roman"/>
        </w:rPr>
      </w:pPr>
      <w:r w:rsidRPr="0040485A">
        <w:rPr>
          <w:rFonts w:cs="Times New Roman"/>
          <w:b/>
          <w:sz w:val="22"/>
        </w:rPr>
        <w:t>Table 2.1: Principal corporate bank guarantee products</w:t>
      </w:r>
    </w:p>
    <w:tbl>
      <w:tblPr>
        <w:tblStyle w:val="TableGrid"/>
        <w:tblW w:w="0" w:type="auto"/>
        <w:jc w:val="center"/>
        <w:tblLook w:val="04A0" w:firstRow="1" w:lastRow="0" w:firstColumn="1" w:lastColumn="0" w:noHBand="0" w:noVBand="1"/>
      </w:tblPr>
      <w:tblGrid>
        <w:gridCol w:w="2232"/>
        <w:gridCol w:w="4824"/>
        <w:gridCol w:w="1872"/>
      </w:tblGrid>
      <w:tr w:rsidR="00994AE3" w:rsidRPr="0040485A" w14:paraId="7AAA8B6A" w14:textId="77777777">
        <w:trPr>
          <w:jc w:val="center"/>
        </w:trPr>
        <w:tc>
          <w:tcPr>
            <w:tcW w:w="2232" w:type="dxa"/>
            <w:shd w:val="clear" w:color="auto" w:fill="D9D9D9"/>
          </w:tcPr>
          <w:p w14:paraId="32434A57" w14:textId="77777777" w:rsidR="00994AE3" w:rsidRPr="0040485A" w:rsidRDefault="008064C0">
            <w:pPr>
              <w:spacing w:after="40" w:line="240" w:lineRule="auto"/>
              <w:jc w:val="center"/>
              <w:rPr>
                <w:rFonts w:cs="Times New Roman"/>
              </w:rPr>
            </w:pPr>
            <w:r w:rsidRPr="0040485A">
              <w:rPr>
                <w:rFonts w:cs="Times New Roman"/>
                <w:b/>
                <w:sz w:val="19"/>
              </w:rPr>
              <w:t>Product</w:t>
            </w:r>
          </w:p>
        </w:tc>
        <w:tc>
          <w:tcPr>
            <w:tcW w:w="4824" w:type="dxa"/>
            <w:shd w:val="clear" w:color="auto" w:fill="D9D9D9"/>
          </w:tcPr>
          <w:p w14:paraId="5A87AF7D" w14:textId="77777777" w:rsidR="00994AE3" w:rsidRPr="0040485A" w:rsidRDefault="008064C0">
            <w:pPr>
              <w:spacing w:after="40" w:line="240" w:lineRule="auto"/>
              <w:jc w:val="center"/>
              <w:rPr>
                <w:rFonts w:cs="Times New Roman"/>
              </w:rPr>
            </w:pPr>
            <w:r w:rsidRPr="0040485A">
              <w:rPr>
                <w:rFonts w:cs="Times New Roman"/>
                <w:b/>
                <w:sz w:val="19"/>
              </w:rPr>
              <w:t>Function</w:t>
            </w:r>
          </w:p>
        </w:tc>
        <w:tc>
          <w:tcPr>
            <w:tcW w:w="1872" w:type="dxa"/>
            <w:shd w:val="clear" w:color="auto" w:fill="D9D9D9"/>
          </w:tcPr>
          <w:p w14:paraId="22643DFB" w14:textId="77777777" w:rsidR="00994AE3" w:rsidRPr="0040485A" w:rsidRDefault="008064C0">
            <w:pPr>
              <w:spacing w:after="40" w:line="240" w:lineRule="auto"/>
              <w:jc w:val="center"/>
              <w:rPr>
                <w:rFonts w:cs="Times New Roman"/>
              </w:rPr>
            </w:pPr>
            <w:r w:rsidRPr="0040485A">
              <w:rPr>
                <w:rFonts w:cs="Times New Roman"/>
                <w:b/>
                <w:sz w:val="19"/>
              </w:rPr>
              <w:t>Typical stage</w:t>
            </w:r>
          </w:p>
        </w:tc>
      </w:tr>
      <w:tr w:rsidR="00994AE3" w:rsidRPr="0040485A" w14:paraId="4F454CE2" w14:textId="77777777">
        <w:trPr>
          <w:jc w:val="center"/>
        </w:trPr>
        <w:tc>
          <w:tcPr>
            <w:tcW w:w="2232" w:type="dxa"/>
          </w:tcPr>
          <w:p w14:paraId="7BB35B6A" w14:textId="77777777" w:rsidR="00994AE3" w:rsidRPr="0040485A" w:rsidRDefault="008064C0">
            <w:pPr>
              <w:spacing w:after="40" w:line="240" w:lineRule="auto"/>
              <w:rPr>
                <w:rFonts w:cs="Times New Roman"/>
              </w:rPr>
            </w:pPr>
            <w:r w:rsidRPr="0040485A">
              <w:rPr>
                <w:rFonts w:cs="Times New Roman"/>
                <w:sz w:val="19"/>
              </w:rPr>
              <w:t>Tender guarantee (TG)</w:t>
            </w:r>
          </w:p>
        </w:tc>
        <w:tc>
          <w:tcPr>
            <w:tcW w:w="4824" w:type="dxa"/>
          </w:tcPr>
          <w:p w14:paraId="2AC6DFBB" w14:textId="77777777" w:rsidR="00994AE3" w:rsidRPr="0040485A" w:rsidRDefault="008064C0">
            <w:pPr>
              <w:spacing w:after="40" w:line="240" w:lineRule="auto"/>
              <w:rPr>
                <w:rFonts w:cs="Times New Roman"/>
              </w:rPr>
            </w:pPr>
            <w:r w:rsidRPr="0040485A">
              <w:rPr>
                <w:rFonts w:cs="Times New Roman"/>
                <w:sz w:val="19"/>
              </w:rPr>
              <w:t>Secures the bidder's commitment to maintain its bid and to sign the contract if awarded</w:t>
            </w:r>
          </w:p>
        </w:tc>
        <w:tc>
          <w:tcPr>
            <w:tcW w:w="1872" w:type="dxa"/>
          </w:tcPr>
          <w:p w14:paraId="2A81C3E7" w14:textId="77777777" w:rsidR="00994AE3" w:rsidRPr="0040485A" w:rsidRDefault="008064C0">
            <w:pPr>
              <w:spacing w:after="40" w:line="240" w:lineRule="auto"/>
              <w:jc w:val="center"/>
              <w:rPr>
                <w:rFonts w:cs="Times New Roman"/>
              </w:rPr>
            </w:pPr>
            <w:r w:rsidRPr="0040485A">
              <w:rPr>
                <w:rFonts w:cs="Times New Roman"/>
                <w:sz w:val="19"/>
              </w:rPr>
              <w:t>Bid submission</w:t>
            </w:r>
          </w:p>
        </w:tc>
      </w:tr>
      <w:tr w:rsidR="00994AE3" w:rsidRPr="0040485A" w14:paraId="7E24A0DA" w14:textId="77777777">
        <w:trPr>
          <w:jc w:val="center"/>
        </w:trPr>
        <w:tc>
          <w:tcPr>
            <w:tcW w:w="2232" w:type="dxa"/>
          </w:tcPr>
          <w:p w14:paraId="30A35D62" w14:textId="77777777" w:rsidR="00994AE3" w:rsidRPr="0040485A" w:rsidRDefault="008064C0">
            <w:pPr>
              <w:spacing w:after="40" w:line="240" w:lineRule="auto"/>
              <w:rPr>
                <w:rFonts w:cs="Times New Roman"/>
              </w:rPr>
            </w:pPr>
            <w:r w:rsidRPr="0040485A">
              <w:rPr>
                <w:rFonts w:cs="Times New Roman"/>
                <w:sz w:val="19"/>
              </w:rPr>
              <w:t>Performance guarantee (PG)</w:t>
            </w:r>
          </w:p>
        </w:tc>
        <w:tc>
          <w:tcPr>
            <w:tcW w:w="4824" w:type="dxa"/>
          </w:tcPr>
          <w:p w14:paraId="064245EE" w14:textId="77777777" w:rsidR="00994AE3" w:rsidRPr="0040485A" w:rsidRDefault="008064C0">
            <w:pPr>
              <w:spacing w:after="40" w:line="240" w:lineRule="auto"/>
              <w:rPr>
                <w:rFonts w:cs="Times New Roman"/>
              </w:rPr>
            </w:pPr>
            <w:r w:rsidRPr="0040485A">
              <w:rPr>
                <w:rFonts w:cs="Times New Roman"/>
                <w:sz w:val="19"/>
              </w:rPr>
              <w:t>Secures the contractor's performance of its obligations under the signed contract</w:t>
            </w:r>
          </w:p>
        </w:tc>
        <w:tc>
          <w:tcPr>
            <w:tcW w:w="1872" w:type="dxa"/>
          </w:tcPr>
          <w:p w14:paraId="37818052" w14:textId="77777777" w:rsidR="00994AE3" w:rsidRPr="0040485A" w:rsidRDefault="008064C0">
            <w:pPr>
              <w:spacing w:after="40" w:line="240" w:lineRule="auto"/>
              <w:jc w:val="center"/>
              <w:rPr>
                <w:rFonts w:cs="Times New Roman"/>
              </w:rPr>
            </w:pPr>
            <w:r w:rsidRPr="0040485A">
              <w:rPr>
                <w:rFonts w:cs="Times New Roman"/>
                <w:sz w:val="19"/>
              </w:rPr>
              <w:t xml:space="preserve">Contract </w:t>
            </w:r>
            <w:r w:rsidRPr="0040485A">
              <w:rPr>
                <w:rFonts w:cs="Times New Roman"/>
                <w:sz w:val="19"/>
              </w:rPr>
              <w:t>execution</w:t>
            </w:r>
          </w:p>
        </w:tc>
      </w:tr>
      <w:tr w:rsidR="00994AE3" w:rsidRPr="0040485A" w14:paraId="2FBAF561" w14:textId="77777777">
        <w:trPr>
          <w:jc w:val="center"/>
        </w:trPr>
        <w:tc>
          <w:tcPr>
            <w:tcW w:w="2232" w:type="dxa"/>
          </w:tcPr>
          <w:p w14:paraId="5E3BCDF2" w14:textId="77777777" w:rsidR="00994AE3" w:rsidRPr="0040485A" w:rsidRDefault="008064C0">
            <w:pPr>
              <w:spacing w:after="40" w:line="240" w:lineRule="auto"/>
              <w:rPr>
                <w:rFonts w:cs="Times New Roman"/>
              </w:rPr>
            </w:pPr>
            <w:r w:rsidRPr="0040485A">
              <w:rPr>
                <w:rFonts w:cs="Times New Roman"/>
                <w:sz w:val="19"/>
              </w:rPr>
              <w:t>Advance payment guarantee (APG)</w:t>
            </w:r>
          </w:p>
        </w:tc>
        <w:tc>
          <w:tcPr>
            <w:tcW w:w="4824" w:type="dxa"/>
          </w:tcPr>
          <w:p w14:paraId="37589568" w14:textId="77777777" w:rsidR="00994AE3" w:rsidRPr="0040485A" w:rsidRDefault="008064C0">
            <w:pPr>
              <w:spacing w:after="40" w:line="240" w:lineRule="auto"/>
              <w:rPr>
                <w:rFonts w:cs="Times New Roman"/>
              </w:rPr>
            </w:pPr>
            <w:r w:rsidRPr="0040485A">
              <w:rPr>
                <w:rFonts w:cs="Times New Roman"/>
                <w:sz w:val="19"/>
              </w:rPr>
              <w:t>Secures repayment of an advance released by the employer before work is performed</w:t>
            </w:r>
          </w:p>
        </w:tc>
        <w:tc>
          <w:tcPr>
            <w:tcW w:w="1872" w:type="dxa"/>
          </w:tcPr>
          <w:p w14:paraId="5C687E1D" w14:textId="77777777" w:rsidR="00994AE3" w:rsidRPr="0040485A" w:rsidRDefault="008064C0">
            <w:pPr>
              <w:spacing w:after="40" w:line="240" w:lineRule="auto"/>
              <w:jc w:val="center"/>
              <w:rPr>
                <w:rFonts w:cs="Times New Roman"/>
              </w:rPr>
            </w:pPr>
            <w:r w:rsidRPr="0040485A">
              <w:rPr>
                <w:rFonts w:cs="Times New Roman"/>
                <w:sz w:val="19"/>
              </w:rPr>
              <w:t>Contract commencement</w:t>
            </w:r>
          </w:p>
        </w:tc>
      </w:tr>
      <w:tr w:rsidR="00994AE3" w:rsidRPr="0040485A" w14:paraId="04C60E51" w14:textId="77777777">
        <w:trPr>
          <w:jc w:val="center"/>
        </w:trPr>
        <w:tc>
          <w:tcPr>
            <w:tcW w:w="2232" w:type="dxa"/>
          </w:tcPr>
          <w:p w14:paraId="326451B9" w14:textId="77777777" w:rsidR="00994AE3" w:rsidRPr="0040485A" w:rsidRDefault="008064C0">
            <w:pPr>
              <w:spacing w:after="40" w:line="240" w:lineRule="auto"/>
              <w:rPr>
                <w:rFonts w:cs="Times New Roman"/>
              </w:rPr>
            </w:pPr>
            <w:r w:rsidRPr="0040485A">
              <w:rPr>
                <w:rFonts w:cs="Times New Roman"/>
                <w:sz w:val="19"/>
              </w:rPr>
              <w:t>Payment guarantee (BG)</w:t>
            </w:r>
          </w:p>
        </w:tc>
        <w:tc>
          <w:tcPr>
            <w:tcW w:w="4824" w:type="dxa"/>
          </w:tcPr>
          <w:p w14:paraId="4D9FE49F" w14:textId="77777777" w:rsidR="00994AE3" w:rsidRPr="0040485A" w:rsidRDefault="008064C0">
            <w:pPr>
              <w:spacing w:after="40" w:line="240" w:lineRule="auto"/>
              <w:rPr>
                <w:rFonts w:cs="Times New Roman"/>
              </w:rPr>
            </w:pPr>
            <w:r w:rsidRPr="0040485A">
              <w:rPr>
                <w:rFonts w:cs="Times New Roman"/>
                <w:sz w:val="19"/>
              </w:rPr>
              <w:t>Secures the buyer's payment obligation towards the seller or supplier</w:t>
            </w:r>
          </w:p>
        </w:tc>
        <w:tc>
          <w:tcPr>
            <w:tcW w:w="1872" w:type="dxa"/>
          </w:tcPr>
          <w:p w14:paraId="0A128D5E" w14:textId="77777777" w:rsidR="00994AE3" w:rsidRPr="0040485A" w:rsidRDefault="008064C0">
            <w:pPr>
              <w:spacing w:after="40" w:line="240" w:lineRule="auto"/>
              <w:jc w:val="center"/>
              <w:rPr>
                <w:rFonts w:cs="Times New Roman"/>
              </w:rPr>
            </w:pPr>
            <w:r w:rsidRPr="0040485A">
              <w:rPr>
                <w:rFonts w:cs="Times New Roman"/>
                <w:sz w:val="19"/>
              </w:rPr>
              <w:t>Trade settlemen</w:t>
            </w:r>
            <w:r w:rsidRPr="0040485A">
              <w:rPr>
                <w:rFonts w:cs="Times New Roman"/>
                <w:sz w:val="19"/>
              </w:rPr>
              <w:t>t</w:t>
            </w:r>
          </w:p>
        </w:tc>
      </w:tr>
      <w:tr w:rsidR="00994AE3" w:rsidRPr="0040485A" w14:paraId="5F0E10E2" w14:textId="77777777">
        <w:trPr>
          <w:jc w:val="center"/>
        </w:trPr>
        <w:tc>
          <w:tcPr>
            <w:tcW w:w="2232" w:type="dxa"/>
          </w:tcPr>
          <w:p w14:paraId="3D1FF19F" w14:textId="77777777" w:rsidR="00994AE3" w:rsidRPr="0040485A" w:rsidRDefault="008064C0">
            <w:pPr>
              <w:spacing w:after="40" w:line="240" w:lineRule="auto"/>
              <w:rPr>
                <w:rFonts w:cs="Times New Roman"/>
              </w:rPr>
            </w:pPr>
            <w:r w:rsidRPr="0040485A">
              <w:rPr>
                <w:rFonts w:cs="Times New Roman"/>
                <w:sz w:val="19"/>
              </w:rPr>
              <w:t>Warranty guarantee</w:t>
            </w:r>
          </w:p>
        </w:tc>
        <w:tc>
          <w:tcPr>
            <w:tcW w:w="4824" w:type="dxa"/>
          </w:tcPr>
          <w:p w14:paraId="0D854372" w14:textId="77777777" w:rsidR="00994AE3" w:rsidRPr="0040485A" w:rsidRDefault="008064C0">
            <w:pPr>
              <w:spacing w:after="40" w:line="240" w:lineRule="auto"/>
              <w:rPr>
                <w:rFonts w:cs="Times New Roman"/>
              </w:rPr>
            </w:pPr>
            <w:r w:rsidRPr="0040485A">
              <w:rPr>
                <w:rFonts w:cs="Times New Roman"/>
                <w:sz w:val="19"/>
              </w:rPr>
              <w:t>Secures rectification obligations during the defects liability period</w:t>
            </w:r>
          </w:p>
        </w:tc>
        <w:tc>
          <w:tcPr>
            <w:tcW w:w="1872" w:type="dxa"/>
          </w:tcPr>
          <w:p w14:paraId="4C79285B" w14:textId="77777777" w:rsidR="00994AE3" w:rsidRPr="0040485A" w:rsidRDefault="008064C0">
            <w:pPr>
              <w:spacing w:after="40" w:line="240" w:lineRule="auto"/>
              <w:jc w:val="center"/>
              <w:rPr>
                <w:rFonts w:cs="Times New Roman"/>
              </w:rPr>
            </w:pPr>
            <w:r w:rsidRPr="0040485A">
              <w:rPr>
                <w:rFonts w:cs="Times New Roman"/>
                <w:sz w:val="19"/>
              </w:rPr>
              <w:t>Post-completion</w:t>
            </w:r>
          </w:p>
        </w:tc>
      </w:tr>
      <w:tr w:rsidR="00994AE3" w:rsidRPr="0040485A" w14:paraId="23057383" w14:textId="77777777">
        <w:trPr>
          <w:jc w:val="center"/>
        </w:trPr>
        <w:tc>
          <w:tcPr>
            <w:tcW w:w="2232" w:type="dxa"/>
          </w:tcPr>
          <w:p w14:paraId="39AAA889" w14:textId="77777777" w:rsidR="00994AE3" w:rsidRPr="0040485A" w:rsidRDefault="008064C0">
            <w:pPr>
              <w:spacing w:after="40" w:line="240" w:lineRule="auto"/>
              <w:rPr>
                <w:rFonts w:cs="Times New Roman"/>
              </w:rPr>
            </w:pPr>
            <w:r w:rsidRPr="0040485A">
              <w:rPr>
                <w:rFonts w:cs="Times New Roman"/>
                <w:sz w:val="19"/>
              </w:rPr>
              <w:t>Counter-guarantee / confirmed guarantee</w:t>
            </w:r>
          </w:p>
        </w:tc>
        <w:tc>
          <w:tcPr>
            <w:tcW w:w="4824" w:type="dxa"/>
          </w:tcPr>
          <w:p w14:paraId="631061F7" w14:textId="77777777" w:rsidR="00994AE3" w:rsidRPr="0040485A" w:rsidRDefault="008064C0">
            <w:pPr>
              <w:spacing w:after="40" w:line="240" w:lineRule="auto"/>
              <w:rPr>
                <w:rFonts w:cs="Times New Roman"/>
              </w:rPr>
            </w:pPr>
            <w:r w:rsidRPr="0040485A">
              <w:rPr>
                <w:rFonts w:cs="Times New Roman"/>
                <w:sz w:val="19"/>
              </w:rPr>
              <w:t>Enables a local bank to instruct a foreign bank to issue a guarantee in favour of an overseas beneficiary</w:t>
            </w:r>
          </w:p>
        </w:tc>
        <w:tc>
          <w:tcPr>
            <w:tcW w:w="1872" w:type="dxa"/>
          </w:tcPr>
          <w:p w14:paraId="068B248A" w14:textId="77777777" w:rsidR="00994AE3" w:rsidRPr="0040485A" w:rsidRDefault="008064C0">
            <w:pPr>
              <w:spacing w:after="40" w:line="240" w:lineRule="auto"/>
              <w:jc w:val="center"/>
              <w:rPr>
                <w:rFonts w:cs="Times New Roman"/>
              </w:rPr>
            </w:pPr>
            <w:r w:rsidRPr="0040485A">
              <w:rPr>
                <w:rFonts w:cs="Times New Roman"/>
                <w:sz w:val="19"/>
              </w:rPr>
              <w:t>C</w:t>
            </w:r>
            <w:r w:rsidRPr="0040485A">
              <w:rPr>
                <w:rFonts w:cs="Times New Roman"/>
                <w:sz w:val="19"/>
              </w:rPr>
              <w:t>ross-border trade</w:t>
            </w:r>
          </w:p>
        </w:tc>
      </w:tr>
    </w:tbl>
    <w:p w14:paraId="232D36F8" w14:textId="77777777" w:rsidR="00994AE3" w:rsidRPr="0040485A" w:rsidRDefault="00994AE3">
      <w:pPr>
        <w:rPr>
          <w:rFonts w:cs="Times New Roman"/>
        </w:rPr>
      </w:pPr>
    </w:p>
    <w:p w14:paraId="18A27B6C"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Circular 61/2024/TT-NHNN, URDG 758 and Bertrams (2013).</w:t>
      </w:r>
    </w:p>
    <w:p w14:paraId="2C65A1F9" w14:textId="77777777" w:rsidR="00994AE3" w:rsidRPr="0040485A" w:rsidRDefault="008064C0">
      <w:pPr>
        <w:spacing w:after="160" w:line="360" w:lineRule="auto"/>
        <w:ind w:firstLine="360"/>
        <w:jc w:val="both"/>
        <w:rPr>
          <w:rFonts w:cs="Times New Roman"/>
        </w:rPr>
      </w:pPr>
      <w:r w:rsidRPr="0040485A">
        <w:rPr>
          <w:rFonts w:cs="Times New Roman"/>
        </w:rPr>
        <w:t xml:space="preserve">Tender and performance guarantees dominate by volume in the Vietnamese market because the Law on Bidding makes them compulsory for public </w:t>
      </w:r>
      <w:r w:rsidRPr="0040485A">
        <w:rPr>
          <w:rFonts w:cs="Times New Roman"/>
        </w:rPr>
        <w:t>procurement, a point developed in the following section. Advance payment guarantees are concentrated in construction, where employers release funds before work is performed. Payment guarantees serve trade transactions where the seller requires assurance of</w:t>
      </w:r>
      <w:r w:rsidRPr="0040485A">
        <w:rPr>
          <w:rFonts w:cs="Times New Roman"/>
        </w:rPr>
        <w:t xml:space="preserve"> settlement. Counter-guarantees arise where the beneficiary is located abroad and will accept only an undertaking from a bank in its own jurisdiction, requiring the Vietnamese bank to act through a correspondent.</w:t>
      </w:r>
    </w:p>
    <w:p w14:paraId="520388B9" w14:textId="77777777" w:rsidR="00994AE3" w:rsidRPr="0040485A" w:rsidRDefault="008064C0">
      <w:pPr>
        <w:spacing w:after="160" w:line="360" w:lineRule="auto"/>
        <w:ind w:firstLine="360"/>
        <w:jc w:val="both"/>
        <w:rPr>
          <w:rFonts w:cs="Times New Roman"/>
        </w:rPr>
      </w:pPr>
      <w:r w:rsidRPr="0040485A">
        <w:rPr>
          <w:rFonts w:cs="Times New Roman"/>
        </w:rPr>
        <w:t>The products differ in the demands they pla</w:t>
      </w:r>
      <w:r w:rsidRPr="0040485A">
        <w:rPr>
          <w:rFonts w:cs="Times New Roman"/>
        </w:rPr>
        <w:t xml:space="preserve">ce on the issuing bank. A tender guarantee is short-dated, modest in amount and acutely time-sensitive, since a bidder who cannot obtain the instrument before the submission deadline is excluded from the tender altogether; speed of issuance is decisive. A </w:t>
      </w:r>
      <w:r w:rsidRPr="0040485A">
        <w:rPr>
          <w:rFonts w:cs="Times New Roman"/>
        </w:rPr>
        <w:t>performance or advance payment guarantee is larger, longer in tenor and more exposed to the risk of being called, so appraisal depth and collateral terms weigh more heavily. Cross-border counter-guarantees require correspondent banking capability and famil</w:t>
      </w:r>
      <w:r w:rsidRPr="0040485A">
        <w:rPr>
          <w:rFonts w:cs="Times New Roman"/>
        </w:rPr>
        <w:t>iarity with international practice. These differences provide the substantive rationale for expecting selection criteria to vary by product line, which Hypothesis H8 tests.</w:t>
      </w:r>
    </w:p>
    <w:p w14:paraId="6CA1150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2.1.3. Legal and Regulatory Framework</w:t>
      </w:r>
    </w:p>
    <w:p w14:paraId="7AB14027" w14:textId="77777777" w:rsidR="00994AE3" w:rsidRPr="0040485A" w:rsidRDefault="008064C0">
      <w:pPr>
        <w:spacing w:after="160" w:line="360" w:lineRule="auto"/>
        <w:ind w:firstLine="360"/>
        <w:jc w:val="both"/>
        <w:rPr>
          <w:rFonts w:cs="Times New Roman"/>
        </w:rPr>
      </w:pPr>
      <w:r w:rsidRPr="0040485A">
        <w:rPr>
          <w:rFonts w:cs="Times New Roman"/>
        </w:rPr>
        <w:t xml:space="preserve">Guarantee operations in Vietnam are governed </w:t>
      </w:r>
      <w:r w:rsidRPr="0040485A">
        <w:rPr>
          <w:rFonts w:cs="Times New Roman"/>
        </w:rPr>
        <w:t xml:space="preserve">by three overlapping bodies of rules: the general civil law of suretyship, the banking regulations issued by the State Bank of Vietnam, and the sectoral legislation that makes guarantees mandatory in particular transactions. International practice applies </w:t>
      </w:r>
      <w:r w:rsidRPr="0040485A">
        <w:rPr>
          <w:rFonts w:cs="Times New Roman"/>
        </w:rPr>
        <w:t>additionally to cross-border instruments.</w:t>
      </w:r>
    </w:p>
    <w:p w14:paraId="7CF70D6D" w14:textId="77777777" w:rsidR="00994AE3" w:rsidRPr="0040485A" w:rsidRDefault="008064C0">
      <w:pPr>
        <w:spacing w:after="160" w:line="360" w:lineRule="auto"/>
        <w:ind w:firstLine="360"/>
        <w:jc w:val="both"/>
        <w:rPr>
          <w:rFonts w:cs="Times New Roman"/>
        </w:rPr>
      </w:pPr>
      <w:r w:rsidRPr="0040485A">
        <w:rPr>
          <w:rFonts w:cs="Times New Roman"/>
        </w:rPr>
        <w:t xml:space="preserve">At the general level, Article 335 of the Civil Code 2015 defines suretyship as an undertaking by a third party to perform an obligation on behalf of the obligor. At the banking level, Circular No. 61/2024/TT-NHNN, </w:t>
      </w:r>
      <w:r w:rsidRPr="0040485A">
        <w:rPr>
          <w:rFonts w:cs="Times New Roman"/>
        </w:rPr>
        <w:t>effective from 1 April 2025 and replacing Circular No. 11/2022/TT-NHNN, sets out the conditions under which credit institutions may issue guarantees, the mandatory content of a letter of guarantee, the obligations of the parties and the procedures governin</w:t>
      </w:r>
      <w:r w:rsidRPr="0040485A">
        <w:rPr>
          <w:rFonts w:cs="Times New Roman"/>
        </w:rPr>
        <w:t>g a demand for payment. Its most consequential innovation for the present study is the recognition of electronic guarantees. By establishing the legal basis on which an instrument issued and authenticated electronically carries the same effect as a paper o</w:t>
      </w:r>
      <w:r w:rsidRPr="0040485A">
        <w:rPr>
          <w:rFonts w:cs="Times New Roman"/>
        </w:rPr>
        <w:t>riginal, the Circular converts digital issuance from an internal efficiency measure into a legally effective channel that a beneficiary must accept. This regulatory change is what makes digital capability a plausible determinant of bank selection rather th</w:t>
      </w:r>
      <w:r w:rsidRPr="0040485A">
        <w:rPr>
          <w:rFonts w:cs="Times New Roman"/>
        </w:rPr>
        <w:t>an a matter of back-office convenience, and it is the basis for including the construct DIGITAL_CONV in the model.</w:t>
      </w:r>
    </w:p>
    <w:p w14:paraId="2CCB1924" w14:textId="77777777" w:rsidR="00994AE3" w:rsidRPr="0040485A" w:rsidRDefault="008064C0">
      <w:pPr>
        <w:spacing w:after="160" w:line="360" w:lineRule="auto"/>
        <w:ind w:firstLine="360"/>
        <w:jc w:val="both"/>
        <w:rPr>
          <w:rFonts w:cs="Times New Roman"/>
        </w:rPr>
      </w:pPr>
      <w:r w:rsidRPr="0040485A">
        <w:rPr>
          <w:rFonts w:cs="Times New Roman"/>
        </w:rPr>
        <w:t>At the sectoral level, the Law on Bidding No. 22/2023/QH15, as amended by Law No. 57/2024/QH15, requires bid security and contract performanc</w:t>
      </w:r>
      <w:r w:rsidRPr="0040485A">
        <w:rPr>
          <w:rFonts w:cs="Times New Roman"/>
        </w:rPr>
        <w:t>e security in public procurement, thereby creating compulsory demand for tender and performance guarantees. Decree No. 37/2015/ND-CP on construction contracts, as amended by Decree No. 35/2023/ND-CP, requires an advance payment guarantee where the employer</w:t>
      </w:r>
      <w:r w:rsidRPr="0040485A">
        <w:rPr>
          <w:rFonts w:cs="Times New Roman"/>
        </w:rPr>
        <w:t xml:space="preserve"> releases an advance above the prescribed threshold. The practical consequence is that for a construction or infrastructure contractor the question is not whether to obtain guarantees but from which bank, which is precisely the decision this thesis models.</w:t>
      </w:r>
    </w:p>
    <w:p w14:paraId="06904E60" w14:textId="77777777" w:rsidR="00994AE3" w:rsidRPr="0040485A" w:rsidRDefault="008064C0">
      <w:pPr>
        <w:spacing w:after="160" w:line="360" w:lineRule="auto"/>
        <w:ind w:firstLine="360"/>
        <w:jc w:val="both"/>
        <w:rPr>
          <w:rFonts w:cs="Times New Roman"/>
        </w:rPr>
      </w:pPr>
      <w:r w:rsidRPr="0040485A">
        <w:rPr>
          <w:rFonts w:cs="Times New Roman"/>
        </w:rPr>
        <w:t>For cross-border transactions the ICC Uniform Rules for Demand Guarantees (URDG 758) apply where the parties incorporate them. URDG 758 codifies the independence and documentary character of the demand guarantee and regulates presentation, examination and</w:t>
      </w:r>
      <w:r w:rsidRPr="0040485A">
        <w:rPr>
          <w:rFonts w:cs="Times New Roman"/>
        </w:rPr>
        <w:t xml:space="preserve"> extend-or-pay demands. Bertrams (2013) provides the authoritative treatment of these rules and of the disputes that arise under them, particularly around unfair or abusive calling, a risk that </w:t>
      </w:r>
      <w:r w:rsidRPr="0040485A">
        <w:rPr>
          <w:rFonts w:cs="Times New Roman"/>
        </w:rPr>
        <w:lastRenderedPageBreak/>
        <w:t>makes the issuing bank's advisory competence commercially valu</w:t>
      </w:r>
      <w:r w:rsidRPr="0040485A">
        <w:rPr>
          <w:rFonts w:cs="Times New Roman"/>
        </w:rPr>
        <w:t xml:space="preserve">able to the principal. In the Vietnamese context Le Van Dung (2021) examines the legal nature of the payment guarantee relationship at credit institutions, characterising it as a form of credit extension whose off-balance-sheet treatment does not diminish </w:t>
      </w:r>
      <w:r w:rsidRPr="0040485A">
        <w:rPr>
          <w:rFonts w:cs="Times New Roman"/>
        </w:rPr>
        <w:t>the obligations it creates.</w:t>
      </w:r>
    </w:p>
    <w:p w14:paraId="691B799C" w14:textId="77777777" w:rsidR="00994AE3" w:rsidRPr="0040485A" w:rsidRDefault="008064C0">
      <w:pPr>
        <w:spacing w:after="160" w:line="360" w:lineRule="auto"/>
        <w:ind w:firstLine="360"/>
        <w:jc w:val="both"/>
        <w:rPr>
          <w:rFonts w:cs="Times New Roman"/>
        </w:rPr>
      </w:pPr>
      <w:r w:rsidRPr="0040485A">
        <w:rPr>
          <w:rFonts w:cs="Times New Roman"/>
        </w:rPr>
        <w:t>Two implications follow for the research model. First, because the legal framework imposes the obligation to provide a guarantee but leaves the choice of issuer entirely free, the selection decision is genuinely discretionary an</w:t>
      </w:r>
      <w:r w:rsidRPr="0040485A">
        <w:rPr>
          <w:rFonts w:cs="Times New Roman"/>
        </w:rPr>
        <w:t>d therefore worth modelling. Second, because compliance with the Law on Bidding, Circular 61/2024 and URDG 758 requires the guarantee wording to be drafted correctly, the issuing bank's legal advisory capability is a service attribute with direct financial</w:t>
      </w:r>
      <w:r w:rsidRPr="0040485A">
        <w:rPr>
          <w:rFonts w:cs="Times New Roman"/>
        </w:rPr>
        <w:t xml:space="preserve"> consequences for the enterprise; this consideration is embedded in the construct STAFF_QUAL rather than treated as a separate dimension.</w:t>
      </w:r>
    </w:p>
    <w:p w14:paraId="5E15537A"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2.2. Theoretical Foundations</w:t>
      </w:r>
    </w:p>
    <w:p w14:paraId="7330482F" w14:textId="77777777" w:rsidR="00994AE3" w:rsidRPr="0040485A" w:rsidRDefault="008064C0">
      <w:pPr>
        <w:spacing w:after="160" w:line="360" w:lineRule="auto"/>
        <w:ind w:firstLine="360"/>
        <w:jc w:val="both"/>
        <w:rPr>
          <w:rFonts w:cs="Times New Roman"/>
        </w:rPr>
      </w:pPr>
      <w:r w:rsidRPr="0040485A">
        <w:rPr>
          <w:rFonts w:cs="Times New Roman"/>
        </w:rPr>
        <w:t>Corporate bank selection is an instance of organisational buying behaviour, and no single</w:t>
      </w:r>
      <w:r w:rsidRPr="0040485A">
        <w:rPr>
          <w:rFonts w:cs="Times New Roman"/>
        </w:rPr>
        <w:t xml:space="preserve"> theory accounts for all the attributes on which enterprises evaluate an issuing bank. This study therefore draws on five bodies of theory, each explaining a distinct group of attributes. Financial intermediation theory explains why the identity of the iss</w:t>
      </w:r>
      <w:r w:rsidRPr="0040485A">
        <w:rPr>
          <w:rFonts w:cs="Times New Roman"/>
        </w:rPr>
        <w:t>uing bank matters at all; credit risk pricing theory explains the fee and collateral dimensions; service quality theory explains the process and personnel dimensions; relationship banking theory explains why existing ties affect terms; and technology accep</w:t>
      </w:r>
      <w:r w:rsidRPr="0040485A">
        <w:rPr>
          <w:rFonts w:cs="Times New Roman"/>
        </w:rPr>
        <w:t>tance theory explains the role of digital channels. Each theory is mapped to one or more constructs in the research model, and no construct is included without theoretical support.</w:t>
      </w:r>
    </w:p>
    <w:p w14:paraId="1E4E1D4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2.2.1. Financial Intermediation &amp; Delegated Monitoring Theory</w:t>
      </w:r>
    </w:p>
    <w:p w14:paraId="35C4E290" w14:textId="77777777" w:rsidR="00994AE3" w:rsidRPr="0040485A" w:rsidRDefault="008064C0">
      <w:pPr>
        <w:spacing w:after="160" w:line="360" w:lineRule="auto"/>
        <w:ind w:firstLine="360"/>
        <w:jc w:val="both"/>
        <w:rPr>
          <w:rFonts w:cs="Times New Roman"/>
        </w:rPr>
      </w:pPr>
      <w:r w:rsidRPr="0040485A">
        <w:rPr>
          <w:rFonts w:cs="Times New Roman"/>
        </w:rPr>
        <w:t>Diamond (1984</w:t>
      </w:r>
      <w:r w:rsidRPr="0040485A">
        <w:rPr>
          <w:rFonts w:cs="Times New Roman"/>
        </w:rPr>
        <w:t>) explains the existence of financial intermediaries through the concept of delegated monitoring. Individual lenders face duplicated costs in monitoring a borrower, and free-riding prevents any one of them from bearing those costs alone. A bank resolves th</w:t>
      </w:r>
      <w:r w:rsidRPr="0040485A">
        <w:rPr>
          <w:rFonts w:cs="Times New Roman"/>
        </w:rPr>
        <w:t>e problem by acting as the delegated monitor for many lenders simultaneously, and diversification across a large portfolio makes the bank's own promise credible without requiring each lender to monitor the bank in turn. Ramakrishnan and Thakor (1984) devel</w:t>
      </w:r>
      <w:r w:rsidRPr="0040485A">
        <w:rPr>
          <w:rFonts w:cs="Times New Roman"/>
        </w:rPr>
        <w:t>op the complementary argument that intermediaries exist to produce and certify information, with reputation serving as the mechanism that makes the certified information believable.</w:t>
      </w:r>
    </w:p>
    <w:p w14:paraId="5D347EA2" w14:textId="77777777" w:rsidR="00994AE3" w:rsidRPr="0040485A" w:rsidRDefault="008064C0">
      <w:pPr>
        <w:spacing w:after="160" w:line="360" w:lineRule="auto"/>
        <w:ind w:firstLine="360"/>
        <w:jc w:val="both"/>
        <w:rPr>
          <w:rFonts w:cs="Times New Roman"/>
        </w:rPr>
      </w:pPr>
      <w:r w:rsidRPr="0040485A">
        <w:rPr>
          <w:rFonts w:cs="Times New Roman"/>
        </w:rPr>
        <w:lastRenderedPageBreak/>
        <w:t>Applied to guarantees, this theory identifies precisely what the instrumen</w:t>
      </w:r>
      <w:r w:rsidRPr="0040485A">
        <w:rPr>
          <w:rFonts w:cs="Times New Roman"/>
        </w:rPr>
        <w:t>t accomplishes. The beneficiary of a letter of guarantee cannot assess the principal's ability to perform; assessing it would require exactly the monitoring capability the beneficiary lacks. By accepting a guarantee the beneficiary substitutes a claim agai</w:t>
      </w:r>
      <w:r w:rsidRPr="0040485A">
        <w:rPr>
          <w:rFonts w:cs="Times New Roman"/>
        </w:rPr>
        <w:t xml:space="preserve">nst an institution whose creditworthiness is publicly observable for a claim against a counterparty whose creditworthiness is not. The bank, having appraised the principal and priced the exposure, is the delegated monitor; its reputation is what makes the </w:t>
      </w:r>
      <w:r w:rsidRPr="0040485A">
        <w:rPr>
          <w:rFonts w:cs="Times New Roman"/>
        </w:rPr>
        <w:t>substitution acceptable.</w:t>
      </w:r>
    </w:p>
    <w:p w14:paraId="41EB0244" w14:textId="77777777" w:rsidR="00994AE3" w:rsidRPr="0040485A" w:rsidRDefault="008064C0">
      <w:pPr>
        <w:spacing w:after="160" w:line="360" w:lineRule="auto"/>
        <w:ind w:firstLine="360"/>
        <w:jc w:val="both"/>
        <w:rPr>
          <w:rFonts w:cs="Times New Roman"/>
        </w:rPr>
      </w:pPr>
      <w:r w:rsidRPr="0040485A">
        <w:rPr>
          <w:rFonts w:cs="Times New Roman"/>
        </w:rPr>
        <w:t>Two consequences follow for the research model. First, the standing of the issuing bank is not an incidental attribute of the service but constitutive of the product: a guarantee is valuable to the principal only to the extent that</w:t>
      </w:r>
      <w:r w:rsidRPr="0040485A">
        <w:rPr>
          <w:rFonts w:cs="Times New Roman"/>
        </w:rPr>
        <w:t xml:space="preserve"> the beneficiary accepts the issuer. Where a beneficiary declines an instrument from a lesser-known bank, the enterprise must approach an institution the beneficiary recognises, whatever the fee difference. Second, reputation in this sense is conceptually </w:t>
      </w:r>
      <w:r w:rsidRPr="0040485A">
        <w:rPr>
          <w:rFonts w:cs="Times New Roman"/>
        </w:rPr>
        <w:t xml:space="preserve">distinct from operational reliability. Reliability in the service quality literature concerns whether a provider delivers dependably on its promises to the customer; institutional reputation here concerns whether a third party who is not the customer will </w:t>
      </w:r>
      <w:r w:rsidRPr="0040485A">
        <w:rPr>
          <w:rFonts w:cs="Times New Roman"/>
        </w:rPr>
        <w:t>accept the bank's undertaking at all. The construct BANK_REP therefore enters the model on its own theoretical footing rather than as a component of service quality, a distinction that the supervisor's guidance made explicit and that Section 2.2.3 revisits</w:t>
      </w:r>
      <w:r w:rsidRPr="0040485A">
        <w:rPr>
          <w:rFonts w:cs="Times New Roman"/>
        </w:rPr>
        <w:t>.</w:t>
      </w:r>
    </w:p>
    <w:p w14:paraId="6FC2B6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2.2.2. Credit Risk Pricing &amp; Contingent Claim Theory</w:t>
      </w:r>
    </w:p>
    <w:p w14:paraId="1BDB929D" w14:textId="77777777" w:rsidR="00994AE3" w:rsidRPr="0040485A" w:rsidRDefault="008064C0">
      <w:pPr>
        <w:spacing w:after="160" w:line="360" w:lineRule="auto"/>
        <w:ind w:firstLine="360"/>
        <w:jc w:val="both"/>
        <w:rPr>
          <w:rFonts w:cs="Times New Roman"/>
        </w:rPr>
      </w:pPr>
      <w:r w:rsidRPr="0040485A">
        <w:rPr>
          <w:rFonts w:cs="Times New Roman"/>
        </w:rPr>
        <w:t>Merton (1974) models risky corporate debt as a contingent claim whose value depends on the probability that the borrowing firm's asset value falls below its obligations, establishing the principle that</w:t>
      </w:r>
      <w:r w:rsidRPr="0040485A">
        <w:rPr>
          <w:rFonts w:cs="Times New Roman"/>
        </w:rPr>
        <w:t xml:space="preserve"> the premium a lender requires is a function of default probability, exposure and the value of any security. A bank guarantee is a contingent claim in the literal sense: the bank's obligation crystallises only in the state of the world in which the princip</w:t>
      </w:r>
      <w:r w:rsidRPr="0040485A">
        <w:rPr>
          <w:rFonts w:cs="Times New Roman"/>
        </w:rPr>
        <w:t>al fails to perform. The fee is accordingly the price of a contingent exposure, and cash margin and collateral reduce the loss the bank incurs in that state.</w:t>
      </w:r>
    </w:p>
    <w:p w14:paraId="51944FC0" w14:textId="77777777" w:rsidR="00994AE3" w:rsidRPr="0040485A" w:rsidRDefault="008064C0">
      <w:pPr>
        <w:spacing w:after="160" w:line="360" w:lineRule="auto"/>
        <w:ind w:firstLine="360"/>
        <w:jc w:val="both"/>
        <w:rPr>
          <w:rFonts w:cs="Times New Roman"/>
        </w:rPr>
      </w:pPr>
      <w:r w:rsidRPr="0040485A">
        <w:rPr>
          <w:rFonts w:cs="Times New Roman"/>
        </w:rPr>
        <w:t>Stiglitz and Weiss (1981) add the information-theoretic dimension. Where the lender cannot observe</w:t>
      </w:r>
      <w:r w:rsidRPr="0040485A">
        <w:rPr>
          <w:rFonts w:cs="Times New Roman"/>
        </w:rPr>
        <w:t xml:space="preserve"> borrower quality, raising the price does not simply compensate for risk but changes the composition of applicants, since the safest borrowers withdraw first; lenders therefore ration credit through non-price terms rather than clearing the market on price </w:t>
      </w:r>
      <w:r w:rsidRPr="0040485A">
        <w:rPr>
          <w:rFonts w:cs="Times New Roman"/>
        </w:rPr>
        <w:t xml:space="preserve">alone. In guarantee </w:t>
      </w:r>
      <w:r w:rsidRPr="0040485A">
        <w:rPr>
          <w:rFonts w:cs="Times New Roman"/>
        </w:rPr>
        <w:lastRenderedPageBreak/>
        <w:t>operations this appears as the margin ratio and collateral requirement: a bank confronting an applicant it cannot fully assess tightens security rather than simply charging more.</w:t>
      </w:r>
    </w:p>
    <w:p w14:paraId="41C453DD" w14:textId="77777777" w:rsidR="00994AE3" w:rsidRPr="0040485A" w:rsidRDefault="008064C0">
      <w:pPr>
        <w:spacing w:after="160" w:line="360" w:lineRule="auto"/>
        <w:ind w:firstLine="360"/>
        <w:jc w:val="both"/>
        <w:rPr>
          <w:rFonts w:cs="Times New Roman"/>
        </w:rPr>
      </w:pPr>
      <w:r w:rsidRPr="0040485A">
        <w:rPr>
          <w:rFonts w:cs="Times New Roman"/>
        </w:rPr>
        <w:t>The theory supports two constructs and fixes their interp</w:t>
      </w:r>
      <w:r w:rsidRPr="0040485A">
        <w:rPr>
          <w:rFonts w:cs="Times New Roman"/>
        </w:rPr>
        <w:t>retation. Fee competitiveness (COST_COMP) is the price dimension, and collateral and margin flexibility (COLL_POLICY) is the non-price dimension; both are terms on which banks compete for the same exposure. The theory also clarifies why the two are substit</w:t>
      </w:r>
      <w:r w:rsidRPr="0040485A">
        <w:rPr>
          <w:rFonts w:cs="Times New Roman"/>
        </w:rPr>
        <w:t>utes from the enterprise's standpoint, since a low headline fee combined with a demanding margin requirement may be less attractive than the reverse once the opportunity cost of locked-up cash is taken into account. This is why the questionnaire measures t</w:t>
      </w:r>
      <w:r w:rsidRPr="0040485A">
        <w:rPr>
          <w:rFonts w:cs="Times New Roman"/>
        </w:rPr>
        <w:t>he perceived reasonableness and competitiveness of the fee rather than its absolute level: the enterprise's evaluation already embeds the trade-off between the two dimensions, which a nominal fee figure would not capture.</w:t>
      </w:r>
    </w:p>
    <w:p w14:paraId="23D21A5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2.2.3. Service Quality </w:t>
      </w:r>
      <w:r w:rsidRPr="0040485A">
        <w:rPr>
          <w:rFonts w:ascii="Times New Roman" w:hAnsi="Times New Roman" w:cs="Times New Roman"/>
        </w:rPr>
        <w:t>Theory &amp; SERVQUAL Model</w:t>
      </w:r>
    </w:p>
    <w:p w14:paraId="4E48E893" w14:textId="77777777" w:rsidR="00994AE3" w:rsidRPr="0040485A" w:rsidRDefault="008064C0">
      <w:pPr>
        <w:spacing w:after="160" w:line="360" w:lineRule="auto"/>
        <w:ind w:firstLine="360"/>
        <w:jc w:val="both"/>
        <w:rPr>
          <w:rFonts w:cs="Times New Roman"/>
        </w:rPr>
      </w:pPr>
      <w:r w:rsidRPr="0040485A">
        <w:rPr>
          <w:rFonts w:cs="Times New Roman"/>
        </w:rPr>
        <w:t xml:space="preserve">Parasuraman, Zeithaml and Berry (1988) developed SERVQUAL to measure perceived service quality across five dimensions: reliability, responsiveness, assurance, empathy and tangibles. The model has become the dominant </w:t>
      </w:r>
      <w:r w:rsidRPr="0040485A">
        <w:rPr>
          <w:rFonts w:cs="Times New Roman"/>
        </w:rPr>
        <w:t>framework for measuring service quality in banking, and its central premise — that quality is the customer's perception rather than a property of the service objectively defined — underlies the use of perceptual Likert measures throughout this study.</w:t>
      </w:r>
    </w:p>
    <w:p w14:paraId="5E0F23FF" w14:textId="77777777" w:rsidR="00994AE3" w:rsidRPr="0040485A" w:rsidRDefault="008064C0">
      <w:pPr>
        <w:spacing w:after="160" w:line="360" w:lineRule="auto"/>
        <w:ind w:firstLine="360"/>
        <w:jc w:val="both"/>
        <w:rPr>
          <w:rFonts w:cs="Times New Roman"/>
        </w:rPr>
      </w:pPr>
      <w:r w:rsidRPr="0040485A">
        <w:rPr>
          <w:rFonts w:cs="Times New Roman"/>
        </w:rPr>
        <w:t>Two S</w:t>
      </w:r>
      <w:r w:rsidRPr="0040485A">
        <w:rPr>
          <w:rFonts w:cs="Times New Roman"/>
        </w:rPr>
        <w:t>ERVQUAL dimensions translate directly into the research model. Responsiveness, the willingness to provide prompt service, corresponds to processing speed (PROC_SPEED), which in the guarantee context has unusually concrete consequences: a tender guarantee d</w:t>
      </w:r>
      <w:r w:rsidRPr="0040485A">
        <w:rPr>
          <w:rFonts w:cs="Times New Roman"/>
        </w:rPr>
        <w:t>elivered after the bid deadline has no value whatever its price. Assurance, the competence of staff and their ability to inspire confidence, corresponds to staff professionalism (STAFF_QUAL), which here encompasses both technical command of guarantee mecha</w:t>
      </w:r>
      <w:r w:rsidRPr="0040485A">
        <w:rPr>
          <w:rFonts w:cs="Times New Roman"/>
        </w:rPr>
        <w:t>nics and the capacity to advise on wording consistent with the Law on Bidding, Circular 61/2024 and URDG 758.</w:t>
      </w:r>
    </w:p>
    <w:p w14:paraId="05E4CA41" w14:textId="77777777" w:rsidR="00994AE3" w:rsidRPr="0040485A" w:rsidRDefault="008064C0">
      <w:pPr>
        <w:spacing w:after="160" w:line="360" w:lineRule="auto"/>
        <w:ind w:firstLine="360"/>
        <w:jc w:val="both"/>
        <w:rPr>
          <w:rFonts w:cs="Times New Roman"/>
        </w:rPr>
      </w:pPr>
      <w:r w:rsidRPr="0040485A">
        <w:rPr>
          <w:rFonts w:cs="Times New Roman"/>
        </w:rPr>
        <w:t>Zeithaml, Berry and Parasuraman (1996) extend the framework to its behavioural consequences, showing that perceived service quality translates int</w:t>
      </w:r>
      <w:r w:rsidRPr="0040485A">
        <w:rPr>
          <w:rFonts w:cs="Times New Roman"/>
        </w:rPr>
        <w:t>o intentions to remain with a provider, to increase the volume of business placed with it, and to recommend it to others. This extension supplies the measurement basis for the dependent construct of this thesis, as Section 2.5 explains.</w:t>
      </w:r>
    </w:p>
    <w:p w14:paraId="352FC035" w14:textId="77777777" w:rsidR="00994AE3" w:rsidRPr="0040485A" w:rsidRDefault="008064C0">
      <w:pPr>
        <w:spacing w:after="160" w:line="360" w:lineRule="auto"/>
        <w:ind w:firstLine="360"/>
        <w:jc w:val="both"/>
        <w:rPr>
          <w:rFonts w:cs="Times New Roman"/>
        </w:rPr>
      </w:pPr>
      <w:r w:rsidRPr="0040485A">
        <w:rPr>
          <w:rFonts w:cs="Times New Roman"/>
        </w:rPr>
        <w:lastRenderedPageBreak/>
        <w:t>Two boundaries of t</w:t>
      </w:r>
      <w:r w:rsidRPr="0040485A">
        <w:rPr>
          <w:rFonts w:cs="Times New Roman"/>
        </w:rPr>
        <w:t>he framework should be stated. First, SERVQUAL measures perceived quality and does not encompass price; the value construct developed in the broader literature treats price as a separate sacrifice dimension weighed against perceived benefit. Fee competitiv</w:t>
      </w:r>
      <w:r w:rsidRPr="0040485A">
        <w:rPr>
          <w:rFonts w:cs="Times New Roman"/>
        </w:rPr>
        <w:t xml:space="preserve">eness in this model therefore rests on credit risk pricing theory rather than on SERVQUAL. Second, institutional reputation is not the SERVQUAL reliability dimension. Reliability concerns dependable delivery to the customer; reputation concerns acceptance </w:t>
      </w:r>
      <w:r w:rsidRPr="0040485A">
        <w:rPr>
          <w:rFonts w:cs="Times New Roman"/>
        </w:rPr>
        <w:t>of the bank's undertaking by a third-party beneficiary. Conflating them would place a construct grounded in intermediation theory inside a service quality dimension it does not belong to, and would obscure the distinct managerial levers each implies.</w:t>
      </w:r>
    </w:p>
    <w:p w14:paraId="03ED8B9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2.2.4</w:t>
      </w:r>
      <w:r w:rsidRPr="0040485A">
        <w:rPr>
          <w:rFonts w:ascii="Times New Roman" w:hAnsi="Times New Roman" w:cs="Times New Roman"/>
        </w:rPr>
        <w:t>. Relationship Banking Theory</w:t>
      </w:r>
    </w:p>
    <w:p w14:paraId="4B12087C" w14:textId="77777777" w:rsidR="00994AE3" w:rsidRPr="0040485A" w:rsidRDefault="008064C0">
      <w:pPr>
        <w:spacing w:after="160" w:line="360" w:lineRule="auto"/>
        <w:ind w:firstLine="360"/>
        <w:jc w:val="both"/>
        <w:rPr>
          <w:rFonts w:cs="Times New Roman"/>
        </w:rPr>
      </w:pPr>
      <w:r w:rsidRPr="0040485A">
        <w:rPr>
          <w:rFonts w:cs="Times New Roman"/>
        </w:rPr>
        <w:t xml:space="preserve">Boot (2000) defines relationship banking as the provision of financial services by an intermediary that invests in obtaining customer-specific information, often proprietary, and evaluates the return on that investment across </w:t>
      </w:r>
      <w:r w:rsidRPr="0040485A">
        <w:rPr>
          <w:rFonts w:cs="Times New Roman"/>
        </w:rPr>
        <w:t xml:space="preserve">multiple products and over time. Berger and Udell (1995) provide the empirical counterpart, showing for small firm credit lines that borrowers with longer relationships obtain more favourable terms, consistent with the proposition that accumulated private </w:t>
      </w:r>
      <w:r w:rsidRPr="0040485A">
        <w:rPr>
          <w:rFonts w:cs="Times New Roman"/>
        </w:rPr>
        <w:t>information reduces the lender's uncertainty and therefore the premium it must charge.</w:t>
      </w:r>
    </w:p>
    <w:p w14:paraId="0DDC5FF5" w14:textId="77777777" w:rsidR="00994AE3" w:rsidRPr="0040485A" w:rsidRDefault="008064C0">
      <w:pPr>
        <w:spacing w:after="160" w:line="360" w:lineRule="auto"/>
        <w:ind w:firstLine="360"/>
        <w:jc w:val="both"/>
        <w:rPr>
          <w:rFonts w:cs="Times New Roman"/>
        </w:rPr>
      </w:pPr>
      <w:r w:rsidRPr="0040485A">
        <w:rPr>
          <w:rFonts w:cs="Times New Roman"/>
        </w:rPr>
        <w:t>The theory applies with particular force to guarantees. Appraising a guarantee application requires the bank to form a judgement about the principal's ability to perform</w:t>
      </w:r>
      <w:r w:rsidRPr="0040485A">
        <w:rPr>
          <w:rFonts w:cs="Times New Roman"/>
        </w:rPr>
        <w:t xml:space="preserve"> a commercial contract, which is precisely the kind of assessment that proprietary information gathered through a continuing relationship improves. An enterprise whose payment flows, payroll and prior credit conduct are visible to the bank can be assessed </w:t>
      </w:r>
      <w:r w:rsidRPr="0040485A">
        <w:rPr>
          <w:rFonts w:cs="Times New Roman"/>
        </w:rPr>
        <w:t>more cheaply and more accurately than one presenting itself for the first time, and the saving is passed through in the form of standing limits, faster approval and more accommodating security terms. The construct RELATIONSHIP captures this mechanism, meas</w:t>
      </w:r>
      <w:r w:rsidRPr="0040485A">
        <w:rPr>
          <w:rFonts w:cs="Times New Roman"/>
        </w:rPr>
        <w:t>uring relationship length, the breadth of services used and the flexibility of the guarantee limit granted.</w:t>
      </w:r>
    </w:p>
    <w:p w14:paraId="5A59E47D" w14:textId="77777777" w:rsidR="00994AE3" w:rsidRPr="0040485A" w:rsidRDefault="008064C0">
      <w:pPr>
        <w:spacing w:after="160" w:line="360" w:lineRule="auto"/>
        <w:ind w:firstLine="360"/>
        <w:jc w:val="both"/>
        <w:rPr>
          <w:rFonts w:cs="Times New Roman"/>
        </w:rPr>
      </w:pPr>
      <w:r w:rsidRPr="0040485A">
        <w:rPr>
          <w:rFonts w:cs="Times New Roman"/>
        </w:rPr>
        <w:t>The theory also predicts an asymmetry relevant to the interpretation of results. Relationship benefits accrue to the incumbent bank, creating a form</w:t>
      </w:r>
      <w:r w:rsidRPr="0040485A">
        <w:rPr>
          <w:rFonts w:cs="Times New Roman"/>
        </w:rPr>
        <w:t xml:space="preserve"> of switching cost that is informational rather than contractual: a competitor offering a lower fee must also incur the appraisal cost the incumbent has already sunk. This is one reason why price competition in the segment does not </w:t>
      </w:r>
      <w:r w:rsidRPr="0040485A">
        <w:rPr>
          <w:rFonts w:cs="Times New Roman"/>
        </w:rPr>
        <w:lastRenderedPageBreak/>
        <w:t>eliminate incumbency adv</w:t>
      </w:r>
      <w:r w:rsidRPr="0040485A">
        <w:rPr>
          <w:rFonts w:cs="Times New Roman"/>
        </w:rPr>
        <w:t>antage, and it forms part of the explanation for any positive coefficient on RELATIONSHIP in the estimated model.</w:t>
      </w:r>
    </w:p>
    <w:p w14:paraId="459F68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2.2.5. Technology Acceptance Model (TAM) &amp; Digital Banking</w:t>
      </w:r>
    </w:p>
    <w:p w14:paraId="0F872E92" w14:textId="77777777" w:rsidR="00994AE3" w:rsidRPr="0040485A" w:rsidRDefault="008064C0">
      <w:pPr>
        <w:spacing w:after="160" w:line="360" w:lineRule="auto"/>
        <w:ind w:firstLine="360"/>
        <w:jc w:val="both"/>
        <w:rPr>
          <w:rFonts w:cs="Times New Roman"/>
        </w:rPr>
      </w:pPr>
      <w:r w:rsidRPr="0040485A">
        <w:rPr>
          <w:rFonts w:cs="Times New Roman"/>
        </w:rPr>
        <w:t xml:space="preserve">Davis (1989) proposed the Technology Acceptance Model, in which the adoption of an </w:t>
      </w:r>
      <w:r w:rsidRPr="0040485A">
        <w:rPr>
          <w:rFonts w:cs="Times New Roman"/>
        </w:rPr>
        <w:t>information technology is determined by two perceptions: usefulness, the degree to which the technology improves performance, and ease of use, the degree to which using it is free of effort. Venkatesh et al. (2003) consolidate the subsequent literature int</w:t>
      </w:r>
      <w:r w:rsidRPr="0040485A">
        <w:rPr>
          <w:rFonts w:cs="Times New Roman"/>
        </w:rPr>
        <w:t>o a unified model adding social influence and facilitating conditions, while retaining performance and effort expectancy as the primary determinants.</w:t>
      </w:r>
    </w:p>
    <w:p w14:paraId="50125EAB" w14:textId="77777777" w:rsidR="00994AE3" w:rsidRPr="0040485A" w:rsidRDefault="008064C0">
      <w:pPr>
        <w:spacing w:after="160" w:line="360" w:lineRule="auto"/>
        <w:ind w:firstLine="360"/>
        <w:jc w:val="both"/>
        <w:rPr>
          <w:rFonts w:cs="Times New Roman"/>
        </w:rPr>
      </w:pPr>
      <w:r w:rsidRPr="0040485A">
        <w:rPr>
          <w:rFonts w:cs="Times New Roman"/>
        </w:rPr>
        <w:t>Applying an individual-level adoption model in an organisational setting requires care, since the enterpri</w:t>
      </w:r>
      <w:r w:rsidRPr="0040485A">
        <w:rPr>
          <w:rFonts w:cs="Times New Roman"/>
        </w:rPr>
        <w:t>se rather than the officer is the decision unit. The adaptation adopted here is that the perceptions measured are those of the officer responsible for guarantee transactions, who experiences the channel directly and whose assessment informs the enterprise'</w:t>
      </w:r>
      <w:r w:rsidRPr="0040485A">
        <w:rPr>
          <w:rFonts w:cs="Times New Roman"/>
        </w:rPr>
        <w:t>s choice of issuing bank. Perceived usefulness corresponds to the reduction in elapsed time and administrative effort achieved by submitting applications online and receiving an electronically signed instrument; perceived ease of use corresponds to the acc</w:t>
      </w:r>
      <w:r w:rsidRPr="0040485A">
        <w:rPr>
          <w:rFonts w:cs="Times New Roman"/>
        </w:rPr>
        <w:t>essibility of the platform and the simplicity of verification and status tracking.</w:t>
      </w:r>
    </w:p>
    <w:p w14:paraId="6BC6B8D5" w14:textId="77777777" w:rsidR="00994AE3" w:rsidRPr="0040485A" w:rsidRDefault="008064C0">
      <w:pPr>
        <w:spacing w:after="160" w:line="360" w:lineRule="auto"/>
        <w:ind w:firstLine="360"/>
        <w:jc w:val="both"/>
        <w:rPr>
          <w:rFonts w:cs="Times New Roman"/>
        </w:rPr>
      </w:pPr>
      <w:r w:rsidRPr="0040485A">
        <w:rPr>
          <w:rFonts w:cs="Times New Roman"/>
        </w:rPr>
        <w:t xml:space="preserve">The construct DIGITAL_CONV rests on this foundation, but its inclusion depends on a regulatory fact as much as on theory. Before Circular 61/2024/TT-NHNN, an electronically </w:t>
      </w:r>
      <w:r w:rsidRPr="0040485A">
        <w:rPr>
          <w:rFonts w:cs="Times New Roman"/>
        </w:rPr>
        <w:t xml:space="preserve">issued instrument lacked a settled legal basis and a beneficiary could reasonably insist on a paper original, so digital capability affected internal processing rather than the enterprise's choice of bank. Once electronic guarantees acquired legal effect, </w:t>
      </w:r>
      <w:r w:rsidRPr="0040485A">
        <w:rPr>
          <w:rFonts w:cs="Times New Roman"/>
        </w:rPr>
        <w:t>the channel became capable of delivering an outcome the paper process cannot match: issuance outside business hours, immediate transmission to a beneficiary in another province, and online authentication of the instrument's validity. For a contractor facin</w:t>
      </w:r>
      <w:r w:rsidRPr="0040485A">
        <w:rPr>
          <w:rFonts w:cs="Times New Roman"/>
        </w:rPr>
        <w:t>g a bid deadline this is a decisive rather than a marginal difference, which is the substantive reason for retaining the construct in a deliberately parsimonious model.</w:t>
      </w:r>
    </w:p>
    <w:p w14:paraId="41ADC71A" w14:textId="77777777" w:rsidR="00994AE3" w:rsidRPr="0040485A" w:rsidRDefault="008064C0">
      <w:pPr>
        <w:spacing w:after="160" w:line="360" w:lineRule="auto"/>
        <w:ind w:firstLine="360"/>
        <w:jc w:val="both"/>
        <w:rPr>
          <w:rFonts w:cs="Times New Roman"/>
        </w:rPr>
      </w:pPr>
      <w:r w:rsidRPr="0040485A">
        <w:rPr>
          <w:rFonts w:cs="Times New Roman"/>
        </w:rPr>
        <w:t>Empirical support in the Vietnamese setting is provided by Nguyen et al. (2024), who ex</w:t>
      </w:r>
      <w:r w:rsidRPr="0040485A">
        <w:rPr>
          <w:rFonts w:cs="Times New Roman"/>
        </w:rPr>
        <w:t xml:space="preserve">amine service innovation in Vietnamese banks and report positive associations with customer satisfaction and loyalty. Their evidence is drawn from retail banking rather than corporate </w:t>
      </w:r>
      <w:r w:rsidRPr="0040485A">
        <w:rPr>
          <w:rFonts w:cs="Times New Roman"/>
        </w:rPr>
        <w:lastRenderedPageBreak/>
        <w:t>guarantee services, a limitation acknowledged in Section 2.4, but it est</w:t>
      </w:r>
      <w:r w:rsidRPr="0040485A">
        <w:rPr>
          <w:rFonts w:cs="Times New Roman"/>
        </w:rPr>
        <w:t>ablishes that digital service attributes influence customer outcomes in this market.</w:t>
      </w:r>
    </w:p>
    <w:p w14:paraId="42BC16D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2.3. Empirical Literature on Corporate Bank Selection</w:t>
      </w:r>
    </w:p>
    <w:p w14:paraId="44C64E77" w14:textId="77777777" w:rsidR="00994AE3" w:rsidRPr="0040485A" w:rsidRDefault="008064C0">
      <w:pPr>
        <w:spacing w:after="160" w:line="360" w:lineRule="auto"/>
        <w:ind w:firstLine="360"/>
        <w:jc w:val="both"/>
        <w:rPr>
          <w:rFonts w:cs="Times New Roman"/>
        </w:rPr>
      </w:pPr>
      <w:r w:rsidRPr="0040485A">
        <w:rPr>
          <w:rFonts w:cs="Times New Roman"/>
        </w:rPr>
        <w:t>The empirical literature relevant to this thesis falls into two streams. The first examines how firms choose the bank</w:t>
      </w:r>
      <w:r w:rsidRPr="0040485A">
        <w:rPr>
          <w:rFonts w:cs="Times New Roman"/>
        </w:rPr>
        <w:t xml:space="preserve"> they transact with, developed largely outside Vietnam and largely in relation to lending and general banking services. The second examines service quality and its consequences in Vietnamese banking, developed largely in retail settings. Neither stream add</w:t>
      </w:r>
      <w:r w:rsidRPr="0040485A">
        <w:rPr>
          <w:rFonts w:cs="Times New Roman"/>
        </w:rPr>
        <w:t>resses guarantee services directly, and the space between them is where this study is positioned.</w:t>
      </w:r>
    </w:p>
    <w:p w14:paraId="06BD02D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2.3.1. International Empirical Studies</w:t>
      </w:r>
    </w:p>
    <w:p w14:paraId="1C221918" w14:textId="77777777" w:rsidR="00994AE3" w:rsidRPr="0040485A" w:rsidRDefault="008064C0">
      <w:pPr>
        <w:spacing w:after="160" w:line="360" w:lineRule="auto"/>
        <w:ind w:firstLine="360"/>
        <w:jc w:val="both"/>
        <w:rPr>
          <w:rFonts w:cs="Times New Roman"/>
        </w:rPr>
      </w:pPr>
      <w:r w:rsidRPr="0040485A">
        <w:rPr>
          <w:rFonts w:cs="Times New Roman"/>
        </w:rPr>
        <w:t>Turnbull and Gibbs (1989) conducted one of the earliest systematic studies of bank selection among corporate customers,</w:t>
      </w:r>
      <w:r w:rsidRPr="0040485A">
        <w:rPr>
          <w:rFonts w:cs="Times New Roman"/>
        </w:rPr>
        <w:t xml:space="preserve"> examining how firms in South Africa chose and evaluated their banks. Their central finding, which has proved durable, is that corporate selection is not driven principally by price. Quality of service, the competence of the bank officers dealing with the </w:t>
      </w:r>
      <w:r w:rsidRPr="0040485A">
        <w:rPr>
          <w:rFonts w:cs="Times New Roman"/>
        </w:rPr>
        <w:t>account and the strength of the working relationship weighed at least as heavily as pricing, and the relative importance of these criteria varied with the size of the firm. The study established the corporate segment as analytically distinct from the retai</w:t>
      </w:r>
      <w:r w:rsidRPr="0040485A">
        <w:rPr>
          <w:rFonts w:cs="Times New Roman"/>
        </w:rPr>
        <w:t>l segment, in which convenience and location dominate.</w:t>
      </w:r>
    </w:p>
    <w:p w14:paraId="63296949" w14:textId="77777777" w:rsidR="00994AE3" w:rsidRPr="0040485A" w:rsidRDefault="008064C0">
      <w:pPr>
        <w:spacing w:after="160" w:line="360" w:lineRule="auto"/>
        <w:ind w:firstLine="360"/>
        <w:jc w:val="both"/>
        <w:rPr>
          <w:rFonts w:cs="Times New Roman"/>
        </w:rPr>
      </w:pPr>
      <w:r w:rsidRPr="0040485A">
        <w:rPr>
          <w:rFonts w:cs="Times New Roman"/>
        </w:rPr>
        <w:t>Narteh (2013) examines bank selection and patronage behaviour among small and medium enterprises in the Ghanaian banking industry, finding that selection criteria are multi-dimensional and that service</w:t>
      </w:r>
      <w:r w:rsidRPr="0040485A">
        <w:rPr>
          <w:rFonts w:cs="Times New Roman"/>
        </w:rPr>
        <w:t xml:space="preserve"> delivery attributes together with bank reputation carry substantial weight in the patronage decision. Two features of this study are directly relevant here. It treats patronage as a continuous behavioural construct rather than a binary act of choice, whic</w:t>
      </w:r>
      <w:r w:rsidRPr="0040485A">
        <w:rPr>
          <w:rFonts w:cs="Times New Roman"/>
        </w:rPr>
        <w:t>h is the approach this thesis adopts for its dependent variable. And it confirms that the corporate findings of the earlier literature extend to the SME segment of a developing banking market, a setting closer to Vietnam than the advanced economies in whic</w:t>
      </w:r>
      <w:r w:rsidRPr="0040485A">
        <w:rPr>
          <w:rFonts w:cs="Times New Roman"/>
        </w:rPr>
        <w:t>h much of the literature originates.</w:t>
      </w:r>
    </w:p>
    <w:p w14:paraId="46B8FEDE" w14:textId="77777777" w:rsidR="00994AE3" w:rsidRPr="0040485A" w:rsidRDefault="008064C0">
      <w:pPr>
        <w:spacing w:after="160" w:line="360" w:lineRule="auto"/>
        <w:ind w:firstLine="360"/>
        <w:jc w:val="both"/>
        <w:rPr>
          <w:rFonts w:cs="Times New Roman"/>
        </w:rPr>
      </w:pPr>
      <w:r w:rsidRPr="0040485A">
        <w:rPr>
          <w:rFonts w:cs="Times New Roman"/>
        </w:rPr>
        <w:t>Kaur et al. (2021) apply a fuzzy analytic hierarchy process to determine the bank selection criteria of SMEs, an approach that yields an explicit ranking of criteria by importance rather than a set of significance tests</w:t>
      </w:r>
      <w:r w:rsidRPr="0040485A">
        <w:rPr>
          <w:rFonts w:cs="Times New Roman"/>
        </w:rPr>
        <w:t xml:space="preserve">. Their contribution to the present study is methodological in orientation: it demonstrates that the practically useful output of this literature is a prioritised </w:t>
      </w:r>
      <w:r w:rsidRPr="0040485A">
        <w:rPr>
          <w:rFonts w:cs="Times New Roman"/>
        </w:rPr>
        <w:lastRenderedPageBreak/>
        <w:t xml:space="preserve">ordering of criteria, not merely a list of those that are statistically significant. This is </w:t>
      </w:r>
      <w:r w:rsidRPr="0040485A">
        <w:rPr>
          <w:rFonts w:cs="Times New Roman"/>
        </w:rPr>
        <w:t>the reasoning behind the emphasis placed on standardised coefficients in Section 3.4.6.</w:t>
      </w:r>
    </w:p>
    <w:p w14:paraId="42167353" w14:textId="77777777" w:rsidR="00994AE3" w:rsidRPr="0040485A" w:rsidRDefault="008064C0">
      <w:pPr>
        <w:spacing w:after="160" w:line="360" w:lineRule="auto"/>
        <w:ind w:firstLine="360"/>
        <w:jc w:val="both"/>
        <w:rPr>
          <w:rFonts w:cs="Times New Roman"/>
        </w:rPr>
      </w:pPr>
      <w:r w:rsidRPr="0040485A">
        <w:rPr>
          <w:rFonts w:cs="Times New Roman"/>
        </w:rPr>
        <w:t>Zelie (2023) investigates the factors determining bank selection by micro and small enterprises in Ethiopia, reinforcing the finding that service quality, institutional</w:t>
      </w:r>
      <w:r w:rsidRPr="0040485A">
        <w:rPr>
          <w:rFonts w:cs="Times New Roman"/>
        </w:rPr>
        <w:t xml:space="preserve"> reputation and relationship considerations operate alongside price in developing market contexts. Al-Sabbagh and Al-Khathlan (2018) move closest to the present subject by examining the factors influencing corporate clients' choice of commercial banks spec</w:t>
      </w:r>
      <w:r w:rsidRPr="0040485A">
        <w:rPr>
          <w:rFonts w:cs="Times New Roman"/>
        </w:rPr>
        <w:t>ifically for trade finance services. Trade finance, like guarantee issuance, is a documentary, off-balance-sheet product in which processing speed, correspondent network capability and staff expertise matter more than in ordinary lending. Their study is th</w:t>
      </w:r>
      <w:r w:rsidRPr="0040485A">
        <w:rPr>
          <w:rFonts w:cs="Times New Roman"/>
        </w:rPr>
        <w:t>e nearest antecedent to this thesis, and the fact that it stops short of the guarantee product itself indicates how narrow the existing coverage is.</w:t>
      </w:r>
    </w:p>
    <w:p w14:paraId="72530779" w14:textId="77777777" w:rsidR="00994AE3" w:rsidRPr="0040485A" w:rsidRDefault="008064C0">
      <w:pPr>
        <w:spacing w:after="160" w:line="360" w:lineRule="auto"/>
        <w:ind w:firstLine="360"/>
        <w:jc w:val="both"/>
        <w:rPr>
          <w:rFonts w:cs="Times New Roman"/>
        </w:rPr>
      </w:pPr>
      <w:r w:rsidRPr="0040485A">
        <w:rPr>
          <w:rFonts w:cs="Times New Roman"/>
        </w:rPr>
        <w:t>Taken together, four conclusions can be drawn from this stream. Corporate bank selection is multi-dimension</w:t>
      </w:r>
      <w:r w:rsidRPr="0040485A">
        <w:rPr>
          <w:rFonts w:cs="Times New Roman"/>
        </w:rPr>
        <w:t>al and is not reducible to price. Relationship history and institutional reputation are consistently among the stronger determinants. The relative weighting of criteria varies systematically with firm characteristics, which motivates the sub-group analysis</w:t>
      </w:r>
      <w:r w:rsidRPr="0040485A">
        <w:rPr>
          <w:rFonts w:cs="Times New Roman"/>
        </w:rPr>
        <w:t xml:space="preserve"> in this thesis. And the literature has examined lending, general banking and, in one instance, trade finance, but has not isolated bank guarantee services as the object of choice.</w:t>
      </w:r>
    </w:p>
    <w:p w14:paraId="7652A2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2.3.2. Empirical Studies in the Vietnamese Banking Context</w:t>
      </w:r>
    </w:p>
    <w:p w14:paraId="5B2BE243" w14:textId="77777777" w:rsidR="00994AE3" w:rsidRPr="0040485A" w:rsidRDefault="008064C0">
      <w:pPr>
        <w:spacing w:after="160" w:line="360" w:lineRule="auto"/>
        <w:ind w:firstLine="360"/>
        <w:jc w:val="both"/>
        <w:rPr>
          <w:rFonts w:cs="Times New Roman"/>
        </w:rPr>
      </w:pPr>
      <w:r w:rsidRPr="0040485A">
        <w:rPr>
          <w:rFonts w:cs="Times New Roman"/>
        </w:rPr>
        <w:t>Vietnamese empir</w:t>
      </w:r>
      <w:r w:rsidRPr="0040485A">
        <w:rPr>
          <w:rFonts w:cs="Times New Roman"/>
        </w:rPr>
        <w:t>ical research on banking has concentrated on service quality and its behavioural consequences, predominantly in retail settings. Phan Thi Hang Nga et al. (2024) examine the relationships among service quality, customer satisfaction and loyalty for Vietname</w:t>
      </w:r>
      <w:r w:rsidRPr="0040485A">
        <w:rPr>
          <w:rFonts w:cs="Times New Roman"/>
        </w:rPr>
        <w:t>se SMEs, confirming that the service quality to loyalty pathway operates in this market and that satisfaction mediates it. Ho Dinh Phi et al. (2023) examine the same pathway with corporate reputation as an additional mediating construct, a finding that sup</w:t>
      </w:r>
      <w:r w:rsidRPr="0040485A">
        <w:rPr>
          <w:rFonts w:cs="Times New Roman"/>
        </w:rPr>
        <w:t>ports the decision in this thesis to model reputation as a determinant in its own right rather than folding it into service quality. Nguyen et al. (2024) examine service innovation in Vietnamese retail banks and report positive associations with satisfacti</w:t>
      </w:r>
      <w:r w:rsidRPr="0040485A">
        <w:rPr>
          <w:rFonts w:cs="Times New Roman"/>
        </w:rPr>
        <w:t>on and loyalty, providing the local evidence base for the digital construct.</w:t>
      </w:r>
    </w:p>
    <w:p w14:paraId="3D9416C1" w14:textId="77777777" w:rsidR="00994AE3" w:rsidRPr="0040485A" w:rsidRDefault="008064C0">
      <w:pPr>
        <w:spacing w:after="160" w:line="360" w:lineRule="auto"/>
        <w:ind w:firstLine="360"/>
        <w:jc w:val="both"/>
        <w:rPr>
          <w:rFonts w:cs="Times New Roman"/>
        </w:rPr>
      </w:pPr>
      <w:r w:rsidRPr="0040485A">
        <w:rPr>
          <w:rFonts w:cs="Times New Roman"/>
        </w:rPr>
        <w:t>Research addressing bank guarantees specifically in Vietnam has been predominantly legal and qualitative in character. Le Van Dung (2021) analyses the nature of the payment guaran</w:t>
      </w:r>
      <w:r w:rsidRPr="0040485A">
        <w:rPr>
          <w:rFonts w:cs="Times New Roman"/>
        </w:rPr>
        <w:t xml:space="preserve">tee </w:t>
      </w:r>
      <w:r w:rsidRPr="0040485A">
        <w:rPr>
          <w:rFonts w:cs="Times New Roman"/>
        </w:rPr>
        <w:lastRenderedPageBreak/>
        <w:t xml:space="preserve">relationship at credit institutions, clarifying its status as credit extension and examining the obligations arising between the parties. Work of this kind is indispensable for understanding the instrument, and Section 2.1 draws on it, but it does not </w:t>
      </w:r>
      <w:r w:rsidRPr="0040485A">
        <w:rPr>
          <w:rFonts w:cs="Times New Roman"/>
        </w:rPr>
        <w:t>measure the behaviour of enterprises choosing between issuing banks.</w:t>
      </w:r>
    </w:p>
    <w:p w14:paraId="7539D1F6" w14:textId="77777777" w:rsidR="00994AE3" w:rsidRPr="0040485A" w:rsidRDefault="008064C0">
      <w:pPr>
        <w:spacing w:after="160" w:line="360" w:lineRule="auto"/>
        <w:ind w:firstLine="360"/>
        <w:jc w:val="both"/>
        <w:rPr>
          <w:rFonts w:cs="Times New Roman"/>
        </w:rPr>
      </w:pPr>
      <w:r w:rsidRPr="0040485A">
        <w:rPr>
          <w:rFonts w:cs="Times New Roman"/>
        </w:rPr>
        <w:t>The Vietnamese stream therefore exhibits a consistent division. Studies employing quantitative methods examine retail banking or general service quality; studies examining guarantees empl</w:t>
      </w:r>
      <w:r w:rsidRPr="0040485A">
        <w:rPr>
          <w:rFonts w:cs="Times New Roman"/>
        </w:rPr>
        <w:t>oy legal and qualitative methods. No study located during this review applies a quantitative selection model to the corporate guarantee product in Vietnam.</w:t>
      </w:r>
    </w:p>
    <w:p w14:paraId="4638C12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2.4. Research Gaps</w:t>
      </w:r>
    </w:p>
    <w:p w14:paraId="0A55E516" w14:textId="77777777" w:rsidR="00994AE3" w:rsidRPr="0040485A" w:rsidRDefault="008064C0">
      <w:pPr>
        <w:spacing w:after="160" w:line="360" w:lineRule="auto"/>
        <w:ind w:firstLine="360"/>
        <w:jc w:val="both"/>
        <w:rPr>
          <w:rFonts w:cs="Times New Roman"/>
        </w:rPr>
      </w:pPr>
      <w:r w:rsidRPr="0040485A">
        <w:rPr>
          <w:rFonts w:cs="Times New Roman"/>
        </w:rPr>
        <w:t xml:space="preserve">Four gaps emerge from the review, each of which the present study </w:t>
      </w:r>
      <w:r w:rsidRPr="0040485A">
        <w:rPr>
          <w:rFonts w:cs="Times New Roman"/>
        </w:rPr>
        <w:t>addresses directly.</w:t>
      </w:r>
    </w:p>
    <w:p w14:paraId="1C422528" w14:textId="77777777" w:rsidR="00994AE3" w:rsidRPr="0040485A" w:rsidRDefault="008064C0">
      <w:pPr>
        <w:spacing w:after="80" w:line="360" w:lineRule="auto"/>
        <w:jc w:val="center"/>
        <w:rPr>
          <w:rFonts w:cs="Times New Roman"/>
        </w:rPr>
      </w:pPr>
      <w:r w:rsidRPr="0040485A">
        <w:rPr>
          <w:rFonts w:cs="Times New Roman"/>
          <w:b/>
          <w:sz w:val="22"/>
        </w:rPr>
        <w:t>Table 2.2: Research gaps and the response of this study</w:t>
      </w:r>
    </w:p>
    <w:tbl>
      <w:tblPr>
        <w:tblStyle w:val="TableGrid"/>
        <w:tblW w:w="0" w:type="auto"/>
        <w:jc w:val="center"/>
        <w:tblLook w:val="04A0" w:firstRow="1" w:lastRow="0" w:firstColumn="1" w:lastColumn="0" w:noHBand="0" w:noVBand="1"/>
      </w:tblPr>
      <w:tblGrid>
        <w:gridCol w:w="2088"/>
        <w:gridCol w:w="3816"/>
        <w:gridCol w:w="3024"/>
      </w:tblGrid>
      <w:tr w:rsidR="00994AE3" w:rsidRPr="0040485A" w14:paraId="75FF1FF2" w14:textId="77777777">
        <w:trPr>
          <w:jc w:val="center"/>
        </w:trPr>
        <w:tc>
          <w:tcPr>
            <w:tcW w:w="2088" w:type="dxa"/>
            <w:shd w:val="clear" w:color="auto" w:fill="D9D9D9"/>
          </w:tcPr>
          <w:p w14:paraId="309830CC" w14:textId="77777777" w:rsidR="00994AE3" w:rsidRPr="0040485A" w:rsidRDefault="008064C0">
            <w:pPr>
              <w:spacing w:after="40" w:line="240" w:lineRule="auto"/>
              <w:jc w:val="center"/>
              <w:rPr>
                <w:rFonts w:cs="Times New Roman"/>
              </w:rPr>
            </w:pPr>
            <w:r w:rsidRPr="0040485A">
              <w:rPr>
                <w:rFonts w:cs="Times New Roman"/>
                <w:b/>
                <w:sz w:val="18"/>
              </w:rPr>
              <w:t>Gap</w:t>
            </w:r>
          </w:p>
        </w:tc>
        <w:tc>
          <w:tcPr>
            <w:tcW w:w="3816" w:type="dxa"/>
            <w:shd w:val="clear" w:color="auto" w:fill="D9D9D9"/>
          </w:tcPr>
          <w:p w14:paraId="5994BD9A" w14:textId="77777777" w:rsidR="00994AE3" w:rsidRPr="0040485A" w:rsidRDefault="008064C0">
            <w:pPr>
              <w:spacing w:after="40" w:line="240" w:lineRule="auto"/>
              <w:jc w:val="center"/>
              <w:rPr>
                <w:rFonts w:cs="Times New Roman"/>
              </w:rPr>
            </w:pPr>
            <w:r w:rsidRPr="0040485A">
              <w:rPr>
                <w:rFonts w:cs="Times New Roman"/>
                <w:b/>
                <w:sz w:val="18"/>
              </w:rPr>
              <w:t>Evidence from the literature</w:t>
            </w:r>
          </w:p>
        </w:tc>
        <w:tc>
          <w:tcPr>
            <w:tcW w:w="3024" w:type="dxa"/>
            <w:shd w:val="clear" w:color="auto" w:fill="D9D9D9"/>
          </w:tcPr>
          <w:p w14:paraId="3A3A9F54" w14:textId="77777777" w:rsidR="00994AE3" w:rsidRPr="0040485A" w:rsidRDefault="008064C0">
            <w:pPr>
              <w:spacing w:after="40" w:line="240" w:lineRule="auto"/>
              <w:jc w:val="center"/>
              <w:rPr>
                <w:rFonts w:cs="Times New Roman"/>
              </w:rPr>
            </w:pPr>
            <w:r w:rsidRPr="0040485A">
              <w:rPr>
                <w:rFonts w:cs="Times New Roman"/>
                <w:b/>
                <w:sz w:val="18"/>
              </w:rPr>
              <w:t>Response of this study</w:t>
            </w:r>
          </w:p>
        </w:tc>
      </w:tr>
      <w:tr w:rsidR="00994AE3" w:rsidRPr="0040485A" w14:paraId="7DC35E75" w14:textId="77777777">
        <w:trPr>
          <w:jc w:val="center"/>
        </w:trPr>
        <w:tc>
          <w:tcPr>
            <w:tcW w:w="2088" w:type="dxa"/>
          </w:tcPr>
          <w:p w14:paraId="57797D3A" w14:textId="77777777" w:rsidR="00994AE3" w:rsidRPr="0040485A" w:rsidRDefault="008064C0">
            <w:pPr>
              <w:spacing w:after="40" w:line="240" w:lineRule="auto"/>
              <w:rPr>
                <w:rFonts w:cs="Times New Roman"/>
              </w:rPr>
            </w:pPr>
            <w:r w:rsidRPr="0040485A">
              <w:rPr>
                <w:rFonts w:cs="Times New Roman"/>
                <w:sz w:val="18"/>
              </w:rPr>
              <w:t>1. Guarantee services are not isolated as the object of selection</w:t>
            </w:r>
          </w:p>
        </w:tc>
        <w:tc>
          <w:tcPr>
            <w:tcW w:w="3816" w:type="dxa"/>
          </w:tcPr>
          <w:p w14:paraId="6AC5ECB7" w14:textId="77777777" w:rsidR="00994AE3" w:rsidRPr="0040485A" w:rsidRDefault="008064C0">
            <w:pPr>
              <w:spacing w:after="40" w:line="240" w:lineRule="auto"/>
              <w:rPr>
                <w:rFonts w:cs="Times New Roman"/>
              </w:rPr>
            </w:pPr>
            <w:r w:rsidRPr="0040485A">
              <w:rPr>
                <w:rFonts w:cs="Times New Roman"/>
                <w:sz w:val="18"/>
              </w:rPr>
              <w:t>Corporate selection studies examine lending and general b</w:t>
            </w:r>
            <w:r w:rsidRPr="0040485A">
              <w:rPr>
                <w:rFonts w:cs="Times New Roman"/>
                <w:sz w:val="18"/>
              </w:rPr>
              <w:t>anking (Turnbull and Gibbs, 1989; Narteh, 2013; Kaur et al., 2021; Zelie, 2023); the closest, Al-Sabbagh and Al-Khathlan (2018), reaches trade finance but not guarantees</w:t>
            </w:r>
          </w:p>
        </w:tc>
        <w:tc>
          <w:tcPr>
            <w:tcW w:w="3024" w:type="dxa"/>
          </w:tcPr>
          <w:p w14:paraId="46170FBB" w14:textId="77777777" w:rsidR="00994AE3" w:rsidRPr="0040485A" w:rsidRDefault="008064C0">
            <w:pPr>
              <w:spacing w:after="40" w:line="240" w:lineRule="auto"/>
              <w:jc w:val="center"/>
              <w:rPr>
                <w:rFonts w:cs="Times New Roman"/>
              </w:rPr>
            </w:pPr>
            <w:r w:rsidRPr="0040485A">
              <w:rPr>
                <w:rFonts w:cs="Times New Roman"/>
                <w:sz w:val="18"/>
              </w:rPr>
              <w:t>Models selection of the guarantee product specifically, with constructs defined agains</w:t>
            </w:r>
            <w:r w:rsidRPr="0040485A">
              <w:rPr>
                <w:rFonts w:cs="Times New Roman"/>
                <w:sz w:val="18"/>
              </w:rPr>
              <w:t>t its economic and legal characteristics</w:t>
            </w:r>
          </w:p>
        </w:tc>
      </w:tr>
      <w:tr w:rsidR="00994AE3" w:rsidRPr="0040485A" w14:paraId="15689DB2" w14:textId="77777777">
        <w:trPr>
          <w:jc w:val="center"/>
        </w:trPr>
        <w:tc>
          <w:tcPr>
            <w:tcW w:w="2088" w:type="dxa"/>
          </w:tcPr>
          <w:p w14:paraId="4B0BB36D" w14:textId="77777777" w:rsidR="00994AE3" w:rsidRPr="0040485A" w:rsidRDefault="008064C0">
            <w:pPr>
              <w:spacing w:after="40" w:line="240" w:lineRule="auto"/>
              <w:rPr>
                <w:rFonts w:cs="Times New Roman"/>
              </w:rPr>
            </w:pPr>
            <w:r w:rsidRPr="0040485A">
              <w:rPr>
                <w:rFonts w:cs="Times New Roman"/>
                <w:sz w:val="18"/>
              </w:rPr>
              <w:t>2. No integration of price competitiveness with digital channel capability</w:t>
            </w:r>
          </w:p>
        </w:tc>
        <w:tc>
          <w:tcPr>
            <w:tcW w:w="3816" w:type="dxa"/>
          </w:tcPr>
          <w:p w14:paraId="1AEF3F6E" w14:textId="77777777" w:rsidR="00994AE3" w:rsidRPr="0040485A" w:rsidRDefault="008064C0">
            <w:pPr>
              <w:spacing w:after="40" w:line="240" w:lineRule="auto"/>
              <w:rPr>
                <w:rFonts w:cs="Times New Roman"/>
              </w:rPr>
            </w:pPr>
            <w:r w:rsidRPr="0040485A">
              <w:rPr>
                <w:rFonts w:cs="Times New Roman"/>
                <w:sz w:val="18"/>
              </w:rPr>
              <w:t xml:space="preserve">Digital attributes appear in Vietnamese retail studies (Nguyen et al., 2024) but not alongside fee and collateral terms in a single </w:t>
            </w:r>
            <w:r w:rsidRPr="0040485A">
              <w:rPr>
                <w:rFonts w:cs="Times New Roman"/>
                <w:sz w:val="18"/>
              </w:rPr>
              <w:t>corporate selection model</w:t>
            </w:r>
          </w:p>
        </w:tc>
        <w:tc>
          <w:tcPr>
            <w:tcW w:w="3024" w:type="dxa"/>
          </w:tcPr>
          <w:p w14:paraId="676128D7" w14:textId="77777777" w:rsidR="00994AE3" w:rsidRPr="0040485A" w:rsidRDefault="008064C0">
            <w:pPr>
              <w:spacing w:after="40" w:line="240" w:lineRule="auto"/>
              <w:jc w:val="center"/>
              <w:rPr>
                <w:rFonts w:cs="Times New Roman"/>
              </w:rPr>
            </w:pPr>
            <w:r w:rsidRPr="0040485A">
              <w:rPr>
                <w:rFonts w:cs="Times New Roman"/>
                <w:sz w:val="18"/>
              </w:rPr>
              <w:t>Estimates fee competitiveness and digital eFAST convenience within one equation, under the new legal regime for e-guarantees</w:t>
            </w:r>
          </w:p>
        </w:tc>
      </w:tr>
      <w:tr w:rsidR="00994AE3" w:rsidRPr="0040485A" w14:paraId="63546BDE" w14:textId="77777777">
        <w:trPr>
          <w:jc w:val="center"/>
        </w:trPr>
        <w:tc>
          <w:tcPr>
            <w:tcW w:w="2088" w:type="dxa"/>
          </w:tcPr>
          <w:p w14:paraId="6976641E" w14:textId="77777777" w:rsidR="00994AE3" w:rsidRPr="0040485A" w:rsidRDefault="008064C0">
            <w:pPr>
              <w:spacing w:after="40" w:line="240" w:lineRule="auto"/>
              <w:rPr>
                <w:rFonts w:cs="Times New Roman"/>
              </w:rPr>
            </w:pPr>
            <w:r w:rsidRPr="0040485A">
              <w:rPr>
                <w:rFonts w:cs="Times New Roman"/>
                <w:sz w:val="18"/>
              </w:rPr>
              <w:t>3. Absence of sub-group comparison in the Vietnamese context</w:t>
            </w:r>
          </w:p>
        </w:tc>
        <w:tc>
          <w:tcPr>
            <w:tcW w:w="3816" w:type="dxa"/>
          </w:tcPr>
          <w:p w14:paraId="7DEBC469" w14:textId="77777777" w:rsidR="00994AE3" w:rsidRPr="0040485A" w:rsidRDefault="008064C0">
            <w:pPr>
              <w:spacing w:after="40" w:line="240" w:lineRule="auto"/>
              <w:rPr>
                <w:rFonts w:cs="Times New Roman"/>
              </w:rPr>
            </w:pPr>
            <w:r w:rsidRPr="0040485A">
              <w:rPr>
                <w:rFonts w:cs="Times New Roman"/>
                <w:sz w:val="18"/>
              </w:rPr>
              <w:t>The international literature indicates crit</w:t>
            </w:r>
            <w:r w:rsidRPr="0040485A">
              <w:rPr>
                <w:rFonts w:cs="Times New Roman"/>
                <w:sz w:val="18"/>
              </w:rPr>
              <w:t>eria vary by firm characteristics, but Vietnamese studies report pooled results</w:t>
            </w:r>
          </w:p>
        </w:tc>
        <w:tc>
          <w:tcPr>
            <w:tcW w:w="3024" w:type="dxa"/>
          </w:tcPr>
          <w:p w14:paraId="58DAF777" w14:textId="77777777" w:rsidR="00994AE3" w:rsidRPr="0040485A" w:rsidRDefault="008064C0">
            <w:pPr>
              <w:spacing w:after="40" w:line="240" w:lineRule="auto"/>
              <w:jc w:val="center"/>
              <w:rPr>
                <w:rFonts w:cs="Times New Roman"/>
              </w:rPr>
            </w:pPr>
            <w:r w:rsidRPr="0040485A">
              <w:rPr>
                <w:rFonts w:cs="Times New Roman"/>
                <w:sz w:val="18"/>
              </w:rPr>
              <w:t>Tests differences across ownership type, revenue size, operating tenure, primary product line and multi-banking status</w:t>
            </w:r>
          </w:p>
        </w:tc>
      </w:tr>
      <w:tr w:rsidR="00994AE3" w:rsidRPr="0040485A" w14:paraId="49405640" w14:textId="77777777">
        <w:trPr>
          <w:jc w:val="center"/>
        </w:trPr>
        <w:tc>
          <w:tcPr>
            <w:tcW w:w="2088" w:type="dxa"/>
          </w:tcPr>
          <w:p w14:paraId="38BB031C" w14:textId="77777777" w:rsidR="00994AE3" w:rsidRPr="0040485A" w:rsidRDefault="008064C0">
            <w:pPr>
              <w:spacing w:after="40" w:line="240" w:lineRule="auto"/>
              <w:rPr>
                <w:rFonts w:cs="Times New Roman"/>
              </w:rPr>
            </w:pPr>
            <w:r w:rsidRPr="0040485A">
              <w:rPr>
                <w:rFonts w:cs="Times New Roman"/>
                <w:sz w:val="18"/>
              </w:rPr>
              <w:t>4. Methodological division between quantitative and guar</w:t>
            </w:r>
            <w:r w:rsidRPr="0040485A">
              <w:rPr>
                <w:rFonts w:cs="Times New Roman"/>
                <w:sz w:val="18"/>
              </w:rPr>
              <w:t>antee-focused work in Vietnam</w:t>
            </w:r>
          </w:p>
        </w:tc>
        <w:tc>
          <w:tcPr>
            <w:tcW w:w="3816" w:type="dxa"/>
          </w:tcPr>
          <w:p w14:paraId="79730C61" w14:textId="77777777" w:rsidR="00994AE3" w:rsidRPr="0040485A" w:rsidRDefault="008064C0">
            <w:pPr>
              <w:spacing w:after="40" w:line="240" w:lineRule="auto"/>
              <w:rPr>
                <w:rFonts w:cs="Times New Roman"/>
              </w:rPr>
            </w:pPr>
            <w:r w:rsidRPr="0040485A">
              <w:rPr>
                <w:rFonts w:cs="Times New Roman"/>
                <w:sz w:val="18"/>
              </w:rPr>
              <w:t>Vietnamese quantitative studies address retail service quality; Vietnamese guarantee studies are legal and qualitative (Le Van Dung, 2021)</w:t>
            </w:r>
          </w:p>
        </w:tc>
        <w:tc>
          <w:tcPr>
            <w:tcW w:w="3024" w:type="dxa"/>
          </w:tcPr>
          <w:p w14:paraId="4DAEE2D1" w14:textId="77777777" w:rsidR="00994AE3" w:rsidRPr="0040485A" w:rsidRDefault="008064C0">
            <w:pPr>
              <w:spacing w:after="40" w:line="240" w:lineRule="auto"/>
              <w:jc w:val="center"/>
              <w:rPr>
                <w:rFonts w:cs="Times New Roman"/>
              </w:rPr>
            </w:pPr>
            <w:r w:rsidRPr="0040485A">
              <w:rPr>
                <w:rFonts w:cs="Times New Roman"/>
                <w:sz w:val="18"/>
              </w:rPr>
              <w:t>Applies a quantitative multivariate model to the corporate guarantee segment at a singl</w:t>
            </w:r>
            <w:r w:rsidRPr="0040485A">
              <w:rPr>
                <w:rFonts w:cs="Times New Roman"/>
                <w:sz w:val="18"/>
              </w:rPr>
              <w:t>e large commercial bank</w:t>
            </w:r>
          </w:p>
        </w:tc>
      </w:tr>
    </w:tbl>
    <w:p w14:paraId="4439A56C" w14:textId="77777777" w:rsidR="00994AE3" w:rsidRPr="0040485A" w:rsidRDefault="00994AE3">
      <w:pPr>
        <w:rPr>
          <w:rFonts w:cs="Times New Roman"/>
        </w:rPr>
      </w:pPr>
    </w:p>
    <w:p w14:paraId="728C07B5"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110A50B" w14:textId="77777777" w:rsidR="00994AE3" w:rsidRPr="0040485A" w:rsidRDefault="008064C0">
      <w:pPr>
        <w:spacing w:after="160" w:line="360" w:lineRule="auto"/>
        <w:ind w:firstLine="360"/>
        <w:jc w:val="both"/>
        <w:rPr>
          <w:rFonts w:cs="Times New Roman"/>
        </w:rPr>
      </w:pPr>
      <w:r w:rsidRPr="0040485A">
        <w:rPr>
          <w:rFonts w:cs="Times New Roman"/>
        </w:rPr>
        <w:t xml:space="preserve">A further consideration reinforces the timeliness of the study. The literature on which the model draws predates Circular No. 61/2024/TT-NHNN, which came into effect on 1 April 2025. Any </w:t>
      </w:r>
      <w:r w:rsidRPr="0040485A">
        <w:rPr>
          <w:rFonts w:cs="Times New Roman"/>
        </w:rPr>
        <w:t>empirical account of guarantee selection formed before that date could not incorporate the legal effectiveness of electronic issuance, because electronic issuance did not yet possess it. The regulatory change creates a genuine opportunity to test whether d</w:t>
      </w:r>
      <w:r w:rsidRPr="0040485A">
        <w:rPr>
          <w:rFonts w:cs="Times New Roman"/>
        </w:rPr>
        <w:t xml:space="preserve">igital capability has become a </w:t>
      </w:r>
      <w:r w:rsidRPr="0040485A">
        <w:rPr>
          <w:rFonts w:cs="Times New Roman"/>
        </w:rPr>
        <w:lastRenderedPageBreak/>
        <w:t>determinant of bank choice in this segment rather than a matter of internal efficiency, and that test is not available in the existing literature.</w:t>
      </w:r>
    </w:p>
    <w:p w14:paraId="769834E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2.5. Conceptual Framework and Research Hypotheses</w:t>
      </w:r>
    </w:p>
    <w:p w14:paraId="4831FA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2.5.1. Conceptual Research F</w:t>
      </w:r>
      <w:r w:rsidRPr="0040485A">
        <w:rPr>
          <w:rFonts w:ascii="Times New Roman" w:hAnsi="Times New Roman" w:cs="Times New Roman"/>
        </w:rPr>
        <w:t>ramework</w:t>
      </w:r>
    </w:p>
    <w:p w14:paraId="407245E8" w14:textId="77777777" w:rsidR="00994AE3" w:rsidRPr="0040485A" w:rsidRDefault="008064C0">
      <w:pPr>
        <w:spacing w:after="160" w:line="360" w:lineRule="auto"/>
        <w:ind w:firstLine="360"/>
        <w:jc w:val="both"/>
        <w:rPr>
          <w:rFonts w:cs="Times New Roman"/>
        </w:rPr>
      </w:pPr>
      <w:r w:rsidRPr="0040485A">
        <w:rPr>
          <w:rFonts w:cs="Times New Roman"/>
        </w:rPr>
        <w:t xml:space="preserve">The conceptual framework brings together the five theoretical strands of Section 2.2 and the empirical patterns of Section 2.3 into a single-stage model. Seven independent constructs are hypothesised to be associated with one dependent construct, </w:t>
      </w:r>
      <w:r w:rsidRPr="0040485A">
        <w:rPr>
          <w:rFonts w:cs="Times New Roman"/>
        </w:rPr>
        <w:t>selection priority. The model contains no mediating or moderating variables: the relationships are specified as direct, which is why multiple regression rather than structural equation modelling is the appropriate estimation technique. Differences across f</w:t>
      </w:r>
      <w:r w:rsidRPr="0040485A">
        <w:rPr>
          <w:rFonts w:cs="Times New Roman"/>
        </w:rPr>
        <w:t>irm characteristics are handled through sub-group comparison rather than through interaction terms in the main equation, preserving the interpretability of the coefficients on which the managerial conclusions depend.</w:t>
      </w:r>
    </w:p>
    <w:p w14:paraId="7AF0A9A6" w14:textId="77777777" w:rsidR="00994AE3" w:rsidRPr="0040485A" w:rsidRDefault="008064C0">
      <w:pPr>
        <w:spacing w:after="160" w:line="360" w:lineRule="auto"/>
        <w:ind w:firstLine="360"/>
        <w:jc w:val="both"/>
        <w:rPr>
          <w:rFonts w:cs="Times New Roman"/>
        </w:rPr>
      </w:pPr>
      <w:r w:rsidRPr="0040485A">
        <w:rPr>
          <w:rFonts w:cs="Times New Roman"/>
        </w:rPr>
        <w:t xml:space="preserve">Figure 2.1 presents the </w:t>
      </w:r>
      <w:r w:rsidRPr="0040485A">
        <w:rPr>
          <w:rFonts w:cs="Times New Roman"/>
        </w:rPr>
        <w:t>framework. The seven constructs are arrayed on the left, each with its theoretical source; selection priority is on the right; and the five grouping variables appear beneath as the basis of the difference tests.</w:t>
      </w:r>
    </w:p>
    <w:p w14:paraId="7DA9335F" w14:textId="77777777" w:rsidR="00994AE3" w:rsidRPr="0040485A" w:rsidRDefault="008064C0">
      <w:pPr>
        <w:spacing w:after="80" w:line="360" w:lineRule="auto"/>
        <w:jc w:val="center"/>
        <w:rPr>
          <w:rFonts w:cs="Times New Roman"/>
        </w:rPr>
      </w:pPr>
      <w:r w:rsidRPr="0040485A">
        <w:rPr>
          <w:rFonts w:cs="Times New Roman"/>
          <w:b/>
          <w:sz w:val="22"/>
        </w:rPr>
        <w:t>Figure 2.1: Conceptual research framework</w:t>
      </w:r>
    </w:p>
    <w:tbl>
      <w:tblPr>
        <w:tblStyle w:val="TableGrid"/>
        <w:tblW w:w="0" w:type="auto"/>
        <w:jc w:val="center"/>
        <w:tblLook w:val="04A0" w:firstRow="1" w:lastRow="0" w:firstColumn="1" w:lastColumn="0" w:noHBand="0" w:noVBand="1"/>
      </w:tblPr>
      <w:tblGrid>
        <w:gridCol w:w="2880"/>
        <w:gridCol w:w="2952"/>
        <w:gridCol w:w="936"/>
        <w:gridCol w:w="2232"/>
      </w:tblGrid>
      <w:tr w:rsidR="00994AE3" w:rsidRPr="0040485A" w14:paraId="5BBAAE91" w14:textId="77777777">
        <w:trPr>
          <w:jc w:val="center"/>
        </w:trPr>
        <w:tc>
          <w:tcPr>
            <w:tcW w:w="2880" w:type="dxa"/>
            <w:shd w:val="clear" w:color="auto" w:fill="D9D9D9"/>
          </w:tcPr>
          <w:p w14:paraId="5F24BD45" w14:textId="77777777" w:rsidR="00994AE3" w:rsidRPr="0040485A" w:rsidRDefault="008064C0">
            <w:pPr>
              <w:spacing w:after="40" w:line="240" w:lineRule="auto"/>
              <w:jc w:val="center"/>
              <w:rPr>
                <w:rFonts w:cs="Times New Roman"/>
              </w:rPr>
            </w:pPr>
            <w:r w:rsidRPr="0040485A">
              <w:rPr>
                <w:rFonts w:cs="Times New Roman"/>
                <w:b/>
                <w:sz w:val="17"/>
              </w:rPr>
              <w:t>In</w:t>
            </w:r>
            <w:r w:rsidRPr="0040485A">
              <w:rPr>
                <w:rFonts w:cs="Times New Roman"/>
                <w:b/>
                <w:sz w:val="17"/>
              </w:rPr>
              <w:t>dependent construct</w:t>
            </w:r>
          </w:p>
        </w:tc>
        <w:tc>
          <w:tcPr>
            <w:tcW w:w="2952" w:type="dxa"/>
            <w:shd w:val="clear" w:color="auto" w:fill="D9D9D9"/>
          </w:tcPr>
          <w:p w14:paraId="1F7DE05A" w14:textId="77777777" w:rsidR="00994AE3" w:rsidRPr="0040485A" w:rsidRDefault="008064C0">
            <w:pPr>
              <w:spacing w:after="40" w:line="240" w:lineRule="auto"/>
              <w:jc w:val="center"/>
              <w:rPr>
                <w:rFonts w:cs="Times New Roman"/>
              </w:rPr>
            </w:pPr>
            <w:r w:rsidRPr="0040485A">
              <w:rPr>
                <w:rFonts w:cs="Times New Roman"/>
                <w:b/>
                <w:sz w:val="17"/>
              </w:rPr>
              <w:t>Theoretical source</w:t>
            </w:r>
          </w:p>
        </w:tc>
        <w:tc>
          <w:tcPr>
            <w:tcW w:w="936" w:type="dxa"/>
            <w:shd w:val="clear" w:color="auto" w:fill="D9D9D9"/>
          </w:tcPr>
          <w:p w14:paraId="3B149FD5" w14:textId="77777777" w:rsidR="00994AE3" w:rsidRPr="0040485A" w:rsidRDefault="008064C0">
            <w:pPr>
              <w:spacing w:after="40" w:line="240" w:lineRule="auto"/>
              <w:jc w:val="center"/>
              <w:rPr>
                <w:rFonts w:cs="Times New Roman"/>
              </w:rPr>
            </w:pPr>
            <w:r w:rsidRPr="0040485A">
              <w:rPr>
                <w:rFonts w:cs="Times New Roman"/>
                <w:b/>
                <w:sz w:val="17"/>
              </w:rPr>
              <w:t>Expected sign</w:t>
            </w:r>
          </w:p>
        </w:tc>
        <w:tc>
          <w:tcPr>
            <w:tcW w:w="2232" w:type="dxa"/>
            <w:shd w:val="clear" w:color="auto" w:fill="D9D9D9"/>
          </w:tcPr>
          <w:p w14:paraId="21447EA1" w14:textId="77777777" w:rsidR="00994AE3" w:rsidRPr="0040485A" w:rsidRDefault="008064C0">
            <w:pPr>
              <w:spacing w:after="40" w:line="240" w:lineRule="auto"/>
              <w:jc w:val="center"/>
              <w:rPr>
                <w:rFonts w:cs="Times New Roman"/>
              </w:rPr>
            </w:pPr>
            <w:r w:rsidRPr="0040485A">
              <w:rPr>
                <w:rFonts w:cs="Times New Roman"/>
                <w:b/>
                <w:sz w:val="17"/>
              </w:rPr>
              <w:t>Dependent construct</w:t>
            </w:r>
          </w:p>
        </w:tc>
      </w:tr>
      <w:tr w:rsidR="00994AE3" w:rsidRPr="0040485A" w14:paraId="74E9C217" w14:textId="77777777">
        <w:trPr>
          <w:jc w:val="center"/>
        </w:trPr>
        <w:tc>
          <w:tcPr>
            <w:tcW w:w="2880" w:type="dxa"/>
          </w:tcPr>
          <w:p w14:paraId="23C7E6D7" w14:textId="77777777" w:rsidR="00994AE3" w:rsidRPr="0040485A" w:rsidRDefault="008064C0">
            <w:pPr>
              <w:spacing w:after="40" w:line="240" w:lineRule="auto"/>
              <w:rPr>
                <w:rFonts w:cs="Times New Roman"/>
              </w:rPr>
            </w:pPr>
            <w:r w:rsidRPr="0040485A">
              <w:rPr>
                <w:rFonts w:cs="Times New Roman"/>
                <w:sz w:val="17"/>
              </w:rPr>
              <w:t>COST_COMP – Price Competitiveness</w:t>
            </w:r>
          </w:p>
        </w:tc>
        <w:tc>
          <w:tcPr>
            <w:tcW w:w="2952" w:type="dxa"/>
          </w:tcPr>
          <w:p w14:paraId="46EF8ABD"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EAA5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8C5BCD4" w14:textId="77777777" w:rsidR="00994AE3" w:rsidRPr="0040485A" w:rsidRDefault="008064C0">
            <w:pPr>
              <w:spacing w:after="40" w:line="240" w:lineRule="auto"/>
              <w:jc w:val="center"/>
              <w:rPr>
                <w:rFonts w:cs="Times New Roman"/>
              </w:rPr>
            </w:pPr>
            <w:r w:rsidRPr="0040485A">
              <w:rPr>
                <w:rFonts w:cs="Times New Roman"/>
                <w:sz w:val="17"/>
              </w:rPr>
              <w:t>DEC</w:t>
            </w:r>
            <w:r w:rsidRPr="0040485A">
              <w:rPr>
                <w:rFonts w:cs="Times New Roman"/>
                <w:sz w:val="17"/>
              </w:rPr>
              <w:br/>
            </w:r>
            <w:r w:rsidRPr="0040485A">
              <w:rPr>
                <w:rFonts w:cs="Times New Roman"/>
                <w:sz w:val="17"/>
              </w:rPr>
              <w:br/>
              <w:t>Selection Priority &amp;</w:t>
            </w:r>
            <w:r w:rsidRPr="0040485A">
              <w:rPr>
                <w:rFonts w:cs="Times New Roman"/>
                <w:sz w:val="17"/>
              </w:rPr>
              <w:br/>
              <w:t>Patronage Intention</w:t>
            </w:r>
            <w:r w:rsidRPr="0040485A">
              <w:rPr>
                <w:rFonts w:cs="Times New Roman"/>
                <w:sz w:val="17"/>
              </w:rPr>
              <w:br/>
            </w:r>
            <w:r w:rsidRPr="0040485A">
              <w:rPr>
                <w:rFonts w:cs="Times New Roman"/>
                <w:sz w:val="17"/>
              </w:rPr>
              <w:br/>
              <w:t>(Zeithaml, Berry and</w:t>
            </w:r>
            <w:r w:rsidRPr="0040485A">
              <w:rPr>
                <w:rFonts w:cs="Times New Roman"/>
                <w:sz w:val="17"/>
              </w:rPr>
              <w:br/>
              <w:t>Parasuraman, 1996;</w:t>
            </w:r>
            <w:r w:rsidRPr="0040485A">
              <w:rPr>
                <w:rFonts w:cs="Times New Roman"/>
                <w:sz w:val="17"/>
              </w:rPr>
              <w:br/>
              <w:t>Oliver, 1999)</w:t>
            </w:r>
          </w:p>
        </w:tc>
      </w:tr>
      <w:tr w:rsidR="00994AE3" w:rsidRPr="0040485A" w14:paraId="4B8D68CB" w14:textId="77777777">
        <w:trPr>
          <w:jc w:val="center"/>
        </w:trPr>
        <w:tc>
          <w:tcPr>
            <w:tcW w:w="2880" w:type="dxa"/>
          </w:tcPr>
          <w:p w14:paraId="46C7EB95" w14:textId="77777777" w:rsidR="00994AE3" w:rsidRPr="0040485A" w:rsidRDefault="008064C0">
            <w:pPr>
              <w:spacing w:after="40" w:line="240" w:lineRule="auto"/>
              <w:rPr>
                <w:rFonts w:cs="Times New Roman"/>
              </w:rPr>
            </w:pPr>
            <w:r w:rsidRPr="0040485A">
              <w:rPr>
                <w:rFonts w:cs="Times New Roman"/>
                <w:sz w:val="17"/>
              </w:rPr>
              <w:t>PROC_SPEED – Processing Speed</w:t>
            </w:r>
          </w:p>
        </w:tc>
        <w:tc>
          <w:tcPr>
            <w:tcW w:w="2952" w:type="dxa"/>
          </w:tcPr>
          <w:p w14:paraId="7EA59D73"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32963B5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486E53B0" w14:textId="77777777" w:rsidR="00994AE3" w:rsidRPr="0040485A" w:rsidRDefault="00994AE3">
            <w:pPr>
              <w:spacing w:after="40" w:line="240" w:lineRule="auto"/>
              <w:jc w:val="center"/>
              <w:rPr>
                <w:rFonts w:cs="Times New Roman"/>
              </w:rPr>
            </w:pPr>
          </w:p>
        </w:tc>
      </w:tr>
      <w:tr w:rsidR="00994AE3" w:rsidRPr="0040485A" w14:paraId="3350A83A" w14:textId="77777777">
        <w:trPr>
          <w:jc w:val="center"/>
        </w:trPr>
        <w:tc>
          <w:tcPr>
            <w:tcW w:w="2880" w:type="dxa"/>
          </w:tcPr>
          <w:p w14:paraId="0AFA1621" w14:textId="77777777" w:rsidR="00994AE3" w:rsidRPr="0040485A" w:rsidRDefault="008064C0">
            <w:pPr>
              <w:spacing w:after="40" w:line="240" w:lineRule="auto"/>
              <w:rPr>
                <w:rFonts w:cs="Times New Roman"/>
              </w:rPr>
            </w:pPr>
            <w:r w:rsidRPr="0040485A">
              <w:rPr>
                <w:rFonts w:cs="Times New Roman"/>
                <w:sz w:val="17"/>
              </w:rPr>
              <w:t>DIGITAL_CONV – Digital eFAST Convenience</w:t>
            </w:r>
          </w:p>
        </w:tc>
        <w:tc>
          <w:tcPr>
            <w:tcW w:w="2952" w:type="dxa"/>
          </w:tcPr>
          <w:p w14:paraId="372FB66C" w14:textId="77777777" w:rsidR="00994AE3" w:rsidRPr="0040485A" w:rsidRDefault="008064C0">
            <w:pPr>
              <w:spacing w:after="40" w:line="240" w:lineRule="auto"/>
              <w:rPr>
                <w:rFonts w:cs="Times New Roman"/>
              </w:rPr>
            </w:pPr>
            <w:r w:rsidRPr="0040485A">
              <w:rPr>
                <w:rFonts w:cs="Times New Roman"/>
                <w:sz w:val="17"/>
              </w:rPr>
              <w:t>Davis (1989); Venkatesh et al. (2003)</w:t>
            </w:r>
          </w:p>
        </w:tc>
        <w:tc>
          <w:tcPr>
            <w:tcW w:w="936" w:type="dxa"/>
          </w:tcPr>
          <w:p w14:paraId="3C761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A4A66A6" w14:textId="77777777" w:rsidR="00994AE3" w:rsidRPr="0040485A" w:rsidRDefault="00994AE3">
            <w:pPr>
              <w:spacing w:after="40" w:line="240" w:lineRule="auto"/>
              <w:jc w:val="center"/>
              <w:rPr>
                <w:rFonts w:cs="Times New Roman"/>
              </w:rPr>
            </w:pPr>
          </w:p>
        </w:tc>
      </w:tr>
      <w:tr w:rsidR="00994AE3" w:rsidRPr="0040485A" w14:paraId="261B151E" w14:textId="77777777">
        <w:trPr>
          <w:jc w:val="center"/>
        </w:trPr>
        <w:tc>
          <w:tcPr>
            <w:tcW w:w="2880" w:type="dxa"/>
          </w:tcPr>
          <w:p w14:paraId="38527C35" w14:textId="77777777" w:rsidR="00994AE3" w:rsidRPr="0040485A" w:rsidRDefault="008064C0">
            <w:pPr>
              <w:spacing w:after="40" w:line="240" w:lineRule="auto"/>
              <w:rPr>
                <w:rFonts w:cs="Times New Roman"/>
              </w:rPr>
            </w:pPr>
            <w:r w:rsidRPr="0040485A">
              <w:rPr>
                <w:rFonts w:cs="Times New Roman"/>
                <w:sz w:val="17"/>
              </w:rPr>
              <w:t>BANK_REP – Bank Reputation</w:t>
            </w:r>
          </w:p>
        </w:tc>
        <w:tc>
          <w:tcPr>
            <w:tcW w:w="2952" w:type="dxa"/>
          </w:tcPr>
          <w:p w14:paraId="4F73CD80" w14:textId="77777777" w:rsidR="00994AE3" w:rsidRPr="0040485A" w:rsidRDefault="008064C0">
            <w:pPr>
              <w:spacing w:after="40" w:line="240" w:lineRule="auto"/>
              <w:rPr>
                <w:rFonts w:cs="Times New Roman"/>
              </w:rPr>
            </w:pPr>
            <w:r w:rsidRPr="0040485A">
              <w:rPr>
                <w:rFonts w:cs="Times New Roman"/>
                <w:sz w:val="17"/>
              </w:rPr>
              <w:t>Diamond (1984); Ramakrishnan and Thakor (1984)</w:t>
            </w:r>
          </w:p>
        </w:tc>
        <w:tc>
          <w:tcPr>
            <w:tcW w:w="936" w:type="dxa"/>
          </w:tcPr>
          <w:p w14:paraId="289F95F2"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0D4834B7" w14:textId="77777777" w:rsidR="00994AE3" w:rsidRPr="0040485A" w:rsidRDefault="00994AE3">
            <w:pPr>
              <w:spacing w:after="40" w:line="240" w:lineRule="auto"/>
              <w:jc w:val="center"/>
              <w:rPr>
                <w:rFonts w:cs="Times New Roman"/>
              </w:rPr>
            </w:pPr>
          </w:p>
        </w:tc>
      </w:tr>
      <w:tr w:rsidR="00994AE3" w:rsidRPr="0040485A" w14:paraId="00D3382E" w14:textId="77777777">
        <w:trPr>
          <w:jc w:val="center"/>
        </w:trPr>
        <w:tc>
          <w:tcPr>
            <w:tcW w:w="2880" w:type="dxa"/>
          </w:tcPr>
          <w:p w14:paraId="7805E20F" w14:textId="77777777" w:rsidR="00994AE3" w:rsidRPr="0040485A" w:rsidRDefault="008064C0">
            <w:pPr>
              <w:spacing w:after="40" w:line="240" w:lineRule="auto"/>
              <w:rPr>
                <w:rFonts w:cs="Times New Roman"/>
              </w:rPr>
            </w:pPr>
            <w:r w:rsidRPr="0040485A">
              <w:rPr>
                <w:rFonts w:cs="Times New Roman"/>
                <w:sz w:val="17"/>
              </w:rPr>
              <w:t>RELATIONSHIP – Relatio</w:t>
            </w:r>
            <w:r w:rsidRPr="0040485A">
              <w:rPr>
                <w:rFonts w:cs="Times New Roman"/>
                <w:sz w:val="17"/>
              </w:rPr>
              <w:t>nship &amp; Limits</w:t>
            </w:r>
          </w:p>
        </w:tc>
        <w:tc>
          <w:tcPr>
            <w:tcW w:w="2952" w:type="dxa"/>
          </w:tcPr>
          <w:p w14:paraId="14BE4234" w14:textId="77777777" w:rsidR="00994AE3" w:rsidRPr="0040485A" w:rsidRDefault="008064C0">
            <w:pPr>
              <w:spacing w:after="40" w:line="240" w:lineRule="auto"/>
              <w:rPr>
                <w:rFonts w:cs="Times New Roman"/>
              </w:rPr>
            </w:pPr>
            <w:r w:rsidRPr="0040485A">
              <w:rPr>
                <w:rFonts w:cs="Times New Roman"/>
                <w:sz w:val="17"/>
              </w:rPr>
              <w:t>Boot (2000); Berger and Udell (1995)</w:t>
            </w:r>
          </w:p>
        </w:tc>
        <w:tc>
          <w:tcPr>
            <w:tcW w:w="936" w:type="dxa"/>
          </w:tcPr>
          <w:p w14:paraId="61FE75F8"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7A0083F5" w14:textId="77777777" w:rsidR="00994AE3" w:rsidRPr="0040485A" w:rsidRDefault="00994AE3">
            <w:pPr>
              <w:spacing w:after="40" w:line="240" w:lineRule="auto"/>
              <w:jc w:val="center"/>
              <w:rPr>
                <w:rFonts w:cs="Times New Roman"/>
              </w:rPr>
            </w:pPr>
          </w:p>
        </w:tc>
      </w:tr>
      <w:tr w:rsidR="00994AE3" w:rsidRPr="0040485A" w14:paraId="34B59238" w14:textId="77777777">
        <w:trPr>
          <w:jc w:val="center"/>
        </w:trPr>
        <w:tc>
          <w:tcPr>
            <w:tcW w:w="2880" w:type="dxa"/>
          </w:tcPr>
          <w:p w14:paraId="421EFF06" w14:textId="77777777" w:rsidR="00994AE3" w:rsidRPr="0040485A" w:rsidRDefault="008064C0">
            <w:pPr>
              <w:spacing w:after="40" w:line="240" w:lineRule="auto"/>
              <w:rPr>
                <w:rFonts w:cs="Times New Roman"/>
              </w:rPr>
            </w:pPr>
            <w:r w:rsidRPr="0040485A">
              <w:rPr>
                <w:rFonts w:cs="Times New Roman"/>
                <w:sz w:val="17"/>
              </w:rPr>
              <w:t>STAFF_QUAL – Staff Professionalism</w:t>
            </w:r>
          </w:p>
        </w:tc>
        <w:tc>
          <w:tcPr>
            <w:tcW w:w="2952" w:type="dxa"/>
          </w:tcPr>
          <w:p w14:paraId="3A2A5981"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05B8846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2BB40E7" w14:textId="77777777" w:rsidR="00994AE3" w:rsidRPr="0040485A" w:rsidRDefault="00994AE3">
            <w:pPr>
              <w:spacing w:after="40" w:line="240" w:lineRule="auto"/>
              <w:jc w:val="center"/>
              <w:rPr>
                <w:rFonts w:cs="Times New Roman"/>
              </w:rPr>
            </w:pPr>
          </w:p>
        </w:tc>
      </w:tr>
      <w:tr w:rsidR="00994AE3" w:rsidRPr="0040485A" w14:paraId="14477B6E" w14:textId="77777777">
        <w:trPr>
          <w:jc w:val="center"/>
        </w:trPr>
        <w:tc>
          <w:tcPr>
            <w:tcW w:w="2880" w:type="dxa"/>
          </w:tcPr>
          <w:p w14:paraId="34B73FF1" w14:textId="77777777" w:rsidR="00994AE3" w:rsidRPr="0040485A" w:rsidRDefault="008064C0">
            <w:pPr>
              <w:spacing w:after="40" w:line="240" w:lineRule="auto"/>
              <w:rPr>
                <w:rFonts w:cs="Times New Roman"/>
              </w:rPr>
            </w:pPr>
            <w:r w:rsidRPr="0040485A">
              <w:rPr>
                <w:rFonts w:cs="Times New Roman"/>
                <w:sz w:val="17"/>
              </w:rPr>
              <w:t>COLL_POLICY – Collateral &amp; Margin Flexibility</w:t>
            </w:r>
          </w:p>
        </w:tc>
        <w:tc>
          <w:tcPr>
            <w:tcW w:w="2952" w:type="dxa"/>
          </w:tcPr>
          <w:p w14:paraId="751CD2F8"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DD66CCD"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5618E64A" w14:textId="77777777" w:rsidR="00994AE3" w:rsidRPr="0040485A" w:rsidRDefault="00994AE3">
            <w:pPr>
              <w:spacing w:after="40" w:line="240" w:lineRule="auto"/>
              <w:jc w:val="center"/>
              <w:rPr>
                <w:rFonts w:cs="Times New Roman"/>
              </w:rPr>
            </w:pPr>
          </w:p>
        </w:tc>
      </w:tr>
      <w:tr w:rsidR="00994AE3" w:rsidRPr="0040485A" w14:paraId="4DC6A264" w14:textId="77777777">
        <w:trPr>
          <w:jc w:val="center"/>
        </w:trPr>
        <w:tc>
          <w:tcPr>
            <w:tcW w:w="2880" w:type="dxa"/>
          </w:tcPr>
          <w:p w14:paraId="1556D692" w14:textId="77777777" w:rsidR="00994AE3" w:rsidRPr="0040485A" w:rsidRDefault="008064C0">
            <w:pPr>
              <w:spacing w:after="40" w:line="240" w:lineRule="auto"/>
              <w:rPr>
                <w:rFonts w:cs="Times New Roman"/>
              </w:rPr>
            </w:pPr>
            <w:r w:rsidRPr="0040485A">
              <w:rPr>
                <w:rFonts w:cs="Times New Roman"/>
                <w:sz w:val="17"/>
              </w:rPr>
              <w:t xml:space="preserve">Grouping variables: </w:t>
            </w:r>
            <w:r w:rsidRPr="0040485A">
              <w:rPr>
                <w:rFonts w:cs="Times New Roman"/>
                <w:sz w:val="17"/>
              </w:rPr>
              <w:t>ownership type · revenue size · operating tenure · primary guarantee product · multi-banking status</w:t>
            </w:r>
          </w:p>
        </w:tc>
        <w:tc>
          <w:tcPr>
            <w:tcW w:w="2952" w:type="dxa"/>
          </w:tcPr>
          <w:p w14:paraId="3F726DF0" w14:textId="77777777" w:rsidR="00994AE3" w:rsidRPr="0040485A" w:rsidRDefault="00994AE3">
            <w:pPr>
              <w:spacing w:after="40" w:line="240" w:lineRule="auto"/>
              <w:rPr>
                <w:rFonts w:cs="Times New Roman"/>
              </w:rPr>
            </w:pPr>
          </w:p>
        </w:tc>
        <w:tc>
          <w:tcPr>
            <w:tcW w:w="936" w:type="dxa"/>
          </w:tcPr>
          <w:p w14:paraId="23F0744B" w14:textId="77777777" w:rsidR="00994AE3" w:rsidRPr="0040485A" w:rsidRDefault="008064C0">
            <w:pPr>
              <w:spacing w:after="40" w:line="240" w:lineRule="auto"/>
              <w:rPr>
                <w:rFonts w:cs="Times New Roman"/>
              </w:rPr>
            </w:pPr>
            <w:r w:rsidRPr="0040485A">
              <w:rPr>
                <w:rFonts w:cs="Times New Roman"/>
                <w:sz w:val="17"/>
              </w:rPr>
              <w:t>H8</w:t>
            </w:r>
          </w:p>
        </w:tc>
        <w:tc>
          <w:tcPr>
            <w:tcW w:w="2232" w:type="dxa"/>
          </w:tcPr>
          <w:p w14:paraId="5AAA2E7F" w14:textId="77777777" w:rsidR="00994AE3" w:rsidRPr="0040485A" w:rsidRDefault="00994AE3">
            <w:pPr>
              <w:spacing w:after="40" w:line="240" w:lineRule="auto"/>
              <w:jc w:val="center"/>
              <w:rPr>
                <w:rFonts w:cs="Times New Roman"/>
              </w:rPr>
            </w:pPr>
          </w:p>
        </w:tc>
      </w:tr>
    </w:tbl>
    <w:p w14:paraId="5850B184" w14:textId="77777777" w:rsidR="00994AE3" w:rsidRPr="0040485A" w:rsidRDefault="00994AE3">
      <w:pPr>
        <w:rPr>
          <w:rFonts w:cs="Times New Roman"/>
        </w:rPr>
      </w:pPr>
    </w:p>
    <w:p w14:paraId="2AB6F0F7" w14:textId="77777777" w:rsidR="00994AE3" w:rsidRPr="0040485A" w:rsidRDefault="008064C0">
      <w:pPr>
        <w:spacing w:after="200" w:line="360" w:lineRule="auto"/>
        <w:jc w:val="center"/>
        <w:rPr>
          <w:rFonts w:cs="Times New Roman"/>
        </w:rPr>
      </w:pPr>
      <w:r w:rsidRPr="0040485A">
        <w:rPr>
          <w:rFonts w:cs="Times New Roman"/>
          <w:i/>
          <w:sz w:val="20"/>
        </w:rPr>
        <w:t>Source: constructed by the author from the theoretical framework in Section 2.2.</w:t>
      </w:r>
    </w:p>
    <w:p w14:paraId="47470FA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2.5.2. Hypothesis Development</w:t>
      </w:r>
    </w:p>
    <w:p w14:paraId="0C30E818" w14:textId="77777777" w:rsidR="00994AE3" w:rsidRPr="0040485A" w:rsidRDefault="008064C0">
      <w:pPr>
        <w:spacing w:after="160" w:line="360" w:lineRule="auto"/>
        <w:ind w:firstLine="360"/>
        <w:jc w:val="both"/>
        <w:rPr>
          <w:rFonts w:cs="Times New Roman"/>
        </w:rPr>
      </w:pPr>
      <w:r w:rsidRPr="0040485A">
        <w:rPr>
          <w:rFonts w:cs="Times New Roman"/>
        </w:rPr>
        <w:t xml:space="preserve">Eight hypotheses follow from the </w:t>
      </w:r>
      <w:r w:rsidRPr="0040485A">
        <w:rPr>
          <w:rFonts w:cs="Times New Roman"/>
        </w:rPr>
        <w:t>framework. Seven concern the association between an individual construct and selection priority; the eighth concerns differences across firm characteristics. All seven directional hypotheses are positive, which requires a word of explanation. In a model of</w:t>
      </w:r>
      <w:r w:rsidRPr="0040485A">
        <w:rPr>
          <w:rFonts w:cs="Times New Roman"/>
        </w:rPr>
        <w:t xml:space="preserve"> this kind a negative sign would be expected for any construct measuring a sacrifice the customer incurs. No construct here is measured in that form: the fee construct records the enterprise's evaluation of how reasonable and competitive the pricing is, no</w:t>
      </w:r>
      <w:r w:rsidRPr="0040485A">
        <w:rPr>
          <w:rFonts w:cs="Times New Roman"/>
        </w:rPr>
        <w:t>t the level of the fee itself, so a higher score denotes a more favourable rather than a more onerous condition. Uniform positive signs are therefore a property of the measurement direction, not an assumption that price is irrelevant.</w:t>
      </w:r>
    </w:p>
    <w:p w14:paraId="4B449372" w14:textId="77777777" w:rsidR="00994AE3" w:rsidRPr="0040485A" w:rsidRDefault="008064C0">
      <w:pPr>
        <w:spacing w:after="160" w:line="360" w:lineRule="auto"/>
        <w:ind w:left="360"/>
        <w:jc w:val="both"/>
        <w:rPr>
          <w:rFonts w:cs="Times New Roman"/>
        </w:rPr>
      </w:pPr>
      <w:r w:rsidRPr="0040485A">
        <w:rPr>
          <w:rFonts w:cs="Times New Roman"/>
        </w:rPr>
        <w:t>H1. Price Competitive</w:t>
      </w:r>
      <w:r w:rsidRPr="0040485A">
        <w:rPr>
          <w:rFonts w:cs="Times New Roman"/>
        </w:rPr>
        <w:t xml:space="preserve">ness (COST_COMP) is positively associated with corporate selection priority. Credit risk pricing theory treats the guarantee fee as the price of a contingent exposure (Merton, 1974), and enterprises facing low switching costs can compare that price across </w:t>
      </w:r>
      <w:r w:rsidRPr="0040485A">
        <w:rPr>
          <w:rFonts w:cs="Times New Roman"/>
        </w:rPr>
        <w:t>banks. Where the fee schedule is judged reasonable relative to the service received and competitive against alternatives, the enterprise has a direct financial reason to concentrate its guarantee business at that bank. The international evidence that price</w:t>
      </w:r>
      <w:r w:rsidRPr="0040485A">
        <w:rPr>
          <w:rFonts w:cs="Times New Roman"/>
        </w:rPr>
        <w:t xml:space="preserve"> is not the dominant criterion (Turnbull and Gibbs, 1989) does not imply that it is immaterial; it implies that its coefficient should be positive but need not be the largest.</w:t>
      </w:r>
    </w:p>
    <w:p w14:paraId="20D95522" w14:textId="77777777" w:rsidR="00994AE3" w:rsidRPr="0040485A" w:rsidRDefault="008064C0">
      <w:pPr>
        <w:spacing w:after="160" w:line="360" w:lineRule="auto"/>
        <w:ind w:left="360"/>
        <w:jc w:val="both"/>
        <w:rPr>
          <w:rFonts w:cs="Times New Roman"/>
        </w:rPr>
      </w:pPr>
      <w:r w:rsidRPr="0040485A">
        <w:rPr>
          <w:rFonts w:cs="Times New Roman"/>
        </w:rPr>
        <w:t xml:space="preserve">H2. Processing Speed (PROC_SPEED) is positively associated with </w:t>
      </w:r>
      <w:r w:rsidRPr="0040485A">
        <w:rPr>
          <w:rFonts w:cs="Times New Roman"/>
        </w:rPr>
        <w:t>corporate selection priority. The responsiveness dimension of SERVQUAL (Parasuraman, Zeithaml and Berry, 1988) acquires unusual force in this product because guarantee deadlines are externally imposed. A tender guarantee that arrives after the submission d</w:t>
      </w:r>
      <w:r w:rsidRPr="0040485A">
        <w:rPr>
          <w:rFonts w:cs="Times New Roman"/>
        </w:rPr>
        <w:t>eadline has no value at any price, and an advance payment guarantee delayed beyond the contract milestone postpones the release of funds to the contractor. Speed here is not a matter of comfort but of whether the enterprise can transact at all.</w:t>
      </w:r>
    </w:p>
    <w:p w14:paraId="4CA3AF39" w14:textId="77777777" w:rsidR="00994AE3" w:rsidRPr="0040485A" w:rsidRDefault="008064C0">
      <w:pPr>
        <w:spacing w:after="160" w:line="360" w:lineRule="auto"/>
        <w:ind w:left="360"/>
        <w:jc w:val="both"/>
        <w:rPr>
          <w:rFonts w:cs="Times New Roman"/>
        </w:rPr>
      </w:pPr>
      <w:r w:rsidRPr="0040485A">
        <w:rPr>
          <w:rFonts w:cs="Times New Roman"/>
        </w:rPr>
        <w:t>H3. Digital</w:t>
      </w:r>
      <w:r w:rsidRPr="0040485A">
        <w:rPr>
          <w:rFonts w:cs="Times New Roman"/>
        </w:rPr>
        <w:t xml:space="preserve"> eFAST Convenience (DIGITAL_CONV) is positively associated with corporate selection priority. The Technology Acceptance Model (Davis, 1989; Venkatesh et al., 2003) predicts that perceived usefulness and ease of use drive adoption, and Circular No. </w:t>
      </w:r>
      <w:r w:rsidRPr="0040485A">
        <w:rPr>
          <w:rFonts w:cs="Times New Roman"/>
        </w:rPr>
        <w:lastRenderedPageBreak/>
        <w:t>61/2024/</w:t>
      </w:r>
      <w:r w:rsidRPr="0040485A">
        <w:rPr>
          <w:rFonts w:cs="Times New Roman"/>
        </w:rPr>
        <w:t>TT-NHNN has made the electronic channel legally effective rather than merely internally convenient. Online submission outside business hours, digitally signed issuance and online authentication collapse the elapsed time of the transaction, which under H2 i</w:t>
      </w:r>
      <w:r w:rsidRPr="0040485A">
        <w:rPr>
          <w:rFonts w:cs="Times New Roman"/>
        </w:rPr>
        <w:t>s precisely what the enterprise values.</w:t>
      </w:r>
    </w:p>
    <w:p w14:paraId="3E860E8D" w14:textId="77777777" w:rsidR="00994AE3" w:rsidRPr="0040485A" w:rsidRDefault="008064C0">
      <w:pPr>
        <w:spacing w:after="160" w:line="360" w:lineRule="auto"/>
        <w:ind w:left="360"/>
        <w:jc w:val="both"/>
        <w:rPr>
          <w:rFonts w:cs="Times New Roman"/>
        </w:rPr>
      </w:pPr>
      <w:r w:rsidRPr="0040485A">
        <w:rPr>
          <w:rFonts w:cs="Times New Roman"/>
        </w:rPr>
        <w:t>H4. Bank Reputation (BANK_REP) is positively associated with corporate selection priority. Delegated monitoring theory (Diamond, 1984; Ramakrishnan and Thakor, 1984) establishes that the instrument works only because</w:t>
      </w:r>
      <w:r w:rsidRPr="0040485A">
        <w:rPr>
          <w:rFonts w:cs="Times New Roman"/>
        </w:rPr>
        <w:t xml:space="preserve"> the beneficiary accepts the issuer's undertaking in place of the principal's. Reputation is therefore not an ancillary attribute but a condition of the product's usefulness, and Ho Dinh Phi et al. (2023) provide Vietnamese evidence that institutional repu</w:t>
      </w:r>
      <w:r w:rsidRPr="0040485A">
        <w:rPr>
          <w:rFonts w:cs="Times New Roman"/>
        </w:rPr>
        <w:t>tation operates on customer outcomes in this market.</w:t>
      </w:r>
    </w:p>
    <w:p w14:paraId="37E8FFD4" w14:textId="77777777" w:rsidR="00994AE3" w:rsidRPr="0040485A" w:rsidRDefault="008064C0">
      <w:pPr>
        <w:spacing w:after="160" w:line="360" w:lineRule="auto"/>
        <w:ind w:left="360"/>
        <w:jc w:val="both"/>
        <w:rPr>
          <w:rFonts w:cs="Times New Roman"/>
        </w:rPr>
      </w:pPr>
      <w:r w:rsidRPr="0040485A">
        <w:rPr>
          <w:rFonts w:cs="Times New Roman"/>
        </w:rPr>
        <w:t>H5. Relationship Banking and Limits (RELATIONSHIP) is positively associated with corporate selection priority. Relationship banking theory (Boot, 2000) holds that proprietary information accumulated thro</w:t>
      </w:r>
      <w:r w:rsidRPr="0040485A">
        <w:rPr>
          <w:rFonts w:cs="Times New Roman"/>
        </w:rPr>
        <w:t>ugh a continuing relationship lowers the cost of assessment, and Berger and Udell (1995) show empirically that longer relationships secure more favourable credit terms. Applied to guarantees, an enterprise whose accounts and credit conduct are already visi</w:t>
      </w:r>
      <w:r w:rsidRPr="0040485A">
        <w:rPr>
          <w:rFonts w:cs="Times New Roman"/>
        </w:rPr>
        <w:t>ble to the bank obtains standing limits and faster approval, both of which raise the priority it assigns to that bank.</w:t>
      </w:r>
    </w:p>
    <w:p w14:paraId="00AB423C" w14:textId="77777777" w:rsidR="00994AE3" w:rsidRPr="0040485A" w:rsidRDefault="008064C0">
      <w:pPr>
        <w:spacing w:after="160" w:line="360" w:lineRule="auto"/>
        <w:ind w:left="360"/>
        <w:jc w:val="both"/>
        <w:rPr>
          <w:rFonts w:cs="Times New Roman"/>
        </w:rPr>
      </w:pPr>
      <w:r w:rsidRPr="0040485A">
        <w:rPr>
          <w:rFonts w:cs="Times New Roman"/>
        </w:rPr>
        <w:t>H6. Staff Professionalism (STAFF_QUAL) is positively associated with corporate selection priority. The assurance dimension of SERVQUAL co</w:t>
      </w:r>
      <w:r w:rsidRPr="0040485A">
        <w:rPr>
          <w:rFonts w:cs="Times New Roman"/>
        </w:rPr>
        <w:t>ncerns staff competence and the confidence it inspires. In guarantee operations this has a specific financial dimension: an officer who can draft wording consistent with the Law on Bidding, Circular 61/2024 and URDG 758 reduces the enterprise's exposure to</w:t>
      </w:r>
      <w:r w:rsidRPr="0040485A">
        <w:rPr>
          <w:rFonts w:cs="Times New Roman"/>
        </w:rPr>
        <w:t xml:space="preserve"> an unfair or abusive call on the instrument, a risk documented in the guarantee literature (Bertrams, 2013).</w:t>
      </w:r>
    </w:p>
    <w:p w14:paraId="45189F95" w14:textId="77777777" w:rsidR="00994AE3" w:rsidRPr="0040485A" w:rsidRDefault="008064C0">
      <w:pPr>
        <w:spacing w:after="160" w:line="360" w:lineRule="auto"/>
        <w:ind w:left="360"/>
        <w:jc w:val="both"/>
        <w:rPr>
          <w:rFonts w:cs="Times New Roman"/>
        </w:rPr>
      </w:pPr>
      <w:r w:rsidRPr="0040485A">
        <w:rPr>
          <w:rFonts w:cs="Times New Roman"/>
        </w:rPr>
        <w:t>H7. Collateral and Margin Flexibility (COLL_POLICY) is positively associated with corporate selection priority. Stiglitz and Weiss (1981) show tha</w:t>
      </w:r>
      <w:r w:rsidRPr="0040485A">
        <w:rPr>
          <w:rFonts w:cs="Times New Roman"/>
        </w:rPr>
        <w:t>t lenders facing imperfect information ration through non-price terms rather than price alone, and cash margin is the principal such term in guarantee operations. A margin requirement immobilises working capital, so the opportunity cost of a demanding marg</w:t>
      </w:r>
      <w:r w:rsidRPr="0040485A">
        <w:rPr>
          <w:rFonts w:cs="Times New Roman"/>
        </w:rPr>
        <w:t>in can exceed the fee itself; flexibility on this dimension is therefore a substantive competitive instrument, not an administrative detail.</w:t>
      </w:r>
    </w:p>
    <w:p w14:paraId="5CAF0247" w14:textId="77777777" w:rsidR="00994AE3" w:rsidRPr="0040485A" w:rsidRDefault="008064C0">
      <w:pPr>
        <w:spacing w:after="160" w:line="360" w:lineRule="auto"/>
        <w:ind w:left="360"/>
        <w:jc w:val="both"/>
        <w:rPr>
          <w:rFonts w:cs="Times New Roman"/>
        </w:rPr>
      </w:pPr>
      <w:r w:rsidRPr="0040485A">
        <w:rPr>
          <w:rFonts w:cs="Times New Roman"/>
        </w:rPr>
        <w:lastRenderedPageBreak/>
        <w:t>H8. Corporate selection priority differs significantly across firm characteristics, specifically ownership type, re</w:t>
      </w:r>
      <w:r w:rsidRPr="0040485A">
        <w:rPr>
          <w:rFonts w:cs="Times New Roman"/>
        </w:rPr>
        <w:t xml:space="preserve">venue size, operating tenure, and primary guarantee product line. The international literature indicates that the weighting of selection criteria varies with firm characteristics (Turnbull and Gibbs, 1989; Kaur et al., 2021), and Section 2.1.2 established </w:t>
      </w:r>
      <w:r w:rsidRPr="0040485A">
        <w:rPr>
          <w:rFonts w:cs="Times New Roman"/>
        </w:rPr>
        <w:t>that the guarantee products themselves impose different demands on the issuing bank: a tender guarantee is decided on speed, while a performance or advance payment guarantee is decided on appraisal and security terms. State-owned enterprises, private firms</w:t>
      </w:r>
      <w:r w:rsidRPr="0040485A">
        <w:rPr>
          <w:rFonts w:cs="Times New Roman"/>
        </w:rPr>
        <w:t xml:space="preserve"> and foreign-invested firms face different procurement regimes and different counterparties, which is why the questionnaire separates them rather than pooling state and foreign ownership into a single category.</w:t>
      </w:r>
    </w:p>
    <w:p w14:paraId="40F7395B" w14:textId="77777777" w:rsidR="00994AE3" w:rsidRPr="0040485A" w:rsidRDefault="008064C0">
      <w:pPr>
        <w:spacing w:after="160" w:line="360" w:lineRule="auto"/>
        <w:ind w:firstLine="360"/>
        <w:jc w:val="both"/>
        <w:rPr>
          <w:rFonts w:cs="Times New Roman"/>
        </w:rPr>
      </w:pPr>
      <w:r w:rsidRPr="0040485A">
        <w:rPr>
          <w:rFonts w:cs="Times New Roman"/>
        </w:rPr>
        <w:t>The eight hypotheses are tested through the p</w:t>
      </w:r>
      <w:r w:rsidRPr="0040485A">
        <w:rPr>
          <w:rFonts w:cs="Times New Roman"/>
        </w:rPr>
        <w:t>rocedures set out in Chapter 3: H1 to H7 through the coefficients of the regression model specified in equation (3.1), and H8 through the analysis of variance and t-test procedures described in Section 3.4.7.</w:t>
      </w:r>
    </w:p>
    <w:p w14:paraId="6760308C" w14:textId="77777777" w:rsidR="00994AE3" w:rsidRPr="0040485A" w:rsidRDefault="008064C0">
      <w:pPr>
        <w:rPr>
          <w:rFonts w:cs="Times New Roman"/>
        </w:rPr>
      </w:pPr>
      <w:r w:rsidRPr="0040485A">
        <w:rPr>
          <w:rFonts w:cs="Times New Roman"/>
        </w:rPr>
        <w:br w:type="page"/>
      </w:r>
    </w:p>
    <w:p w14:paraId="7033588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3: RESEARCH METHODOLOGY AND EMPIRICAL</w:t>
      </w:r>
      <w:r w:rsidRPr="0040485A">
        <w:rPr>
          <w:rFonts w:ascii="Times New Roman" w:hAnsi="Times New Roman" w:cs="Times New Roman"/>
        </w:rPr>
        <w:t xml:space="preserve"> DESIGN</w:t>
      </w:r>
    </w:p>
    <w:p w14:paraId="7CD9166D"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3.1. Overall Research Design &amp; Analytical Process</w:t>
      </w:r>
    </w:p>
    <w:p w14:paraId="2F3E4185" w14:textId="77777777" w:rsidR="00994AE3" w:rsidRPr="0040485A" w:rsidRDefault="008064C0">
      <w:pPr>
        <w:spacing w:after="160" w:line="360" w:lineRule="auto"/>
        <w:ind w:firstLine="360"/>
        <w:jc w:val="both"/>
        <w:rPr>
          <w:rFonts w:cs="Times New Roman"/>
        </w:rPr>
      </w:pPr>
      <w:r w:rsidRPr="0040485A">
        <w:rPr>
          <w:rFonts w:cs="Times New Roman"/>
        </w:rPr>
        <w:t>This study adopts a quantitative research design grounded in the positivist paradigm. The logic of enquiry is deductive: hypotheses H1 to H8 are derived from the theoretical framework established in</w:t>
      </w:r>
      <w:r w:rsidRPr="0040485A">
        <w:rPr>
          <w:rFonts w:cs="Times New Roman"/>
        </w:rPr>
        <w:t xml:space="preserve"> Chapter 2 and are then subjected to empirical testing against primary survey data. A quantitative approach is appropriate because the research questions concern not merely which attributes corporate customers consider, but the direction, statistical signi</w:t>
      </w:r>
      <w:r w:rsidRPr="0040485A">
        <w:rPr>
          <w:rFonts w:cs="Times New Roman"/>
        </w:rPr>
        <w:t>ficance and relative magnitude of each attribute's association with selection priority. Answering RQ2 in particular requires a ranking of effect sizes that only a multivariate estimation procedure can deliver.</w:t>
      </w:r>
    </w:p>
    <w:p w14:paraId="026450C7" w14:textId="77777777" w:rsidR="00994AE3" w:rsidRPr="0040485A" w:rsidRDefault="008064C0">
      <w:pPr>
        <w:spacing w:after="160" w:line="360" w:lineRule="auto"/>
        <w:ind w:firstLine="360"/>
        <w:jc w:val="both"/>
        <w:rPr>
          <w:rFonts w:cs="Times New Roman"/>
        </w:rPr>
      </w:pPr>
      <w:r w:rsidRPr="0040485A">
        <w:rPr>
          <w:rFonts w:cs="Times New Roman"/>
        </w:rPr>
        <w:t>The design is cross-sectional. Data are collec</w:t>
      </w:r>
      <w:r w:rsidRPr="0040485A">
        <w:rPr>
          <w:rFonts w:cs="Times New Roman"/>
        </w:rPr>
        <w:t>ted at a single point in time from a large sample of corporate enterprises, rather than tracking the same enterprises over successive periods. This choice reflects the practical constraints of a master's thesis and is standard in the corporate bank selecti</w:t>
      </w:r>
      <w:r w:rsidRPr="0040485A">
        <w:rPr>
          <w:rFonts w:cs="Times New Roman"/>
        </w:rPr>
        <w:t>on literature (Turnbull and Gibbs, 1989; Narteh, 2013; Kaur et al., 2021; Zelie, 2023). Its principal limitation, namely the inability to establish temporal precedence and therefore strict causality, is acknowledged in Section 4.10; the relationships repor</w:t>
      </w:r>
      <w:r w:rsidRPr="0040485A">
        <w:rPr>
          <w:rFonts w:cs="Times New Roman"/>
        </w:rPr>
        <w:t>ted in this thesis are associational rather than causal.</w:t>
      </w:r>
    </w:p>
    <w:p w14:paraId="5D7BA461" w14:textId="77777777" w:rsidR="00994AE3" w:rsidRPr="0040485A" w:rsidRDefault="008064C0">
      <w:pPr>
        <w:spacing w:after="160" w:line="360" w:lineRule="auto"/>
        <w:ind w:firstLine="360"/>
        <w:jc w:val="both"/>
        <w:rPr>
          <w:rFonts w:cs="Times New Roman"/>
        </w:rPr>
      </w:pPr>
      <w:r w:rsidRPr="0040485A">
        <w:rPr>
          <w:rFonts w:cs="Times New Roman"/>
        </w:rPr>
        <w:t>The unit of analysis is the enterprise, not the individual respondent. Each questionnaire is completed by one officer authorised to speak for the enterprise on guarantee matters, and the responses ar</w:t>
      </w:r>
      <w:r w:rsidRPr="0040485A">
        <w:rPr>
          <w:rFonts w:cs="Times New Roman"/>
        </w:rPr>
        <w:t>e interpreted as organisational rather than personal evaluations. This is consistent with the organisational buying behaviour perspective adopted in Chapter 2.</w:t>
      </w:r>
    </w:p>
    <w:p w14:paraId="6B5DFF05" w14:textId="77777777" w:rsidR="00994AE3" w:rsidRPr="0040485A" w:rsidRDefault="008064C0">
      <w:pPr>
        <w:spacing w:after="160" w:line="360" w:lineRule="auto"/>
        <w:ind w:firstLine="360"/>
        <w:jc w:val="both"/>
        <w:rPr>
          <w:rFonts w:cs="Times New Roman"/>
        </w:rPr>
      </w:pPr>
      <w:r w:rsidRPr="0040485A">
        <w:rPr>
          <w:rFonts w:cs="Times New Roman"/>
        </w:rPr>
        <w:t>Following the analytical sequence approved by the supervisor, the empirical work proceeds throug</w:t>
      </w:r>
      <w:r w:rsidRPr="0040485A">
        <w:rPr>
          <w:rFonts w:cs="Times New Roman"/>
        </w:rPr>
        <w:t>h seven steps, each serving a distinct methodological purpose:</w:t>
      </w:r>
    </w:p>
    <w:p w14:paraId="100D553C" w14:textId="77777777" w:rsidR="00994AE3" w:rsidRPr="0040485A" w:rsidRDefault="008064C0">
      <w:pPr>
        <w:spacing w:after="100" w:line="336" w:lineRule="auto"/>
        <w:ind w:left="576" w:hanging="288"/>
        <w:jc w:val="both"/>
        <w:rPr>
          <w:rFonts w:cs="Times New Roman"/>
        </w:rPr>
      </w:pPr>
      <w:r w:rsidRPr="0040485A">
        <w:rPr>
          <w:rFonts w:cs="Times New Roman"/>
        </w:rPr>
        <w:t>– Step 1 – Descriptive statistics. Profiling the sample and screening the data for quality problems before any inferential procedure is applied.</w:t>
      </w:r>
    </w:p>
    <w:p w14:paraId="6A8BA05B" w14:textId="77777777" w:rsidR="00994AE3" w:rsidRPr="0040485A" w:rsidRDefault="008064C0">
      <w:pPr>
        <w:spacing w:after="100" w:line="336" w:lineRule="auto"/>
        <w:ind w:left="576" w:hanging="288"/>
        <w:jc w:val="both"/>
        <w:rPr>
          <w:rFonts w:cs="Times New Roman"/>
        </w:rPr>
      </w:pPr>
      <w:r w:rsidRPr="0040485A">
        <w:rPr>
          <w:rFonts w:cs="Times New Roman"/>
        </w:rPr>
        <w:t>– Step 2 – Reliability testing (Cronbach's Alpha</w:t>
      </w:r>
      <w:r w:rsidRPr="0040485A">
        <w:rPr>
          <w:rFonts w:cs="Times New Roman"/>
        </w:rPr>
        <w:t>). Verifying that the four indicators of each construct measure a common underlying dimension consistently.</w:t>
      </w:r>
    </w:p>
    <w:p w14:paraId="0993C0CB" w14:textId="77777777" w:rsidR="00994AE3" w:rsidRPr="0040485A" w:rsidRDefault="008064C0">
      <w:pPr>
        <w:spacing w:after="100" w:line="336" w:lineRule="auto"/>
        <w:ind w:left="576" w:hanging="288"/>
        <w:jc w:val="both"/>
        <w:rPr>
          <w:rFonts w:cs="Times New Roman"/>
        </w:rPr>
      </w:pPr>
      <w:r w:rsidRPr="0040485A">
        <w:rPr>
          <w:rFonts w:cs="Times New Roman"/>
        </w:rPr>
        <w:t>– Step 3 – Exploratory Factor Analysis. Establishing that the observed indicators group into the factor structure the conceptual framework predicts,</w:t>
      </w:r>
      <w:r w:rsidRPr="0040485A">
        <w:rPr>
          <w:rFonts w:cs="Times New Roman"/>
        </w:rPr>
        <w:t xml:space="preserve"> and that constructs are empirically distinguishable.</w:t>
      </w:r>
    </w:p>
    <w:p w14:paraId="0457D749"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Step 4 – Factor score extraction. Converting the retained indicators into a single representative variable per construct for use in regression.</w:t>
      </w:r>
    </w:p>
    <w:p w14:paraId="38EAAD17" w14:textId="77777777" w:rsidR="00994AE3" w:rsidRPr="0040485A" w:rsidRDefault="008064C0">
      <w:pPr>
        <w:spacing w:after="100" w:line="336" w:lineRule="auto"/>
        <w:ind w:left="576" w:hanging="288"/>
        <w:jc w:val="both"/>
        <w:rPr>
          <w:rFonts w:cs="Times New Roman"/>
        </w:rPr>
      </w:pPr>
      <w:r w:rsidRPr="0040485A">
        <w:rPr>
          <w:rFonts w:cs="Times New Roman"/>
        </w:rPr>
        <w:t>– Step 5 – Pearson correlation analysis. Examining the b</w:t>
      </w:r>
      <w:r w:rsidRPr="0040485A">
        <w:rPr>
          <w:rFonts w:cs="Times New Roman"/>
        </w:rPr>
        <w:t>ivariate association between each independent construct and the dependent construct, and detecting early signs of excessive inter-construct correlation.</w:t>
      </w:r>
    </w:p>
    <w:p w14:paraId="1DFF0D38" w14:textId="77777777" w:rsidR="00994AE3" w:rsidRPr="0040485A" w:rsidRDefault="008064C0">
      <w:pPr>
        <w:spacing w:after="100" w:line="336" w:lineRule="auto"/>
        <w:ind w:left="576" w:hanging="288"/>
        <w:jc w:val="both"/>
        <w:rPr>
          <w:rFonts w:cs="Times New Roman"/>
        </w:rPr>
      </w:pPr>
      <w:r w:rsidRPr="0040485A">
        <w:rPr>
          <w:rFonts w:cs="Times New Roman"/>
        </w:rPr>
        <w:t xml:space="preserve">– Step 6 – Multicollinearity diagnostics. Confirming through variance inflation factors that the </w:t>
      </w:r>
      <w:r w:rsidRPr="0040485A">
        <w:rPr>
          <w:rFonts w:cs="Times New Roman"/>
        </w:rPr>
        <w:t>independent constructs do not overlap to a degree that would destabilise the coefficient estimates.</w:t>
      </w:r>
    </w:p>
    <w:p w14:paraId="5CAAEA38" w14:textId="77777777" w:rsidR="00994AE3" w:rsidRPr="0040485A" w:rsidRDefault="008064C0">
      <w:pPr>
        <w:spacing w:after="100" w:line="336" w:lineRule="auto"/>
        <w:ind w:left="576" w:hanging="288"/>
        <w:jc w:val="both"/>
        <w:rPr>
          <w:rFonts w:cs="Times New Roman"/>
        </w:rPr>
      </w:pPr>
      <w:r w:rsidRPr="0040485A">
        <w:rPr>
          <w:rFonts w:cs="Times New Roman"/>
        </w:rPr>
        <w:t>– Step 7 – OLS regression and sub-group difference testing. Estimating the magnitude and significance of each construct's association with selection priorit</w:t>
      </w:r>
      <w:r w:rsidRPr="0040485A">
        <w:rPr>
          <w:rFonts w:cs="Times New Roman"/>
        </w:rPr>
        <w:t>y, and testing whether that association differs across firm characteristics.</w:t>
      </w:r>
    </w:p>
    <w:p w14:paraId="23E84E1F" w14:textId="77777777" w:rsidR="00994AE3" w:rsidRPr="0040485A" w:rsidRDefault="008064C0">
      <w:pPr>
        <w:spacing w:after="160" w:line="360" w:lineRule="auto"/>
        <w:ind w:firstLine="360"/>
        <w:jc w:val="both"/>
        <w:rPr>
          <w:rFonts w:cs="Times New Roman"/>
        </w:rPr>
      </w:pPr>
      <w:r w:rsidRPr="0040485A">
        <w:rPr>
          <w:rFonts w:cs="Times New Roman"/>
        </w:rPr>
        <w:t>Steps 2 and 3 function jointly as the measurement validation stage: no construct enters the regression model until its indicators have demonstrated both internal consistency and c</w:t>
      </w:r>
      <w:r w:rsidRPr="0040485A">
        <w:rPr>
          <w:rFonts w:cs="Times New Roman"/>
        </w:rPr>
        <w:t xml:space="preserve">onvergent and discriminant validity. All computations are performed in Python, using the pandas library for data management, factor_analyzer for reliability and factor analysis, statsmodels for regression and diagnostics, and pingouin for group difference </w:t>
      </w:r>
      <w:r w:rsidRPr="0040485A">
        <w:rPr>
          <w:rFonts w:cs="Times New Roman"/>
        </w:rPr>
        <w:t>tests. Full outputs are reproduced in Appendices 1 to 4.</w:t>
      </w:r>
    </w:p>
    <w:p w14:paraId="2209C4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3.2. Questionnaire Design &amp; Measurement Scales</w:t>
      </w:r>
    </w:p>
    <w:p w14:paraId="6BCB947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3.2.1. Operationalization of Variables</w:t>
      </w:r>
    </w:p>
    <w:p w14:paraId="7C0A7A3B" w14:textId="77777777" w:rsidR="00994AE3" w:rsidRPr="0040485A" w:rsidRDefault="008064C0">
      <w:pPr>
        <w:spacing w:after="160" w:line="360" w:lineRule="auto"/>
        <w:ind w:firstLine="360"/>
        <w:jc w:val="both"/>
        <w:rPr>
          <w:rFonts w:cs="Times New Roman"/>
        </w:rPr>
      </w:pPr>
      <w:r w:rsidRPr="0040485A">
        <w:rPr>
          <w:rFonts w:cs="Times New Roman"/>
        </w:rPr>
        <w:t>All eight constructs in the research model are latent variables: they cannot be observed directly and must be inf</w:t>
      </w:r>
      <w:r w:rsidRPr="0040485A">
        <w:rPr>
          <w:rFonts w:cs="Times New Roman"/>
        </w:rPr>
        <w:t xml:space="preserve">erred from responses to a set of observed indicators. Each construct is modelled as reflective, meaning that the latent construct is understood to cause the observed responses, so that the indicators of a given construct should correlate strongly with one </w:t>
      </w:r>
      <w:r w:rsidRPr="0040485A">
        <w:rPr>
          <w:rFonts w:cs="Times New Roman"/>
        </w:rPr>
        <w:t>another and be interchangeable manifestations of the same underlying dimension.</w:t>
      </w:r>
    </w:p>
    <w:p w14:paraId="390018DA" w14:textId="77777777" w:rsidR="00994AE3" w:rsidRPr="0040485A" w:rsidRDefault="008064C0">
      <w:pPr>
        <w:spacing w:after="160" w:line="360" w:lineRule="auto"/>
        <w:ind w:firstLine="360"/>
        <w:jc w:val="both"/>
        <w:rPr>
          <w:rFonts w:cs="Times New Roman"/>
        </w:rPr>
      </w:pPr>
      <w:r w:rsidRPr="0040485A">
        <w:rPr>
          <w:rFonts w:cs="Times New Roman"/>
        </w:rPr>
        <w:t>Each construct, including the dependent construct, is measured by four indicators. Three indicators is the minimum required for a construct to be identified in factor analysis;</w:t>
      </w:r>
      <w:r w:rsidRPr="0040485A">
        <w:rPr>
          <w:rFonts w:cs="Times New Roman"/>
        </w:rPr>
        <w:t xml:space="preserve"> a fourth is included as headroom, so that if an indicator is removed at the reliability or factor analysis stage the construct still retains three and need not be abandoned. This decision responds directly to the supervisor's guidance on model parsimony a</w:t>
      </w:r>
      <w:r w:rsidRPr="0040485A">
        <w:rPr>
          <w:rFonts w:cs="Times New Roman"/>
        </w:rPr>
        <w:t xml:space="preserve">nd to the practical requirement that a questionnaire aimed at senior corporate officers can be completed in a few minutes; over-long instruments </w:t>
      </w:r>
      <w:r w:rsidRPr="0040485A">
        <w:rPr>
          <w:rFonts w:cs="Times New Roman"/>
        </w:rPr>
        <w:lastRenderedPageBreak/>
        <w:t>invite non-response and straight-lining, both of which degrade data quality more seriously than the marginal pr</w:t>
      </w:r>
      <w:r w:rsidRPr="0040485A">
        <w:rPr>
          <w:rFonts w:cs="Times New Roman"/>
        </w:rPr>
        <w:t>ecision gained from additional items.</w:t>
      </w:r>
    </w:p>
    <w:p w14:paraId="53C640EE" w14:textId="77777777" w:rsidR="00994AE3" w:rsidRPr="0040485A" w:rsidRDefault="008064C0">
      <w:pPr>
        <w:spacing w:after="160" w:line="360" w:lineRule="auto"/>
        <w:ind w:firstLine="360"/>
        <w:jc w:val="both"/>
        <w:rPr>
          <w:rFonts w:cs="Times New Roman"/>
        </w:rPr>
      </w:pPr>
      <w:r w:rsidRPr="0040485A">
        <w:rPr>
          <w:rFonts w:cs="Times New Roman"/>
        </w:rPr>
        <w:t>Every indicator is scored on a five-point Likert scale anchored at 1 (strongly disagree) and 5 (strongly agree). Following standard practice in service quality and bank selection research, the resulting summated scales</w:t>
      </w:r>
      <w:r w:rsidRPr="0040485A">
        <w:rPr>
          <w:rFonts w:cs="Times New Roman"/>
        </w:rPr>
        <w:t xml:space="preserve"> are treated as interval-level data for the purposes of parametric analysis. Table 3.1 presents the full operationalisation.</w:t>
      </w:r>
    </w:p>
    <w:p w14:paraId="77B5CD37" w14:textId="77777777" w:rsidR="00994AE3" w:rsidRPr="0040485A" w:rsidRDefault="008064C0">
      <w:pPr>
        <w:spacing w:after="80" w:line="360" w:lineRule="auto"/>
        <w:jc w:val="center"/>
        <w:rPr>
          <w:rFonts w:cs="Times New Roman"/>
        </w:rPr>
      </w:pPr>
      <w:r w:rsidRPr="0040485A">
        <w:rPr>
          <w:rFonts w:cs="Times New Roman"/>
          <w:b/>
          <w:sz w:val="22"/>
        </w:rPr>
        <w:t>Table 3.1: Operationalisation of constructs and measurement indicators</w:t>
      </w:r>
    </w:p>
    <w:tbl>
      <w:tblPr>
        <w:tblStyle w:val="TableGrid"/>
        <w:tblW w:w="0" w:type="auto"/>
        <w:jc w:val="center"/>
        <w:tblLook w:val="04A0" w:firstRow="1" w:lastRow="0" w:firstColumn="1" w:lastColumn="0" w:noHBand="0" w:noVBand="1"/>
      </w:tblPr>
      <w:tblGrid>
        <w:gridCol w:w="1944"/>
        <w:gridCol w:w="936"/>
        <w:gridCol w:w="6048"/>
      </w:tblGrid>
      <w:tr w:rsidR="00994AE3" w:rsidRPr="0040485A" w14:paraId="68DF135C" w14:textId="77777777">
        <w:trPr>
          <w:jc w:val="center"/>
        </w:trPr>
        <w:tc>
          <w:tcPr>
            <w:tcW w:w="1944" w:type="dxa"/>
            <w:shd w:val="clear" w:color="auto" w:fill="D9D9D9"/>
          </w:tcPr>
          <w:p w14:paraId="148EA042" w14:textId="77777777" w:rsidR="00994AE3" w:rsidRPr="0040485A" w:rsidRDefault="008064C0">
            <w:pPr>
              <w:spacing w:after="40" w:line="240" w:lineRule="auto"/>
              <w:jc w:val="center"/>
              <w:rPr>
                <w:rFonts w:cs="Times New Roman"/>
              </w:rPr>
            </w:pPr>
            <w:r w:rsidRPr="0040485A">
              <w:rPr>
                <w:rFonts w:cs="Times New Roman"/>
                <w:b/>
                <w:sz w:val="18"/>
              </w:rPr>
              <w:t>Construct</w:t>
            </w:r>
          </w:p>
        </w:tc>
        <w:tc>
          <w:tcPr>
            <w:tcW w:w="936" w:type="dxa"/>
            <w:shd w:val="clear" w:color="auto" w:fill="D9D9D9"/>
          </w:tcPr>
          <w:p w14:paraId="3EA6BF65" w14:textId="77777777" w:rsidR="00994AE3" w:rsidRPr="0040485A" w:rsidRDefault="008064C0">
            <w:pPr>
              <w:spacing w:after="40" w:line="240" w:lineRule="auto"/>
              <w:jc w:val="center"/>
              <w:rPr>
                <w:rFonts w:cs="Times New Roman"/>
              </w:rPr>
            </w:pPr>
            <w:r w:rsidRPr="0040485A">
              <w:rPr>
                <w:rFonts w:cs="Times New Roman"/>
                <w:b/>
                <w:sz w:val="18"/>
              </w:rPr>
              <w:t>Code</w:t>
            </w:r>
          </w:p>
        </w:tc>
        <w:tc>
          <w:tcPr>
            <w:tcW w:w="6048" w:type="dxa"/>
            <w:shd w:val="clear" w:color="auto" w:fill="D9D9D9"/>
          </w:tcPr>
          <w:p w14:paraId="1E09611B" w14:textId="77777777" w:rsidR="00994AE3" w:rsidRPr="0040485A" w:rsidRDefault="008064C0">
            <w:pPr>
              <w:spacing w:after="40" w:line="240" w:lineRule="auto"/>
              <w:jc w:val="center"/>
              <w:rPr>
                <w:rFonts w:cs="Times New Roman"/>
              </w:rPr>
            </w:pPr>
            <w:r w:rsidRPr="0040485A">
              <w:rPr>
                <w:rFonts w:cs="Times New Roman"/>
                <w:b/>
                <w:sz w:val="18"/>
              </w:rPr>
              <w:t>Measurement indicator</w:t>
            </w:r>
          </w:p>
        </w:tc>
      </w:tr>
      <w:tr w:rsidR="00994AE3" w:rsidRPr="0040485A" w14:paraId="7504C2F1" w14:textId="77777777">
        <w:trPr>
          <w:jc w:val="center"/>
        </w:trPr>
        <w:tc>
          <w:tcPr>
            <w:tcW w:w="1944" w:type="dxa"/>
          </w:tcPr>
          <w:p w14:paraId="50F6A65C" w14:textId="77777777" w:rsidR="00994AE3" w:rsidRPr="0040485A" w:rsidRDefault="008064C0">
            <w:pPr>
              <w:spacing w:after="40" w:line="240" w:lineRule="auto"/>
              <w:rPr>
                <w:rFonts w:cs="Times New Roman"/>
              </w:rPr>
            </w:pPr>
            <w:r w:rsidRPr="0040485A">
              <w:rPr>
                <w:rFonts w:cs="Times New Roman"/>
                <w:sz w:val="18"/>
              </w:rPr>
              <w:t>COST_COMP</w:t>
            </w:r>
            <w:r w:rsidRPr="0040485A">
              <w:rPr>
                <w:rFonts w:cs="Times New Roman"/>
                <w:sz w:val="18"/>
              </w:rPr>
              <w:br/>
              <w:t xml:space="preserve">(Price </w:t>
            </w:r>
            <w:r w:rsidRPr="0040485A">
              <w:rPr>
                <w:rFonts w:cs="Times New Roman"/>
                <w:sz w:val="18"/>
              </w:rPr>
              <w:t>Competitiveness)</w:t>
            </w:r>
          </w:p>
        </w:tc>
        <w:tc>
          <w:tcPr>
            <w:tcW w:w="936" w:type="dxa"/>
          </w:tcPr>
          <w:p w14:paraId="2158ED84" w14:textId="77777777" w:rsidR="00994AE3" w:rsidRPr="0040485A" w:rsidRDefault="008064C0">
            <w:pPr>
              <w:spacing w:after="40" w:line="240" w:lineRule="auto"/>
              <w:rPr>
                <w:rFonts w:cs="Times New Roman"/>
              </w:rPr>
            </w:pPr>
            <w:r w:rsidRPr="0040485A">
              <w:rPr>
                <w:rFonts w:cs="Times New Roman"/>
                <w:sz w:val="18"/>
              </w:rPr>
              <w:t>COMP1</w:t>
            </w:r>
          </w:p>
        </w:tc>
        <w:tc>
          <w:tcPr>
            <w:tcW w:w="6048" w:type="dxa"/>
          </w:tcPr>
          <w:p w14:paraId="6B9CAF7A" w14:textId="77777777" w:rsidR="00994AE3" w:rsidRPr="0040485A" w:rsidRDefault="008064C0">
            <w:pPr>
              <w:spacing w:after="40" w:line="240" w:lineRule="auto"/>
              <w:rPr>
                <w:rFonts w:cs="Times New Roman"/>
              </w:rPr>
            </w:pPr>
            <w:r w:rsidRPr="0040485A">
              <w:rPr>
                <w:rFonts w:cs="Times New Roman"/>
                <w:sz w:val="18"/>
              </w:rPr>
              <w:t>The guarantee issuance fee charged by VietinBank is reasonable relative to the service quality received.</w:t>
            </w:r>
          </w:p>
        </w:tc>
      </w:tr>
      <w:tr w:rsidR="00994AE3" w:rsidRPr="0040485A" w14:paraId="54DD3A28" w14:textId="77777777">
        <w:trPr>
          <w:jc w:val="center"/>
        </w:trPr>
        <w:tc>
          <w:tcPr>
            <w:tcW w:w="1944" w:type="dxa"/>
          </w:tcPr>
          <w:p w14:paraId="52B79FD8" w14:textId="77777777" w:rsidR="00994AE3" w:rsidRPr="0040485A" w:rsidRDefault="00994AE3">
            <w:pPr>
              <w:spacing w:after="40" w:line="240" w:lineRule="auto"/>
              <w:rPr>
                <w:rFonts w:cs="Times New Roman"/>
              </w:rPr>
            </w:pPr>
          </w:p>
        </w:tc>
        <w:tc>
          <w:tcPr>
            <w:tcW w:w="936" w:type="dxa"/>
          </w:tcPr>
          <w:p w14:paraId="697C0AE4" w14:textId="77777777" w:rsidR="00994AE3" w:rsidRPr="0040485A" w:rsidRDefault="008064C0">
            <w:pPr>
              <w:spacing w:after="40" w:line="240" w:lineRule="auto"/>
              <w:rPr>
                <w:rFonts w:cs="Times New Roman"/>
              </w:rPr>
            </w:pPr>
            <w:r w:rsidRPr="0040485A">
              <w:rPr>
                <w:rFonts w:cs="Times New Roman"/>
                <w:sz w:val="18"/>
              </w:rPr>
              <w:t>COMP2</w:t>
            </w:r>
          </w:p>
        </w:tc>
        <w:tc>
          <w:tcPr>
            <w:tcW w:w="6048" w:type="dxa"/>
          </w:tcPr>
          <w:p w14:paraId="56BABC78" w14:textId="77777777" w:rsidR="00994AE3" w:rsidRPr="0040485A" w:rsidRDefault="008064C0">
            <w:pPr>
              <w:spacing w:after="40" w:line="240" w:lineRule="auto"/>
              <w:rPr>
                <w:rFonts w:cs="Times New Roman"/>
              </w:rPr>
            </w:pPr>
            <w:r w:rsidRPr="0040485A">
              <w:rPr>
                <w:rFonts w:cs="Times New Roman"/>
                <w:sz w:val="18"/>
              </w:rPr>
              <w:t>VietinBank's guarantee fee schedule is competitive compared with that of other banks.</w:t>
            </w:r>
          </w:p>
        </w:tc>
      </w:tr>
      <w:tr w:rsidR="00994AE3" w:rsidRPr="0040485A" w14:paraId="3A05E33D" w14:textId="77777777">
        <w:trPr>
          <w:jc w:val="center"/>
        </w:trPr>
        <w:tc>
          <w:tcPr>
            <w:tcW w:w="1944" w:type="dxa"/>
          </w:tcPr>
          <w:p w14:paraId="460D0652" w14:textId="77777777" w:rsidR="00994AE3" w:rsidRPr="0040485A" w:rsidRDefault="00994AE3">
            <w:pPr>
              <w:spacing w:after="40" w:line="240" w:lineRule="auto"/>
              <w:rPr>
                <w:rFonts w:cs="Times New Roman"/>
              </w:rPr>
            </w:pPr>
          </w:p>
        </w:tc>
        <w:tc>
          <w:tcPr>
            <w:tcW w:w="936" w:type="dxa"/>
          </w:tcPr>
          <w:p w14:paraId="7CB83FF1" w14:textId="77777777" w:rsidR="00994AE3" w:rsidRPr="0040485A" w:rsidRDefault="008064C0">
            <w:pPr>
              <w:spacing w:after="40" w:line="240" w:lineRule="auto"/>
              <w:rPr>
                <w:rFonts w:cs="Times New Roman"/>
              </w:rPr>
            </w:pPr>
            <w:r w:rsidRPr="0040485A">
              <w:rPr>
                <w:rFonts w:cs="Times New Roman"/>
                <w:sz w:val="18"/>
              </w:rPr>
              <w:t>COMP3</w:t>
            </w:r>
          </w:p>
        </w:tc>
        <w:tc>
          <w:tcPr>
            <w:tcW w:w="6048" w:type="dxa"/>
          </w:tcPr>
          <w:p w14:paraId="4379FDAE" w14:textId="77777777" w:rsidR="00994AE3" w:rsidRPr="0040485A" w:rsidRDefault="008064C0">
            <w:pPr>
              <w:spacing w:after="40" w:line="240" w:lineRule="auto"/>
              <w:rPr>
                <w:rFonts w:cs="Times New Roman"/>
              </w:rPr>
            </w:pPr>
            <w:r w:rsidRPr="0040485A">
              <w:rPr>
                <w:rFonts w:cs="Times New Roman"/>
                <w:sz w:val="18"/>
              </w:rPr>
              <w:t>VietinBank offers fee redu</w:t>
            </w:r>
            <w:r w:rsidRPr="0040485A">
              <w:rPr>
                <w:rFonts w:cs="Times New Roman"/>
                <w:sz w:val="18"/>
              </w:rPr>
              <w:t>ctions to enterprises that transact regularly.</w:t>
            </w:r>
          </w:p>
        </w:tc>
      </w:tr>
      <w:tr w:rsidR="00994AE3" w:rsidRPr="0040485A" w14:paraId="66EB5B41" w14:textId="77777777">
        <w:trPr>
          <w:jc w:val="center"/>
        </w:trPr>
        <w:tc>
          <w:tcPr>
            <w:tcW w:w="1944" w:type="dxa"/>
          </w:tcPr>
          <w:p w14:paraId="0EEB6BA3" w14:textId="77777777" w:rsidR="00994AE3" w:rsidRPr="0040485A" w:rsidRDefault="00994AE3">
            <w:pPr>
              <w:spacing w:after="40" w:line="240" w:lineRule="auto"/>
              <w:rPr>
                <w:rFonts w:cs="Times New Roman"/>
              </w:rPr>
            </w:pPr>
          </w:p>
        </w:tc>
        <w:tc>
          <w:tcPr>
            <w:tcW w:w="936" w:type="dxa"/>
          </w:tcPr>
          <w:p w14:paraId="788D02D6" w14:textId="77777777" w:rsidR="00994AE3" w:rsidRPr="0040485A" w:rsidRDefault="008064C0">
            <w:pPr>
              <w:spacing w:after="40" w:line="240" w:lineRule="auto"/>
              <w:rPr>
                <w:rFonts w:cs="Times New Roman"/>
              </w:rPr>
            </w:pPr>
            <w:r w:rsidRPr="0040485A">
              <w:rPr>
                <w:rFonts w:cs="Times New Roman"/>
                <w:sz w:val="18"/>
              </w:rPr>
              <w:t>COMP4</w:t>
            </w:r>
          </w:p>
        </w:tc>
        <w:tc>
          <w:tcPr>
            <w:tcW w:w="6048" w:type="dxa"/>
          </w:tcPr>
          <w:p w14:paraId="54B2B58A" w14:textId="77777777" w:rsidR="00994AE3" w:rsidRPr="0040485A" w:rsidRDefault="008064C0">
            <w:pPr>
              <w:spacing w:after="40" w:line="240" w:lineRule="auto"/>
              <w:rPr>
                <w:rFonts w:cs="Times New Roman"/>
              </w:rPr>
            </w:pPr>
            <w:r w:rsidRPr="0040485A">
              <w:rPr>
                <w:rFonts w:cs="Times New Roman"/>
                <w:sz w:val="18"/>
              </w:rPr>
              <w:t>Ancillary charges (amendment, extension, enquiry) at VietinBank are at an acceptable level.</w:t>
            </w:r>
          </w:p>
        </w:tc>
      </w:tr>
      <w:tr w:rsidR="00994AE3" w:rsidRPr="0040485A" w14:paraId="15B736E4" w14:textId="77777777">
        <w:trPr>
          <w:jc w:val="center"/>
        </w:trPr>
        <w:tc>
          <w:tcPr>
            <w:tcW w:w="1944" w:type="dxa"/>
          </w:tcPr>
          <w:p w14:paraId="6E18AA92" w14:textId="77777777" w:rsidR="00994AE3" w:rsidRPr="0040485A" w:rsidRDefault="008064C0">
            <w:pPr>
              <w:spacing w:after="40" w:line="240" w:lineRule="auto"/>
              <w:rPr>
                <w:rFonts w:cs="Times New Roman"/>
              </w:rPr>
            </w:pPr>
            <w:r w:rsidRPr="0040485A">
              <w:rPr>
                <w:rFonts w:cs="Times New Roman"/>
                <w:sz w:val="18"/>
              </w:rPr>
              <w:t>PROC_SPEED</w:t>
            </w:r>
            <w:r w:rsidRPr="0040485A">
              <w:rPr>
                <w:rFonts w:cs="Times New Roman"/>
                <w:sz w:val="18"/>
              </w:rPr>
              <w:br/>
              <w:t>(Processing Speed)</w:t>
            </w:r>
          </w:p>
        </w:tc>
        <w:tc>
          <w:tcPr>
            <w:tcW w:w="936" w:type="dxa"/>
          </w:tcPr>
          <w:p w14:paraId="43549AB3" w14:textId="77777777" w:rsidR="00994AE3" w:rsidRPr="0040485A" w:rsidRDefault="008064C0">
            <w:pPr>
              <w:spacing w:after="40" w:line="240" w:lineRule="auto"/>
              <w:rPr>
                <w:rFonts w:cs="Times New Roman"/>
              </w:rPr>
            </w:pPr>
            <w:r w:rsidRPr="0040485A">
              <w:rPr>
                <w:rFonts w:cs="Times New Roman"/>
                <w:sz w:val="18"/>
              </w:rPr>
              <w:t>SPEED1</w:t>
            </w:r>
          </w:p>
        </w:tc>
        <w:tc>
          <w:tcPr>
            <w:tcW w:w="6048" w:type="dxa"/>
          </w:tcPr>
          <w:p w14:paraId="1FBFA204" w14:textId="77777777" w:rsidR="00994AE3" w:rsidRPr="0040485A" w:rsidRDefault="008064C0">
            <w:pPr>
              <w:spacing w:after="40" w:line="240" w:lineRule="auto"/>
              <w:rPr>
                <w:rFonts w:cs="Times New Roman"/>
              </w:rPr>
            </w:pPr>
            <w:r w:rsidRPr="0040485A">
              <w:rPr>
                <w:rFonts w:cs="Times New Roman"/>
                <w:sz w:val="18"/>
              </w:rPr>
              <w:t xml:space="preserve">Appraisal and approval of the guarantee limit at VietinBank is </w:t>
            </w:r>
            <w:r w:rsidRPr="0040485A">
              <w:rPr>
                <w:rFonts w:cs="Times New Roman"/>
                <w:sz w:val="18"/>
              </w:rPr>
              <w:t>fast.</w:t>
            </w:r>
          </w:p>
        </w:tc>
      </w:tr>
      <w:tr w:rsidR="00994AE3" w:rsidRPr="0040485A" w14:paraId="34180A9A" w14:textId="77777777">
        <w:trPr>
          <w:jc w:val="center"/>
        </w:trPr>
        <w:tc>
          <w:tcPr>
            <w:tcW w:w="1944" w:type="dxa"/>
          </w:tcPr>
          <w:p w14:paraId="30C18E96" w14:textId="77777777" w:rsidR="00994AE3" w:rsidRPr="0040485A" w:rsidRDefault="00994AE3">
            <w:pPr>
              <w:spacing w:after="40" w:line="240" w:lineRule="auto"/>
              <w:rPr>
                <w:rFonts w:cs="Times New Roman"/>
              </w:rPr>
            </w:pPr>
          </w:p>
        </w:tc>
        <w:tc>
          <w:tcPr>
            <w:tcW w:w="936" w:type="dxa"/>
          </w:tcPr>
          <w:p w14:paraId="0C87EE75" w14:textId="77777777" w:rsidR="00994AE3" w:rsidRPr="0040485A" w:rsidRDefault="008064C0">
            <w:pPr>
              <w:spacing w:after="40" w:line="240" w:lineRule="auto"/>
              <w:rPr>
                <w:rFonts w:cs="Times New Roman"/>
              </w:rPr>
            </w:pPr>
            <w:r w:rsidRPr="0040485A">
              <w:rPr>
                <w:rFonts w:cs="Times New Roman"/>
                <w:sz w:val="18"/>
              </w:rPr>
              <w:t>SPEED2</w:t>
            </w:r>
          </w:p>
        </w:tc>
        <w:tc>
          <w:tcPr>
            <w:tcW w:w="6048" w:type="dxa"/>
          </w:tcPr>
          <w:p w14:paraId="55D3A970" w14:textId="77777777" w:rsidR="00994AE3" w:rsidRPr="0040485A" w:rsidRDefault="008064C0">
            <w:pPr>
              <w:spacing w:after="40" w:line="240" w:lineRule="auto"/>
              <w:rPr>
                <w:rFonts w:cs="Times New Roman"/>
              </w:rPr>
            </w:pPr>
            <w:r w:rsidRPr="0040485A">
              <w:rPr>
                <w:rFonts w:cs="Times New Roman"/>
                <w:sz w:val="18"/>
              </w:rPr>
              <w:t>The application file required by VietinBank is concise and does not demand excessive documentation.</w:t>
            </w:r>
          </w:p>
        </w:tc>
      </w:tr>
      <w:tr w:rsidR="00994AE3" w:rsidRPr="0040485A" w14:paraId="3F1C430B" w14:textId="77777777">
        <w:trPr>
          <w:jc w:val="center"/>
        </w:trPr>
        <w:tc>
          <w:tcPr>
            <w:tcW w:w="1944" w:type="dxa"/>
          </w:tcPr>
          <w:p w14:paraId="195B726A" w14:textId="77777777" w:rsidR="00994AE3" w:rsidRPr="0040485A" w:rsidRDefault="00994AE3">
            <w:pPr>
              <w:spacing w:after="40" w:line="240" w:lineRule="auto"/>
              <w:rPr>
                <w:rFonts w:cs="Times New Roman"/>
              </w:rPr>
            </w:pPr>
          </w:p>
        </w:tc>
        <w:tc>
          <w:tcPr>
            <w:tcW w:w="936" w:type="dxa"/>
          </w:tcPr>
          <w:p w14:paraId="64411663" w14:textId="77777777" w:rsidR="00994AE3" w:rsidRPr="0040485A" w:rsidRDefault="008064C0">
            <w:pPr>
              <w:spacing w:after="40" w:line="240" w:lineRule="auto"/>
              <w:rPr>
                <w:rFonts w:cs="Times New Roman"/>
              </w:rPr>
            </w:pPr>
            <w:r w:rsidRPr="0040485A">
              <w:rPr>
                <w:rFonts w:cs="Times New Roman"/>
                <w:sz w:val="18"/>
              </w:rPr>
              <w:t>SPEED3</w:t>
            </w:r>
          </w:p>
        </w:tc>
        <w:tc>
          <w:tcPr>
            <w:tcW w:w="6048" w:type="dxa"/>
          </w:tcPr>
          <w:p w14:paraId="3004B18D" w14:textId="77777777" w:rsidR="00994AE3" w:rsidRPr="0040485A" w:rsidRDefault="008064C0">
            <w:pPr>
              <w:spacing w:after="40" w:line="240" w:lineRule="auto"/>
              <w:rPr>
                <w:rFonts w:cs="Times New Roman"/>
              </w:rPr>
            </w:pPr>
            <w:r w:rsidRPr="0040485A">
              <w:rPr>
                <w:rFonts w:cs="Times New Roman"/>
                <w:sz w:val="18"/>
              </w:rPr>
              <w:t>The time from submission of a complete file to receipt of the letter of guarantee meets contract deadlines.</w:t>
            </w:r>
          </w:p>
        </w:tc>
      </w:tr>
      <w:tr w:rsidR="00994AE3" w:rsidRPr="0040485A" w14:paraId="5551361D" w14:textId="77777777">
        <w:trPr>
          <w:jc w:val="center"/>
        </w:trPr>
        <w:tc>
          <w:tcPr>
            <w:tcW w:w="1944" w:type="dxa"/>
          </w:tcPr>
          <w:p w14:paraId="3A44C826" w14:textId="77777777" w:rsidR="00994AE3" w:rsidRPr="0040485A" w:rsidRDefault="00994AE3">
            <w:pPr>
              <w:spacing w:after="40" w:line="240" w:lineRule="auto"/>
              <w:rPr>
                <w:rFonts w:cs="Times New Roman"/>
              </w:rPr>
            </w:pPr>
          </w:p>
        </w:tc>
        <w:tc>
          <w:tcPr>
            <w:tcW w:w="936" w:type="dxa"/>
          </w:tcPr>
          <w:p w14:paraId="7BBF3AC2" w14:textId="77777777" w:rsidR="00994AE3" w:rsidRPr="0040485A" w:rsidRDefault="008064C0">
            <w:pPr>
              <w:spacing w:after="40" w:line="240" w:lineRule="auto"/>
              <w:rPr>
                <w:rFonts w:cs="Times New Roman"/>
              </w:rPr>
            </w:pPr>
            <w:r w:rsidRPr="0040485A">
              <w:rPr>
                <w:rFonts w:cs="Times New Roman"/>
                <w:sz w:val="18"/>
              </w:rPr>
              <w:t>SPEED4</w:t>
            </w:r>
          </w:p>
        </w:tc>
        <w:tc>
          <w:tcPr>
            <w:tcW w:w="6048" w:type="dxa"/>
          </w:tcPr>
          <w:p w14:paraId="723E2653" w14:textId="77777777" w:rsidR="00994AE3" w:rsidRPr="0040485A" w:rsidRDefault="008064C0">
            <w:pPr>
              <w:spacing w:after="40" w:line="240" w:lineRule="auto"/>
              <w:rPr>
                <w:rFonts w:cs="Times New Roman"/>
              </w:rPr>
            </w:pPr>
            <w:r w:rsidRPr="0040485A">
              <w:rPr>
                <w:rFonts w:cs="Times New Roman"/>
                <w:sz w:val="18"/>
              </w:rPr>
              <w:t>Amendments and extensions to a letter of guarantee are processed quickly by VietinBank.</w:t>
            </w:r>
          </w:p>
        </w:tc>
      </w:tr>
      <w:tr w:rsidR="00994AE3" w:rsidRPr="0040485A" w14:paraId="22CE999B" w14:textId="77777777">
        <w:trPr>
          <w:jc w:val="center"/>
        </w:trPr>
        <w:tc>
          <w:tcPr>
            <w:tcW w:w="1944" w:type="dxa"/>
          </w:tcPr>
          <w:p w14:paraId="2795C908" w14:textId="77777777" w:rsidR="00994AE3" w:rsidRPr="0040485A" w:rsidRDefault="008064C0">
            <w:pPr>
              <w:spacing w:after="40" w:line="240" w:lineRule="auto"/>
              <w:rPr>
                <w:rFonts w:cs="Times New Roman"/>
              </w:rPr>
            </w:pPr>
            <w:r w:rsidRPr="0040485A">
              <w:rPr>
                <w:rFonts w:cs="Times New Roman"/>
                <w:sz w:val="18"/>
              </w:rPr>
              <w:t>DIGITAL_CONV</w:t>
            </w:r>
            <w:r w:rsidRPr="0040485A">
              <w:rPr>
                <w:rFonts w:cs="Times New Roman"/>
                <w:sz w:val="18"/>
              </w:rPr>
              <w:br/>
              <w:t>(Digital eFAST Convenience)</w:t>
            </w:r>
          </w:p>
        </w:tc>
        <w:tc>
          <w:tcPr>
            <w:tcW w:w="936" w:type="dxa"/>
          </w:tcPr>
          <w:p w14:paraId="384E1139" w14:textId="77777777" w:rsidR="00994AE3" w:rsidRPr="0040485A" w:rsidRDefault="008064C0">
            <w:pPr>
              <w:spacing w:after="40" w:line="240" w:lineRule="auto"/>
              <w:rPr>
                <w:rFonts w:cs="Times New Roman"/>
              </w:rPr>
            </w:pPr>
            <w:r w:rsidRPr="0040485A">
              <w:rPr>
                <w:rFonts w:cs="Times New Roman"/>
                <w:sz w:val="18"/>
              </w:rPr>
              <w:t>DIGI1</w:t>
            </w:r>
          </w:p>
        </w:tc>
        <w:tc>
          <w:tcPr>
            <w:tcW w:w="6048" w:type="dxa"/>
          </w:tcPr>
          <w:p w14:paraId="25F77EF7" w14:textId="77777777" w:rsidR="00994AE3" w:rsidRPr="0040485A" w:rsidRDefault="008064C0">
            <w:pPr>
              <w:spacing w:after="40" w:line="240" w:lineRule="auto"/>
              <w:rPr>
                <w:rFonts w:cs="Times New Roman"/>
              </w:rPr>
            </w:pPr>
            <w:r w:rsidRPr="0040485A">
              <w:rPr>
                <w:rFonts w:cs="Times New Roman"/>
                <w:sz w:val="18"/>
              </w:rPr>
              <w:t>The enterprise can submit guarantee applications online through the VietinBank eFAST platform.</w:t>
            </w:r>
          </w:p>
        </w:tc>
      </w:tr>
      <w:tr w:rsidR="00994AE3" w:rsidRPr="0040485A" w14:paraId="2887B2D2" w14:textId="77777777">
        <w:trPr>
          <w:jc w:val="center"/>
        </w:trPr>
        <w:tc>
          <w:tcPr>
            <w:tcW w:w="1944" w:type="dxa"/>
          </w:tcPr>
          <w:p w14:paraId="6AE79AE9" w14:textId="77777777" w:rsidR="00994AE3" w:rsidRPr="0040485A" w:rsidRDefault="00994AE3">
            <w:pPr>
              <w:spacing w:after="40" w:line="240" w:lineRule="auto"/>
              <w:rPr>
                <w:rFonts w:cs="Times New Roman"/>
              </w:rPr>
            </w:pPr>
          </w:p>
        </w:tc>
        <w:tc>
          <w:tcPr>
            <w:tcW w:w="936" w:type="dxa"/>
          </w:tcPr>
          <w:p w14:paraId="522EC10C" w14:textId="77777777" w:rsidR="00994AE3" w:rsidRPr="0040485A" w:rsidRDefault="008064C0">
            <w:pPr>
              <w:spacing w:after="40" w:line="240" w:lineRule="auto"/>
              <w:rPr>
                <w:rFonts w:cs="Times New Roman"/>
              </w:rPr>
            </w:pPr>
            <w:r w:rsidRPr="0040485A">
              <w:rPr>
                <w:rFonts w:cs="Times New Roman"/>
                <w:sz w:val="18"/>
              </w:rPr>
              <w:t>DIGI2</w:t>
            </w:r>
          </w:p>
        </w:tc>
        <w:tc>
          <w:tcPr>
            <w:tcW w:w="6048" w:type="dxa"/>
          </w:tcPr>
          <w:p w14:paraId="66B0D27B" w14:textId="77777777" w:rsidR="00994AE3" w:rsidRPr="0040485A" w:rsidRDefault="008064C0">
            <w:pPr>
              <w:spacing w:after="40" w:line="240" w:lineRule="auto"/>
              <w:rPr>
                <w:rFonts w:cs="Times New Roman"/>
              </w:rPr>
            </w:pPr>
            <w:r w:rsidRPr="0040485A">
              <w:rPr>
                <w:rFonts w:cs="Times New Roman"/>
                <w:sz w:val="18"/>
              </w:rPr>
              <w:t>VietinBank issues</w:t>
            </w:r>
            <w:r w:rsidRPr="0040485A">
              <w:rPr>
                <w:rFonts w:cs="Times New Roman"/>
                <w:sz w:val="18"/>
              </w:rPr>
              <w:t xml:space="preserve"> digitally signed electronic letters of guarantee promptly.</w:t>
            </w:r>
          </w:p>
        </w:tc>
      </w:tr>
      <w:tr w:rsidR="00994AE3" w:rsidRPr="0040485A" w14:paraId="0F817023" w14:textId="77777777">
        <w:trPr>
          <w:jc w:val="center"/>
        </w:trPr>
        <w:tc>
          <w:tcPr>
            <w:tcW w:w="1944" w:type="dxa"/>
          </w:tcPr>
          <w:p w14:paraId="78E3D89C" w14:textId="77777777" w:rsidR="00994AE3" w:rsidRPr="0040485A" w:rsidRDefault="00994AE3">
            <w:pPr>
              <w:spacing w:after="40" w:line="240" w:lineRule="auto"/>
              <w:rPr>
                <w:rFonts w:cs="Times New Roman"/>
              </w:rPr>
            </w:pPr>
          </w:p>
        </w:tc>
        <w:tc>
          <w:tcPr>
            <w:tcW w:w="936" w:type="dxa"/>
          </w:tcPr>
          <w:p w14:paraId="57F9CCF6" w14:textId="77777777" w:rsidR="00994AE3" w:rsidRPr="0040485A" w:rsidRDefault="008064C0">
            <w:pPr>
              <w:spacing w:after="40" w:line="240" w:lineRule="auto"/>
              <w:rPr>
                <w:rFonts w:cs="Times New Roman"/>
              </w:rPr>
            </w:pPr>
            <w:r w:rsidRPr="0040485A">
              <w:rPr>
                <w:rFonts w:cs="Times New Roman"/>
                <w:sz w:val="18"/>
              </w:rPr>
              <w:t>DIGI3</w:t>
            </w:r>
          </w:p>
        </w:tc>
        <w:tc>
          <w:tcPr>
            <w:tcW w:w="6048" w:type="dxa"/>
          </w:tcPr>
          <w:p w14:paraId="2538CF9D" w14:textId="77777777" w:rsidR="00994AE3" w:rsidRPr="0040485A" w:rsidRDefault="008064C0">
            <w:pPr>
              <w:spacing w:after="40" w:line="240" w:lineRule="auto"/>
              <w:rPr>
                <w:rFonts w:cs="Times New Roman"/>
              </w:rPr>
            </w:pPr>
            <w:r w:rsidRPr="0040485A">
              <w:rPr>
                <w:rFonts w:cs="Times New Roman"/>
                <w:sz w:val="18"/>
              </w:rPr>
              <w:t>Checking the status of a guarantee application online is convenient.</w:t>
            </w:r>
          </w:p>
        </w:tc>
      </w:tr>
      <w:tr w:rsidR="00994AE3" w:rsidRPr="0040485A" w14:paraId="7DEBDD8F" w14:textId="77777777">
        <w:trPr>
          <w:jc w:val="center"/>
        </w:trPr>
        <w:tc>
          <w:tcPr>
            <w:tcW w:w="1944" w:type="dxa"/>
          </w:tcPr>
          <w:p w14:paraId="73B7A7BC" w14:textId="77777777" w:rsidR="00994AE3" w:rsidRPr="0040485A" w:rsidRDefault="00994AE3">
            <w:pPr>
              <w:spacing w:after="40" w:line="240" w:lineRule="auto"/>
              <w:rPr>
                <w:rFonts w:cs="Times New Roman"/>
              </w:rPr>
            </w:pPr>
          </w:p>
        </w:tc>
        <w:tc>
          <w:tcPr>
            <w:tcW w:w="936" w:type="dxa"/>
          </w:tcPr>
          <w:p w14:paraId="67AAB9E7" w14:textId="77777777" w:rsidR="00994AE3" w:rsidRPr="0040485A" w:rsidRDefault="008064C0">
            <w:pPr>
              <w:spacing w:after="40" w:line="240" w:lineRule="auto"/>
              <w:rPr>
                <w:rFonts w:cs="Times New Roman"/>
              </w:rPr>
            </w:pPr>
            <w:r w:rsidRPr="0040485A">
              <w:rPr>
                <w:rFonts w:cs="Times New Roman"/>
                <w:sz w:val="18"/>
              </w:rPr>
              <w:t>DIGI4</w:t>
            </w:r>
          </w:p>
        </w:tc>
        <w:tc>
          <w:tcPr>
            <w:tcW w:w="6048" w:type="dxa"/>
          </w:tcPr>
          <w:p w14:paraId="1BAAAE42" w14:textId="77777777" w:rsidR="00994AE3" w:rsidRPr="0040485A" w:rsidRDefault="008064C0">
            <w:pPr>
              <w:spacing w:after="40" w:line="240" w:lineRule="auto"/>
              <w:rPr>
                <w:rFonts w:cs="Times New Roman"/>
              </w:rPr>
            </w:pPr>
            <w:r w:rsidRPr="0040485A">
              <w:rPr>
                <w:rFonts w:cs="Times New Roman"/>
                <w:sz w:val="18"/>
              </w:rPr>
              <w:t>Beneficiaries accept VietinBank's electronic letter of guarantee without requiring a paper original.</w:t>
            </w:r>
          </w:p>
        </w:tc>
      </w:tr>
      <w:tr w:rsidR="00994AE3" w:rsidRPr="0040485A" w14:paraId="155C00A1" w14:textId="77777777">
        <w:trPr>
          <w:jc w:val="center"/>
        </w:trPr>
        <w:tc>
          <w:tcPr>
            <w:tcW w:w="1944" w:type="dxa"/>
          </w:tcPr>
          <w:p w14:paraId="5C9FB102" w14:textId="77777777" w:rsidR="00994AE3" w:rsidRPr="0040485A" w:rsidRDefault="008064C0">
            <w:pPr>
              <w:spacing w:after="40" w:line="240" w:lineRule="auto"/>
              <w:rPr>
                <w:rFonts w:cs="Times New Roman"/>
              </w:rPr>
            </w:pPr>
            <w:r w:rsidRPr="0040485A">
              <w:rPr>
                <w:rFonts w:cs="Times New Roman"/>
                <w:sz w:val="18"/>
              </w:rPr>
              <w:t>BANK_REP</w:t>
            </w:r>
            <w:r w:rsidRPr="0040485A">
              <w:rPr>
                <w:rFonts w:cs="Times New Roman"/>
                <w:sz w:val="18"/>
              </w:rPr>
              <w:br/>
              <w:t>(Bank Reputation)</w:t>
            </w:r>
          </w:p>
        </w:tc>
        <w:tc>
          <w:tcPr>
            <w:tcW w:w="936" w:type="dxa"/>
          </w:tcPr>
          <w:p w14:paraId="75566F84" w14:textId="77777777" w:rsidR="00994AE3" w:rsidRPr="0040485A" w:rsidRDefault="008064C0">
            <w:pPr>
              <w:spacing w:after="40" w:line="240" w:lineRule="auto"/>
              <w:rPr>
                <w:rFonts w:cs="Times New Roman"/>
              </w:rPr>
            </w:pPr>
            <w:r w:rsidRPr="0040485A">
              <w:rPr>
                <w:rFonts w:cs="Times New Roman"/>
                <w:sz w:val="18"/>
              </w:rPr>
              <w:t>REPU1</w:t>
            </w:r>
          </w:p>
        </w:tc>
        <w:tc>
          <w:tcPr>
            <w:tcW w:w="6048" w:type="dxa"/>
          </w:tcPr>
          <w:p w14:paraId="10011A56" w14:textId="77777777" w:rsidR="00994AE3" w:rsidRPr="0040485A" w:rsidRDefault="008064C0">
            <w:pPr>
              <w:spacing w:after="40" w:line="240" w:lineRule="auto"/>
              <w:rPr>
                <w:rFonts w:cs="Times New Roman"/>
              </w:rPr>
            </w:pPr>
            <w:r w:rsidRPr="0040485A">
              <w:rPr>
                <w:rFonts w:cs="Times New Roman"/>
                <w:sz w:val="18"/>
              </w:rPr>
              <w:t>VietinBank's reputation ranks among the leaders of the Vietnamese banking market.</w:t>
            </w:r>
          </w:p>
        </w:tc>
      </w:tr>
      <w:tr w:rsidR="00994AE3" w:rsidRPr="0040485A" w14:paraId="7F1E9910" w14:textId="77777777">
        <w:trPr>
          <w:jc w:val="center"/>
        </w:trPr>
        <w:tc>
          <w:tcPr>
            <w:tcW w:w="1944" w:type="dxa"/>
          </w:tcPr>
          <w:p w14:paraId="0590DA7D" w14:textId="77777777" w:rsidR="00994AE3" w:rsidRPr="0040485A" w:rsidRDefault="00994AE3">
            <w:pPr>
              <w:spacing w:after="40" w:line="240" w:lineRule="auto"/>
              <w:rPr>
                <w:rFonts w:cs="Times New Roman"/>
              </w:rPr>
            </w:pPr>
          </w:p>
        </w:tc>
        <w:tc>
          <w:tcPr>
            <w:tcW w:w="936" w:type="dxa"/>
          </w:tcPr>
          <w:p w14:paraId="211A9127" w14:textId="77777777" w:rsidR="00994AE3" w:rsidRPr="0040485A" w:rsidRDefault="008064C0">
            <w:pPr>
              <w:spacing w:after="40" w:line="240" w:lineRule="auto"/>
              <w:rPr>
                <w:rFonts w:cs="Times New Roman"/>
              </w:rPr>
            </w:pPr>
            <w:r w:rsidRPr="0040485A">
              <w:rPr>
                <w:rFonts w:cs="Times New Roman"/>
                <w:sz w:val="18"/>
              </w:rPr>
              <w:t>REPU2</w:t>
            </w:r>
          </w:p>
        </w:tc>
        <w:tc>
          <w:tcPr>
            <w:tcW w:w="6048" w:type="dxa"/>
          </w:tcPr>
          <w:p w14:paraId="133F514C" w14:textId="77777777" w:rsidR="00994AE3" w:rsidRPr="0040485A" w:rsidRDefault="008064C0">
            <w:pPr>
              <w:spacing w:after="40" w:line="240" w:lineRule="auto"/>
              <w:rPr>
                <w:rFonts w:cs="Times New Roman"/>
              </w:rPr>
            </w:pPr>
            <w:r w:rsidRPr="0040485A">
              <w:rPr>
                <w:rFonts w:cs="Times New Roman"/>
                <w:sz w:val="18"/>
              </w:rPr>
              <w:t>Letters of guarantee issued by VietinBank are widely accepted by project owners and procuring entities.</w:t>
            </w:r>
          </w:p>
        </w:tc>
      </w:tr>
      <w:tr w:rsidR="00994AE3" w:rsidRPr="0040485A" w14:paraId="699B61C2" w14:textId="77777777">
        <w:trPr>
          <w:jc w:val="center"/>
        </w:trPr>
        <w:tc>
          <w:tcPr>
            <w:tcW w:w="1944" w:type="dxa"/>
          </w:tcPr>
          <w:p w14:paraId="53E2ED74" w14:textId="77777777" w:rsidR="00994AE3" w:rsidRPr="0040485A" w:rsidRDefault="00994AE3">
            <w:pPr>
              <w:spacing w:after="40" w:line="240" w:lineRule="auto"/>
              <w:rPr>
                <w:rFonts w:cs="Times New Roman"/>
              </w:rPr>
            </w:pPr>
          </w:p>
        </w:tc>
        <w:tc>
          <w:tcPr>
            <w:tcW w:w="936" w:type="dxa"/>
          </w:tcPr>
          <w:p w14:paraId="43BC51AF" w14:textId="77777777" w:rsidR="00994AE3" w:rsidRPr="0040485A" w:rsidRDefault="008064C0">
            <w:pPr>
              <w:spacing w:after="40" w:line="240" w:lineRule="auto"/>
              <w:rPr>
                <w:rFonts w:cs="Times New Roman"/>
              </w:rPr>
            </w:pPr>
            <w:r w:rsidRPr="0040485A">
              <w:rPr>
                <w:rFonts w:cs="Times New Roman"/>
                <w:sz w:val="18"/>
              </w:rPr>
              <w:t>REPU3</w:t>
            </w:r>
          </w:p>
        </w:tc>
        <w:tc>
          <w:tcPr>
            <w:tcW w:w="6048" w:type="dxa"/>
          </w:tcPr>
          <w:p w14:paraId="2A96788C" w14:textId="77777777" w:rsidR="00994AE3" w:rsidRPr="0040485A" w:rsidRDefault="008064C0">
            <w:pPr>
              <w:spacing w:after="40" w:line="240" w:lineRule="auto"/>
              <w:rPr>
                <w:rFonts w:cs="Times New Roman"/>
              </w:rPr>
            </w:pPr>
            <w:r w:rsidRPr="0040485A">
              <w:rPr>
                <w:rFonts w:cs="Times New Roman"/>
                <w:sz w:val="18"/>
              </w:rPr>
              <w:t>VietinBank's financia</w:t>
            </w:r>
            <w:r w:rsidRPr="0040485A">
              <w:rPr>
                <w:rFonts w:cs="Times New Roman"/>
                <w:sz w:val="18"/>
              </w:rPr>
              <w:t>l strength adds credibility to the enterprise when bidding.</w:t>
            </w:r>
          </w:p>
        </w:tc>
      </w:tr>
      <w:tr w:rsidR="00994AE3" w:rsidRPr="0040485A" w14:paraId="51193DF6" w14:textId="77777777">
        <w:trPr>
          <w:jc w:val="center"/>
        </w:trPr>
        <w:tc>
          <w:tcPr>
            <w:tcW w:w="1944" w:type="dxa"/>
          </w:tcPr>
          <w:p w14:paraId="09023396" w14:textId="77777777" w:rsidR="00994AE3" w:rsidRPr="0040485A" w:rsidRDefault="00994AE3">
            <w:pPr>
              <w:spacing w:after="40" w:line="240" w:lineRule="auto"/>
              <w:rPr>
                <w:rFonts w:cs="Times New Roman"/>
              </w:rPr>
            </w:pPr>
          </w:p>
        </w:tc>
        <w:tc>
          <w:tcPr>
            <w:tcW w:w="936" w:type="dxa"/>
          </w:tcPr>
          <w:p w14:paraId="3481A862" w14:textId="77777777" w:rsidR="00994AE3" w:rsidRPr="0040485A" w:rsidRDefault="008064C0">
            <w:pPr>
              <w:spacing w:after="40" w:line="240" w:lineRule="auto"/>
              <w:rPr>
                <w:rFonts w:cs="Times New Roman"/>
              </w:rPr>
            </w:pPr>
            <w:r w:rsidRPr="0040485A">
              <w:rPr>
                <w:rFonts w:cs="Times New Roman"/>
                <w:sz w:val="18"/>
              </w:rPr>
              <w:t>REPU4</w:t>
            </w:r>
          </w:p>
        </w:tc>
        <w:tc>
          <w:tcPr>
            <w:tcW w:w="6048" w:type="dxa"/>
          </w:tcPr>
          <w:p w14:paraId="6D25757D" w14:textId="77777777" w:rsidR="00994AE3" w:rsidRPr="0040485A" w:rsidRDefault="008064C0">
            <w:pPr>
              <w:spacing w:after="40" w:line="240" w:lineRule="auto"/>
              <w:rPr>
                <w:rFonts w:cs="Times New Roman"/>
              </w:rPr>
            </w:pPr>
            <w:r w:rsidRPr="0040485A">
              <w:rPr>
                <w:rFonts w:cs="Times New Roman"/>
                <w:sz w:val="18"/>
              </w:rPr>
              <w:t>The enterprise is confident that VietinBank would honour its obligation if a guarantee were called.</w:t>
            </w:r>
          </w:p>
        </w:tc>
      </w:tr>
      <w:tr w:rsidR="00994AE3" w:rsidRPr="0040485A" w14:paraId="120D6AB9" w14:textId="77777777">
        <w:trPr>
          <w:jc w:val="center"/>
        </w:trPr>
        <w:tc>
          <w:tcPr>
            <w:tcW w:w="1944" w:type="dxa"/>
          </w:tcPr>
          <w:p w14:paraId="506AE274" w14:textId="77777777" w:rsidR="00994AE3" w:rsidRPr="0040485A" w:rsidRDefault="008064C0">
            <w:pPr>
              <w:spacing w:after="40" w:line="240" w:lineRule="auto"/>
              <w:rPr>
                <w:rFonts w:cs="Times New Roman"/>
              </w:rPr>
            </w:pPr>
            <w:r w:rsidRPr="0040485A">
              <w:rPr>
                <w:rFonts w:cs="Times New Roman"/>
                <w:sz w:val="18"/>
              </w:rPr>
              <w:t>RELATIONSHIP</w:t>
            </w:r>
            <w:r w:rsidRPr="0040485A">
              <w:rPr>
                <w:rFonts w:cs="Times New Roman"/>
                <w:sz w:val="18"/>
              </w:rPr>
              <w:br/>
              <w:t>(Relationship &amp; Limits)</w:t>
            </w:r>
          </w:p>
        </w:tc>
        <w:tc>
          <w:tcPr>
            <w:tcW w:w="936" w:type="dxa"/>
          </w:tcPr>
          <w:p w14:paraId="2F7E5F0C" w14:textId="77777777" w:rsidR="00994AE3" w:rsidRPr="0040485A" w:rsidRDefault="008064C0">
            <w:pPr>
              <w:spacing w:after="40" w:line="240" w:lineRule="auto"/>
              <w:rPr>
                <w:rFonts w:cs="Times New Roman"/>
              </w:rPr>
            </w:pPr>
            <w:r w:rsidRPr="0040485A">
              <w:rPr>
                <w:rFonts w:cs="Times New Roman"/>
                <w:sz w:val="18"/>
              </w:rPr>
              <w:t>RELA1</w:t>
            </w:r>
          </w:p>
        </w:tc>
        <w:tc>
          <w:tcPr>
            <w:tcW w:w="6048" w:type="dxa"/>
          </w:tcPr>
          <w:p w14:paraId="1E112036" w14:textId="77777777" w:rsidR="00994AE3" w:rsidRPr="0040485A" w:rsidRDefault="008064C0">
            <w:pPr>
              <w:spacing w:after="40" w:line="240" w:lineRule="auto"/>
              <w:rPr>
                <w:rFonts w:cs="Times New Roman"/>
              </w:rPr>
            </w:pPr>
            <w:r w:rsidRPr="0040485A">
              <w:rPr>
                <w:rFonts w:cs="Times New Roman"/>
                <w:sz w:val="18"/>
              </w:rPr>
              <w:t>A long-standing credit relationship with Vie</w:t>
            </w:r>
            <w:r w:rsidRPr="0040485A">
              <w:rPr>
                <w:rFonts w:cs="Times New Roman"/>
                <w:sz w:val="18"/>
              </w:rPr>
              <w:t>tinBank makes it easier to obtain a guarantee.</w:t>
            </w:r>
          </w:p>
        </w:tc>
      </w:tr>
      <w:tr w:rsidR="00994AE3" w:rsidRPr="0040485A" w14:paraId="513B3072" w14:textId="77777777">
        <w:trPr>
          <w:jc w:val="center"/>
        </w:trPr>
        <w:tc>
          <w:tcPr>
            <w:tcW w:w="1944" w:type="dxa"/>
          </w:tcPr>
          <w:p w14:paraId="27C3EA0A" w14:textId="77777777" w:rsidR="00994AE3" w:rsidRPr="0040485A" w:rsidRDefault="00994AE3">
            <w:pPr>
              <w:spacing w:after="40" w:line="240" w:lineRule="auto"/>
              <w:rPr>
                <w:rFonts w:cs="Times New Roman"/>
              </w:rPr>
            </w:pPr>
          </w:p>
        </w:tc>
        <w:tc>
          <w:tcPr>
            <w:tcW w:w="936" w:type="dxa"/>
          </w:tcPr>
          <w:p w14:paraId="21F64944" w14:textId="77777777" w:rsidR="00994AE3" w:rsidRPr="0040485A" w:rsidRDefault="008064C0">
            <w:pPr>
              <w:spacing w:after="40" w:line="240" w:lineRule="auto"/>
              <w:rPr>
                <w:rFonts w:cs="Times New Roman"/>
              </w:rPr>
            </w:pPr>
            <w:r w:rsidRPr="0040485A">
              <w:rPr>
                <w:rFonts w:cs="Times New Roman"/>
                <w:sz w:val="18"/>
              </w:rPr>
              <w:t>RELA2</w:t>
            </w:r>
          </w:p>
        </w:tc>
        <w:tc>
          <w:tcPr>
            <w:tcW w:w="6048" w:type="dxa"/>
          </w:tcPr>
          <w:p w14:paraId="0065820F" w14:textId="77777777" w:rsidR="00994AE3" w:rsidRPr="0040485A" w:rsidRDefault="008064C0">
            <w:pPr>
              <w:spacing w:after="40" w:line="240" w:lineRule="auto"/>
              <w:rPr>
                <w:rFonts w:cs="Times New Roman"/>
              </w:rPr>
            </w:pPr>
            <w:r w:rsidRPr="0040485A">
              <w:rPr>
                <w:rFonts w:cs="Times New Roman"/>
                <w:sz w:val="18"/>
              </w:rPr>
              <w:t>Using other VietinBank services brings advantages for the enterprise's guarantee transactions.</w:t>
            </w:r>
          </w:p>
        </w:tc>
      </w:tr>
      <w:tr w:rsidR="00994AE3" w:rsidRPr="0040485A" w14:paraId="792E4C88" w14:textId="77777777">
        <w:trPr>
          <w:jc w:val="center"/>
        </w:trPr>
        <w:tc>
          <w:tcPr>
            <w:tcW w:w="1944" w:type="dxa"/>
          </w:tcPr>
          <w:p w14:paraId="66BE6BB1" w14:textId="77777777" w:rsidR="00994AE3" w:rsidRPr="0040485A" w:rsidRDefault="00994AE3">
            <w:pPr>
              <w:spacing w:after="40" w:line="240" w:lineRule="auto"/>
              <w:rPr>
                <w:rFonts w:cs="Times New Roman"/>
              </w:rPr>
            </w:pPr>
          </w:p>
        </w:tc>
        <w:tc>
          <w:tcPr>
            <w:tcW w:w="936" w:type="dxa"/>
          </w:tcPr>
          <w:p w14:paraId="32364B34" w14:textId="77777777" w:rsidR="00994AE3" w:rsidRPr="0040485A" w:rsidRDefault="008064C0">
            <w:pPr>
              <w:spacing w:after="40" w:line="240" w:lineRule="auto"/>
              <w:rPr>
                <w:rFonts w:cs="Times New Roman"/>
              </w:rPr>
            </w:pPr>
            <w:r w:rsidRPr="0040485A">
              <w:rPr>
                <w:rFonts w:cs="Times New Roman"/>
                <w:sz w:val="18"/>
              </w:rPr>
              <w:t>RELA3</w:t>
            </w:r>
          </w:p>
        </w:tc>
        <w:tc>
          <w:tcPr>
            <w:tcW w:w="6048" w:type="dxa"/>
          </w:tcPr>
          <w:p w14:paraId="67EFE4ED" w14:textId="77777777" w:rsidR="00994AE3" w:rsidRPr="0040485A" w:rsidRDefault="008064C0">
            <w:pPr>
              <w:spacing w:after="40" w:line="240" w:lineRule="auto"/>
              <w:rPr>
                <w:rFonts w:cs="Times New Roman"/>
              </w:rPr>
            </w:pPr>
            <w:r w:rsidRPr="0040485A">
              <w:rPr>
                <w:rFonts w:cs="Times New Roman"/>
                <w:sz w:val="18"/>
              </w:rPr>
              <w:t>VietinBank grants a guarantee limit appropriate to the enterprise's needs.</w:t>
            </w:r>
          </w:p>
        </w:tc>
      </w:tr>
      <w:tr w:rsidR="00994AE3" w:rsidRPr="0040485A" w14:paraId="7A73C3E7" w14:textId="77777777">
        <w:trPr>
          <w:jc w:val="center"/>
        </w:trPr>
        <w:tc>
          <w:tcPr>
            <w:tcW w:w="1944" w:type="dxa"/>
          </w:tcPr>
          <w:p w14:paraId="003B07F4" w14:textId="77777777" w:rsidR="00994AE3" w:rsidRPr="0040485A" w:rsidRDefault="00994AE3">
            <w:pPr>
              <w:spacing w:after="40" w:line="240" w:lineRule="auto"/>
              <w:rPr>
                <w:rFonts w:cs="Times New Roman"/>
              </w:rPr>
            </w:pPr>
          </w:p>
        </w:tc>
        <w:tc>
          <w:tcPr>
            <w:tcW w:w="936" w:type="dxa"/>
          </w:tcPr>
          <w:p w14:paraId="73ACC992" w14:textId="77777777" w:rsidR="00994AE3" w:rsidRPr="0040485A" w:rsidRDefault="008064C0">
            <w:pPr>
              <w:spacing w:after="40" w:line="240" w:lineRule="auto"/>
              <w:rPr>
                <w:rFonts w:cs="Times New Roman"/>
              </w:rPr>
            </w:pPr>
            <w:r w:rsidRPr="0040485A">
              <w:rPr>
                <w:rFonts w:cs="Times New Roman"/>
                <w:sz w:val="18"/>
              </w:rPr>
              <w:t>RELA4</w:t>
            </w:r>
          </w:p>
        </w:tc>
        <w:tc>
          <w:tcPr>
            <w:tcW w:w="6048" w:type="dxa"/>
          </w:tcPr>
          <w:p w14:paraId="46BDCD24" w14:textId="77777777" w:rsidR="00994AE3" w:rsidRPr="0040485A" w:rsidRDefault="008064C0">
            <w:pPr>
              <w:spacing w:after="40" w:line="240" w:lineRule="auto"/>
              <w:rPr>
                <w:rFonts w:cs="Times New Roman"/>
              </w:rPr>
            </w:pPr>
            <w:r w:rsidRPr="0040485A">
              <w:rPr>
                <w:rFonts w:cs="Times New Roman"/>
                <w:sz w:val="18"/>
              </w:rPr>
              <w:t>VietinBank adjusts the guarantee limit promptly when the enterprise's needs change.</w:t>
            </w:r>
          </w:p>
        </w:tc>
      </w:tr>
      <w:tr w:rsidR="00994AE3" w:rsidRPr="0040485A" w14:paraId="23C07160" w14:textId="77777777">
        <w:trPr>
          <w:jc w:val="center"/>
        </w:trPr>
        <w:tc>
          <w:tcPr>
            <w:tcW w:w="1944" w:type="dxa"/>
          </w:tcPr>
          <w:p w14:paraId="462F6F5A" w14:textId="77777777" w:rsidR="00994AE3" w:rsidRPr="0040485A" w:rsidRDefault="008064C0">
            <w:pPr>
              <w:spacing w:after="40" w:line="240" w:lineRule="auto"/>
              <w:rPr>
                <w:rFonts w:cs="Times New Roman"/>
              </w:rPr>
            </w:pPr>
            <w:r w:rsidRPr="0040485A">
              <w:rPr>
                <w:rFonts w:cs="Times New Roman"/>
                <w:sz w:val="18"/>
              </w:rPr>
              <w:lastRenderedPageBreak/>
              <w:t>STAFF_QUAL</w:t>
            </w:r>
            <w:r w:rsidRPr="0040485A">
              <w:rPr>
                <w:rFonts w:cs="Times New Roman"/>
                <w:sz w:val="18"/>
              </w:rPr>
              <w:br/>
              <w:t>(Staff Professionalism)</w:t>
            </w:r>
          </w:p>
        </w:tc>
        <w:tc>
          <w:tcPr>
            <w:tcW w:w="936" w:type="dxa"/>
          </w:tcPr>
          <w:p w14:paraId="24CFA20B" w14:textId="77777777" w:rsidR="00994AE3" w:rsidRPr="0040485A" w:rsidRDefault="008064C0">
            <w:pPr>
              <w:spacing w:after="40" w:line="240" w:lineRule="auto"/>
              <w:rPr>
                <w:rFonts w:cs="Times New Roman"/>
              </w:rPr>
            </w:pPr>
            <w:r w:rsidRPr="0040485A">
              <w:rPr>
                <w:rFonts w:cs="Times New Roman"/>
                <w:sz w:val="18"/>
              </w:rPr>
              <w:t>STAFF1</w:t>
            </w:r>
          </w:p>
        </w:tc>
        <w:tc>
          <w:tcPr>
            <w:tcW w:w="6048" w:type="dxa"/>
          </w:tcPr>
          <w:p w14:paraId="4C884B60" w14:textId="77777777" w:rsidR="00994AE3" w:rsidRPr="0040485A" w:rsidRDefault="008064C0">
            <w:pPr>
              <w:spacing w:after="40" w:line="240" w:lineRule="auto"/>
              <w:rPr>
                <w:rFonts w:cs="Times New Roman"/>
              </w:rPr>
            </w:pPr>
            <w:r w:rsidRPr="0040485A">
              <w:rPr>
                <w:rFonts w:cs="Times New Roman"/>
                <w:sz w:val="18"/>
              </w:rPr>
              <w:t>VietinBank officers have solid technical expertise in guarantee operations.</w:t>
            </w:r>
          </w:p>
        </w:tc>
      </w:tr>
      <w:tr w:rsidR="00994AE3" w:rsidRPr="0040485A" w14:paraId="29EBD755" w14:textId="77777777">
        <w:trPr>
          <w:jc w:val="center"/>
        </w:trPr>
        <w:tc>
          <w:tcPr>
            <w:tcW w:w="1944" w:type="dxa"/>
          </w:tcPr>
          <w:p w14:paraId="28CA3F00" w14:textId="77777777" w:rsidR="00994AE3" w:rsidRPr="0040485A" w:rsidRDefault="00994AE3">
            <w:pPr>
              <w:spacing w:after="40" w:line="240" w:lineRule="auto"/>
              <w:rPr>
                <w:rFonts w:cs="Times New Roman"/>
              </w:rPr>
            </w:pPr>
          </w:p>
        </w:tc>
        <w:tc>
          <w:tcPr>
            <w:tcW w:w="936" w:type="dxa"/>
          </w:tcPr>
          <w:p w14:paraId="71DFB5A5" w14:textId="77777777" w:rsidR="00994AE3" w:rsidRPr="0040485A" w:rsidRDefault="008064C0">
            <w:pPr>
              <w:spacing w:after="40" w:line="240" w:lineRule="auto"/>
              <w:rPr>
                <w:rFonts w:cs="Times New Roman"/>
              </w:rPr>
            </w:pPr>
            <w:r w:rsidRPr="0040485A">
              <w:rPr>
                <w:rFonts w:cs="Times New Roman"/>
                <w:sz w:val="18"/>
              </w:rPr>
              <w:t>STAFF2</w:t>
            </w:r>
          </w:p>
        </w:tc>
        <w:tc>
          <w:tcPr>
            <w:tcW w:w="6048" w:type="dxa"/>
          </w:tcPr>
          <w:p w14:paraId="2E486232" w14:textId="77777777" w:rsidR="00994AE3" w:rsidRPr="0040485A" w:rsidRDefault="008064C0">
            <w:pPr>
              <w:spacing w:after="40" w:line="240" w:lineRule="auto"/>
              <w:rPr>
                <w:rFonts w:cs="Times New Roman"/>
              </w:rPr>
            </w:pPr>
            <w:r w:rsidRPr="0040485A">
              <w:rPr>
                <w:rFonts w:cs="Times New Roman"/>
                <w:sz w:val="18"/>
              </w:rPr>
              <w:t xml:space="preserve">VietinBank officers can advise on guarantee </w:t>
            </w:r>
            <w:r w:rsidRPr="0040485A">
              <w:rPr>
                <w:rFonts w:cs="Times New Roman"/>
                <w:sz w:val="18"/>
              </w:rPr>
              <w:t>wording consistent with the legislation in force.</w:t>
            </w:r>
          </w:p>
        </w:tc>
      </w:tr>
      <w:tr w:rsidR="00994AE3" w:rsidRPr="0040485A" w14:paraId="6947C926" w14:textId="77777777">
        <w:trPr>
          <w:jc w:val="center"/>
        </w:trPr>
        <w:tc>
          <w:tcPr>
            <w:tcW w:w="1944" w:type="dxa"/>
          </w:tcPr>
          <w:p w14:paraId="57B09013" w14:textId="77777777" w:rsidR="00994AE3" w:rsidRPr="0040485A" w:rsidRDefault="00994AE3">
            <w:pPr>
              <w:spacing w:after="40" w:line="240" w:lineRule="auto"/>
              <w:rPr>
                <w:rFonts w:cs="Times New Roman"/>
              </w:rPr>
            </w:pPr>
          </w:p>
        </w:tc>
        <w:tc>
          <w:tcPr>
            <w:tcW w:w="936" w:type="dxa"/>
          </w:tcPr>
          <w:p w14:paraId="2B940B96" w14:textId="77777777" w:rsidR="00994AE3" w:rsidRPr="0040485A" w:rsidRDefault="008064C0">
            <w:pPr>
              <w:spacing w:after="40" w:line="240" w:lineRule="auto"/>
              <w:rPr>
                <w:rFonts w:cs="Times New Roman"/>
              </w:rPr>
            </w:pPr>
            <w:r w:rsidRPr="0040485A">
              <w:rPr>
                <w:rFonts w:cs="Times New Roman"/>
                <w:sz w:val="18"/>
              </w:rPr>
              <w:t>STAFF3</w:t>
            </w:r>
          </w:p>
        </w:tc>
        <w:tc>
          <w:tcPr>
            <w:tcW w:w="6048" w:type="dxa"/>
          </w:tcPr>
          <w:p w14:paraId="698D356F" w14:textId="77777777" w:rsidR="00994AE3" w:rsidRPr="0040485A" w:rsidRDefault="008064C0">
            <w:pPr>
              <w:spacing w:after="40" w:line="240" w:lineRule="auto"/>
              <w:rPr>
                <w:rFonts w:cs="Times New Roman"/>
              </w:rPr>
            </w:pPr>
            <w:r w:rsidRPr="0040485A">
              <w:rPr>
                <w:rFonts w:cs="Times New Roman"/>
                <w:sz w:val="18"/>
              </w:rPr>
              <w:t>VietinBank officers warn the enterprise of risks in the guarantee terms before issuance.</w:t>
            </w:r>
          </w:p>
        </w:tc>
      </w:tr>
      <w:tr w:rsidR="00994AE3" w:rsidRPr="0040485A" w14:paraId="3FC85608" w14:textId="77777777">
        <w:trPr>
          <w:jc w:val="center"/>
        </w:trPr>
        <w:tc>
          <w:tcPr>
            <w:tcW w:w="1944" w:type="dxa"/>
          </w:tcPr>
          <w:p w14:paraId="01FCB13E" w14:textId="77777777" w:rsidR="00994AE3" w:rsidRPr="0040485A" w:rsidRDefault="00994AE3">
            <w:pPr>
              <w:spacing w:after="40" w:line="240" w:lineRule="auto"/>
              <w:rPr>
                <w:rFonts w:cs="Times New Roman"/>
              </w:rPr>
            </w:pPr>
          </w:p>
        </w:tc>
        <w:tc>
          <w:tcPr>
            <w:tcW w:w="936" w:type="dxa"/>
          </w:tcPr>
          <w:p w14:paraId="5628435B" w14:textId="77777777" w:rsidR="00994AE3" w:rsidRPr="0040485A" w:rsidRDefault="008064C0">
            <w:pPr>
              <w:spacing w:after="40" w:line="240" w:lineRule="auto"/>
              <w:rPr>
                <w:rFonts w:cs="Times New Roman"/>
              </w:rPr>
            </w:pPr>
            <w:r w:rsidRPr="0040485A">
              <w:rPr>
                <w:rFonts w:cs="Times New Roman"/>
                <w:sz w:val="18"/>
              </w:rPr>
              <w:t>STAFF4</w:t>
            </w:r>
          </w:p>
        </w:tc>
        <w:tc>
          <w:tcPr>
            <w:tcW w:w="6048" w:type="dxa"/>
          </w:tcPr>
          <w:p w14:paraId="61ACDDDD" w14:textId="77777777" w:rsidR="00994AE3" w:rsidRPr="0040485A" w:rsidRDefault="008064C0">
            <w:pPr>
              <w:spacing w:after="40" w:line="240" w:lineRule="auto"/>
              <w:rPr>
                <w:rFonts w:cs="Times New Roman"/>
              </w:rPr>
            </w:pPr>
            <w:r w:rsidRPr="0040485A">
              <w:rPr>
                <w:rFonts w:cs="Times New Roman"/>
                <w:sz w:val="18"/>
              </w:rPr>
              <w:t>VietinBank officers respond promptly when the enterprise raises a problem.</w:t>
            </w:r>
          </w:p>
        </w:tc>
      </w:tr>
      <w:tr w:rsidR="00994AE3" w:rsidRPr="0040485A" w14:paraId="325011C6" w14:textId="77777777">
        <w:trPr>
          <w:jc w:val="center"/>
        </w:trPr>
        <w:tc>
          <w:tcPr>
            <w:tcW w:w="1944" w:type="dxa"/>
          </w:tcPr>
          <w:p w14:paraId="03993638" w14:textId="77777777" w:rsidR="00994AE3" w:rsidRPr="0040485A" w:rsidRDefault="008064C0">
            <w:pPr>
              <w:spacing w:after="40" w:line="240" w:lineRule="auto"/>
              <w:rPr>
                <w:rFonts w:cs="Times New Roman"/>
              </w:rPr>
            </w:pPr>
            <w:r w:rsidRPr="0040485A">
              <w:rPr>
                <w:rFonts w:cs="Times New Roman"/>
                <w:sz w:val="18"/>
              </w:rPr>
              <w:t>COLL_POLICY</w:t>
            </w:r>
            <w:r w:rsidRPr="0040485A">
              <w:rPr>
                <w:rFonts w:cs="Times New Roman"/>
                <w:sz w:val="18"/>
              </w:rPr>
              <w:br/>
            </w:r>
            <w:r w:rsidRPr="0040485A">
              <w:rPr>
                <w:rFonts w:cs="Times New Roman"/>
                <w:sz w:val="18"/>
              </w:rPr>
              <w:t>(Collateral &amp; Margin Flexibility)</w:t>
            </w:r>
          </w:p>
        </w:tc>
        <w:tc>
          <w:tcPr>
            <w:tcW w:w="936" w:type="dxa"/>
          </w:tcPr>
          <w:p w14:paraId="27C1B67F" w14:textId="77777777" w:rsidR="00994AE3" w:rsidRPr="0040485A" w:rsidRDefault="008064C0">
            <w:pPr>
              <w:spacing w:after="40" w:line="240" w:lineRule="auto"/>
              <w:rPr>
                <w:rFonts w:cs="Times New Roman"/>
              </w:rPr>
            </w:pPr>
            <w:r w:rsidRPr="0040485A">
              <w:rPr>
                <w:rFonts w:cs="Times New Roman"/>
                <w:sz w:val="18"/>
              </w:rPr>
              <w:t>COLL1</w:t>
            </w:r>
          </w:p>
        </w:tc>
        <w:tc>
          <w:tcPr>
            <w:tcW w:w="6048" w:type="dxa"/>
          </w:tcPr>
          <w:p w14:paraId="4D82E9CC" w14:textId="77777777" w:rsidR="00994AE3" w:rsidRPr="0040485A" w:rsidRDefault="008064C0">
            <w:pPr>
              <w:spacing w:after="40" w:line="240" w:lineRule="auto"/>
              <w:rPr>
                <w:rFonts w:cs="Times New Roman"/>
              </w:rPr>
            </w:pPr>
            <w:r w:rsidRPr="0040485A">
              <w:rPr>
                <w:rFonts w:cs="Times New Roman"/>
                <w:sz w:val="18"/>
              </w:rPr>
              <w:t>VietinBank applies a cash margin ratio appropriate to the enterprise's capacity.</w:t>
            </w:r>
          </w:p>
        </w:tc>
      </w:tr>
      <w:tr w:rsidR="00994AE3" w:rsidRPr="0040485A" w14:paraId="134D2B26" w14:textId="77777777">
        <w:trPr>
          <w:jc w:val="center"/>
        </w:trPr>
        <w:tc>
          <w:tcPr>
            <w:tcW w:w="1944" w:type="dxa"/>
          </w:tcPr>
          <w:p w14:paraId="44C6AA87" w14:textId="77777777" w:rsidR="00994AE3" w:rsidRPr="0040485A" w:rsidRDefault="00994AE3">
            <w:pPr>
              <w:spacing w:after="40" w:line="240" w:lineRule="auto"/>
              <w:rPr>
                <w:rFonts w:cs="Times New Roman"/>
              </w:rPr>
            </w:pPr>
          </w:p>
        </w:tc>
        <w:tc>
          <w:tcPr>
            <w:tcW w:w="936" w:type="dxa"/>
          </w:tcPr>
          <w:p w14:paraId="1488CF78" w14:textId="77777777" w:rsidR="00994AE3" w:rsidRPr="0040485A" w:rsidRDefault="008064C0">
            <w:pPr>
              <w:spacing w:after="40" w:line="240" w:lineRule="auto"/>
              <w:rPr>
                <w:rFonts w:cs="Times New Roman"/>
              </w:rPr>
            </w:pPr>
            <w:r w:rsidRPr="0040485A">
              <w:rPr>
                <w:rFonts w:cs="Times New Roman"/>
                <w:sz w:val="18"/>
              </w:rPr>
              <w:t>COLL2</w:t>
            </w:r>
          </w:p>
        </w:tc>
        <w:tc>
          <w:tcPr>
            <w:tcW w:w="6048" w:type="dxa"/>
          </w:tcPr>
          <w:p w14:paraId="5F8BDA93" w14:textId="77777777" w:rsidR="00994AE3" w:rsidRPr="0040485A" w:rsidRDefault="008064C0">
            <w:pPr>
              <w:spacing w:after="40" w:line="240" w:lineRule="auto"/>
              <w:rPr>
                <w:rFonts w:cs="Times New Roman"/>
              </w:rPr>
            </w:pPr>
            <w:r w:rsidRPr="0040485A">
              <w:rPr>
                <w:rFonts w:cs="Times New Roman"/>
                <w:sz w:val="18"/>
              </w:rPr>
              <w:t>VietinBank reduces or waives the cash margin for qualifying clients.</w:t>
            </w:r>
          </w:p>
        </w:tc>
      </w:tr>
      <w:tr w:rsidR="00994AE3" w:rsidRPr="0040485A" w14:paraId="7E2B5505" w14:textId="77777777">
        <w:trPr>
          <w:jc w:val="center"/>
        </w:trPr>
        <w:tc>
          <w:tcPr>
            <w:tcW w:w="1944" w:type="dxa"/>
          </w:tcPr>
          <w:p w14:paraId="127CF9F2" w14:textId="77777777" w:rsidR="00994AE3" w:rsidRPr="0040485A" w:rsidRDefault="00994AE3">
            <w:pPr>
              <w:spacing w:after="40" w:line="240" w:lineRule="auto"/>
              <w:rPr>
                <w:rFonts w:cs="Times New Roman"/>
              </w:rPr>
            </w:pPr>
          </w:p>
        </w:tc>
        <w:tc>
          <w:tcPr>
            <w:tcW w:w="936" w:type="dxa"/>
          </w:tcPr>
          <w:p w14:paraId="5F8D61AC" w14:textId="77777777" w:rsidR="00994AE3" w:rsidRPr="0040485A" w:rsidRDefault="008064C0">
            <w:pPr>
              <w:spacing w:after="40" w:line="240" w:lineRule="auto"/>
              <w:rPr>
                <w:rFonts w:cs="Times New Roman"/>
              </w:rPr>
            </w:pPr>
            <w:r w:rsidRPr="0040485A">
              <w:rPr>
                <w:rFonts w:cs="Times New Roman"/>
                <w:sz w:val="18"/>
              </w:rPr>
              <w:t>COLL3</w:t>
            </w:r>
          </w:p>
        </w:tc>
        <w:tc>
          <w:tcPr>
            <w:tcW w:w="6048" w:type="dxa"/>
          </w:tcPr>
          <w:p w14:paraId="4DE8FC7E" w14:textId="77777777" w:rsidR="00994AE3" w:rsidRPr="0040485A" w:rsidRDefault="008064C0">
            <w:pPr>
              <w:spacing w:after="40" w:line="240" w:lineRule="auto"/>
              <w:rPr>
                <w:rFonts w:cs="Times New Roman"/>
              </w:rPr>
            </w:pPr>
            <w:r w:rsidRPr="0040485A">
              <w:rPr>
                <w:rFonts w:cs="Times New Roman"/>
                <w:sz w:val="18"/>
              </w:rPr>
              <w:t xml:space="preserve">VietinBank accepts a diverse range of </w:t>
            </w:r>
            <w:r w:rsidRPr="0040485A">
              <w:rPr>
                <w:rFonts w:cs="Times New Roman"/>
                <w:sz w:val="18"/>
              </w:rPr>
              <w:t>collateral.</w:t>
            </w:r>
          </w:p>
        </w:tc>
      </w:tr>
      <w:tr w:rsidR="00994AE3" w:rsidRPr="0040485A" w14:paraId="1656F1D1" w14:textId="77777777">
        <w:trPr>
          <w:jc w:val="center"/>
        </w:trPr>
        <w:tc>
          <w:tcPr>
            <w:tcW w:w="1944" w:type="dxa"/>
          </w:tcPr>
          <w:p w14:paraId="5F69AC8E" w14:textId="77777777" w:rsidR="00994AE3" w:rsidRPr="0040485A" w:rsidRDefault="00994AE3">
            <w:pPr>
              <w:spacing w:after="40" w:line="240" w:lineRule="auto"/>
              <w:rPr>
                <w:rFonts w:cs="Times New Roman"/>
              </w:rPr>
            </w:pPr>
          </w:p>
        </w:tc>
        <w:tc>
          <w:tcPr>
            <w:tcW w:w="936" w:type="dxa"/>
          </w:tcPr>
          <w:p w14:paraId="740DBAA5" w14:textId="77777777" w:rsidR="00994AE3" w:rsidRPr="0040485A" w:rsidRDefault="008064C0">
            <w:pPr>
              <w:spacing w:after="40" w:line="240" w:lineRule="auto"/>
              <w:rPr>
                <w:rFonts w:cs="Times New Roman"/>
              </w:rPr>
            </w:pPr>
            <w:r w:rsidRPr="0040485A">
              <w:rPr>
                <w:rFonts w:cs="Times New Roman"/>
                <w:sz w:val="18"/>
              </w:rPr>
              <w:t>COLL4</w:t>
            </w:r>
          </w:p>
        </w:tc>
        <w:tc>
          <w:tcPr>
            <w:tcW w:w="6048" w:type="dxa"/>
          </w:tcPr>
          <w:p w14:paraId="4DBE3DD5" w14:textId="77777777" w:rsidR="00994AE3" w:rsidRPr="0040485A" w:rsidRDefault="008064C0">
            <w:pPr>
              <w:spacing w:after="40" w:line="240" w:lineRule="auto"/>
              <w:rPr>
                <w:rFonts w:cs="Times New Roman"/>
              </w:rPr>
            </w:pPr>
            <w:r w:rsidRPr="0040485A">
              <w:rPr>
                <w:rFonts w:cs="Times New Roman"/>
                <w:sz w:val="18"/>
              </w:rPr>
              <w:t>Valuation and registration of collateral at VietinBank is quick.</w:t>
            </w:r>
          </w:p>
        </w:tc>
      </w:tr>
      <w:tr w:rsidR="00994AE3" w:rsidRPr="0040485A" w14:paraId="384DB421" w14:textId="77777777">
        <w:trPr>
          <w:jc w:val="center"/>
        </w:trPr>
        <w:tc>
          <w:tcPr>
            <w:tcW w:w="1944" w:type="dxa"/>
          </w:tcPr>
          <w:p w14:paraId="2087A5CF" w14:textId="77777777" w:rsidR="00994AE3" w:rsidRPr="0040485A" w:rsidRDefault="008064C0">
            <w:pPr>
              <w:spacing w:after="40" w:line="240" w:lineRule="auto"/>
              <w:rPr>
                <w:rFonts w:cs="Times New Roman"/>
              </w:rPr>
            </w:pPr>
            <w:r w:rsidRPr="0040485A">
              <w:rPr>
                <w:rFonts w:cs="Times New Roman"/>
                <w:sz w:val="18"/>
              </w:rPr>
              <w:t>DEC</w:t>
            </w:r>
            <w:r w:rsidRPr="0040485A">
              <w:rPr>
                <w:rFonts w:cs="Times New Roman"/>
                <w:sz w:val="18"/>
              </w:rPr>
              <w:br/>
              <w:t>(Selection Priority &amp; Patronage Intention)</w:t>
            </w:r>
          </w:p>
        </w:tc>
        <w:tc>
          <w:tcPr>
            <w:tcW w:w="936" w:type="dxa"/>
          </w:tcPr>
          <w:p w14:paraId="0EF0C999" w14:textId="77777777" w:rsidR="00994AE3" w:rsidRPr="0040485A" w:rsidRDefault="008064C0">
            <w:pPr>
              <w:spacing w:after="40" w:line="240" w:lineRule="auto"/>
              <w:rPr>
                <w:rFonts w:cs="Times New Roman"/>
              </w:rPr>
            </w:pPr>
            <w:r w:rsidRPr="0040485A">
              <w:rPr>
                <w:rFonts w:cs="Times New Roman"/>
                <w:sz w:val="18"/>
              </w:rPr>
              <w:t>DEC1</w:t>
            </w:r>
          </w:p>
        </w:tc>
        <w:tc>
          <w:tcPr>
            <w:tcW w:w="6048" w:type="dxa"/>
          </w:tcPr>
          <w:p w14:paraId="4672AC6D" w14:textId="77777777" w:rsidR="00994AE3" w:rsidRPr="0040485A" w:rsidRDefault="008064C0">
            <w:pPr>
              <w:spacing w:after="40" w:line="240" w:lineRule="auto"/>
              <w:rPr>
                <w:rFonts w:cs="Times New Roman"/>
              </w:rPr>
            </w:pPr>
            <w:r w:rsidRPr="0040485A">
              <w:rPr>
                <w:rFonts w:cs="Times New Roman"/>
                <w:sz w:val="18"/>
              </w:rPr>
              <w:t>When guarantee needs arise, the enterprise prioritises VietinBank ahead of other banks.</w:t>
            </w:r>
          </w:p>
        </w:tc>
      </w:tr>
      <w:tr w:rsidR="00994AE3" w:rsidRPr="0040485A" w14:paraId="7E98EBEF" w14:textId="77777777">
        <w:trPr>
          <w:jc w:val="center"/>
        </w:trPr>
        <w:tc>
          <w:tcPr>
            <w:tcW w:w="1944" w:type="dxa"/>
          </w:tcPr>
          <w:p w14:paraId="18042A5C" w14:textId="77777777" w:rsidR="00994AE3" w:rsidRPr="0040485A" w:rsidRDefault="00994AE3">
            <w:pPr>
              <w:spacing w:after="40" w:line="240" w:lineRule="auto"/>
              <w:rPr>
                <w:rFonts w:cs="Times New Roman"/>
              </w:rPr>
            </w:pPr>
          </w:p>
        </w:tc>
        <w:tc>
          <w:tcPr>
            <w:tcW w:w="936" w:type="dxa"/>
          </w:tcPr>
          <w:p w14:paraId="72D9D320" w14:textId="77777777" w:rsidR="00994AE3" w:rsidRPr="0040485A" w:rsidRDefault="008064C0">
            <w:pPr>
              <w:spacing w:after="40" w:line="240" w:lineRule="auto"/>
              <w:rPr>
                <w:rFonts w:cs="Times New Roman"/>
              </w:rPr>
            </w:pPr>
            <w:r w:rsidRPr="0040485A">
              <w:rPr>
                <w:rFonts w:cs="Times New Roman"/>
                <w:sz w:val="18"/>
              </w:rPr>
              <w:t>DEC2</w:t>
            </w:r>
          </w:p>
        </w:tc>
        <w:tc>
          <w:tcPr>
            <w:tcW w:w="6048" w:type="dxa"/>
          </w:tcPr>
          <w:p w14:paraId="29856C4F" w14:textId="77777777" w:rsidR="00994AE3" w:rsidRPr="0040485A" w:rsidRDefault="008064C0">
            <w:pPr>
              <w:spacing w:after="40" w:line="240" w:lineRule="auto"/>
              <w:rPr>
                <w:rFonts w:cs="Times New Roman"/>
              </w:rPr>
            </w:pPr>
            <w:r w:rsidRPr="0040485A">
              <w:rPr>
                <w:rFonts w:cs="Times New Roman"/>
                <w:sz w:val="18"/>
              </w:rPr>
              <w:t xml:space="preserve">The </w:t>
            </w:r>
            <w:r w:rsidRPr="0040485A">
              <w:rPr>
                <w:rFonts w:cs="Times New Roman"/>
                <w:sz w:val="18"/>
              </w:rPr>
              <w:t>enterprise places the majority of its guarantee value with VietinBank rather than with other banks.</w:t>
            </w:r>
          </w:p>
        </w:tc>
      </w:tr>
      <w:tr w:rsidR="00994AE3" w:rsidRPr="0040485A" w14:paraId="701F0A30" w14:textId="77777777">
        <w:trPr>
          <w:jc w:val="center"/>
        </w:trPr>
        <w:tc>
          <w:tcPr>
            <w:tcW w:w="1944" w:type="dxa"/>
          </w:tcPr>
          <w:p w14:paraId="4BA03CD7" w14:textId="77777777" w:rsidR="00994AE3" w:rsidRPr="0040485A" w:rsidRDefault="00994AE3">
            <w:pPr>
              <w:spacing w:after="40" w:line="240" w:lineRule="auto"/>
              <w:rPr>
                <w:rFonts w:cs="Times New Roman"/>
              </w:rPr>
            </w:pPr>
          </w:p>
        </w:tc>
        <w:tc>
          <w:tcPr>
            <w:tcW w:w="936" w:type="dxa"/>
          </w:tcPr>
          <w:p w14:paraId="5D4AD840" w14:textId="77777777" w:rsidR="00994AE3" w:rsidRPr="0040485A" w:rsidRDefault="008064C0">
            <w:pPr>
              <w:spacing w:after="40" w:line="240" w:lineRule="auto"/>
              <w:rPr>
                <w:rFonts w:cs="Times New Roman"/>
              </w:rPr>
            </w:pPr>
            <w:r w:rsidRPr="0040485A">
              <w:rPr>
                <w:rFonts w:cs="Times New Roman"/>
                <w:sz w:val="18"/>
              </w:rPr>
              <w:t>DEC3</w:t>
            </w:r>
          </w:p>
        </w:tc>
        <w:tc>
          <w:tcPr>
            <w:tcW w:w="6048" w:type="dxa"/>
          </w:tcPr>
          <w:p w14:paraId="1B56E86B" w14:textId="77777777" w:rsidR="00994AE3" w:rsidRPr="0040485A" w:rsidRDefault="008064C0">
            <w:pPr>
              <w:spacing w:after="40" w:line="240" w:lineRule="auto"/>
              <w:rPr>
                <w:rFonts w:cs="Times New Roman"/>
              </w:rPr>
            </w:pPr>
            <w:r w:rsidRPr="0040485A">
              <w:rPr>
                <w:rFonts w:cs="Times New Roman"/>
                <w:sz w:val="18"/>
              </w:rPr>
              <w:t>For upcoming tenders and contracts, the enterprise intends to continue with VietinBank.</w:t>
            </w:r>
          </w:p>
        </w:tc>
      </w:tr>
      <w:tr w:rsidR="00994AE3" w:rsidRPr="0040485A" w14:paraId="390B2903" w14:textId="77777777">
        <w:trPr>
          <w:jc w:val="center"/>
        </w:trPr>
        <w:tc>
          <w:tcPr>
            <w:tcW w:w="1944" w:type="dxa"/>
          </w:tcPr>
          <w:p w14:paraId="71D6D1EA" w14:textId="77777777" w:rsidR="00994AE3" w:rsidRPr="0040485A" w:rsidRDefault="00994AE3">
            <w:pPr>
              <w:spacing w:after="40" w:line="240" w:lineRule="auto"/>
              <w:rPr>
                <w:rFonts w:cs="Times New Roman"/>
              </w:rPr>
            </w:pPr>
          </w:p>
        </w:tc>
        <w:tc>
          <w:tcPr>
            <w:tcW w:w="936" w:type="dxa"/>
          </w:tcPr>
          <w:p w14:paraId="593FEF39" w14:textId="77777777" w:rsidR="00994AE3" w:rsidRPr="0040485A" w:rsidRDefault="008064C0">
            <w:pPr>
              <w:spacing w:after="40" w:line="240" w:lineRule="auto"/>
              <w:rPr>
                <w:rFonts w:cs="Times New Roman"/>
              </w:rPr>
            </w:pPr>
            <w:r w:rsidRPr="0040485A">
              <w:rPr>
                <w:rFonts w:cs="Times New Roman"/>
                <w:sz w:val="18"/>
              </w:rPr>
              <w:t>DEC4</w:t>
            </w:r>
          </w:p>
        </w:tc>
        <w:tc>
          <w:tcPr>
            <w:tcW w:w="6048" w:type="dxa"/>
          </w:tcPr>
          <w:p w14:paraId="04C9493C" w14:textId="77777777" w:rsidR="00994AE3" w:rsidRPr="0040485A" w:rsidRDefault="008064C0">
            <w:pPr>
              <w:spacing w:after="40" w:line="240" w:lineRule="auto"/>
              <w:rPr>
                <w:rFonts w:cs="Times New Roman"/>
              </w:rPr>
            </w:pPr>
            <w:r w:rsidRPr="0040485A">
              <w:rPr>
                <w:rFonts w:cs="Times New Roman"/>
                <w:sz w:val="18"/>
              </w:rPr>
              <w:t xml:space="preserve">The enterprise would recommend VietinBank to partners </w:t>
            </w:r>
            <w:r w:rsidRPr="0040485A">
              <w:rPr>
                <w:rFonts w:cs="Times New Roman"/>
                <w:sz w:val="18"/>
              </w:rPr>
              <w:t>as the best issuing bank.</w:t>
            </w:r>
          </w:p>
        </w:tc>
      </w:tr>
    </w:tbl>
    <w:p w14:paraId="7C3123FD" w14:textId="77777777" w:rsidR="00994AE3" w:rsidRPr="0040485A" w:rsidRDefault="00994AE3">
      <w:pPr>
        <w:rPr>
          <w:rFonts w:cs="Times New Roman"/>
        </w:rPr>
      </w:pPr>
    </w:p>
    <w:p w14:paraId="043EA131"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the theoretical framework in Chapter 2. Total 32 Likert indicators = 8 constructs × 4 indicators.</w:t>
      </w:r>
    </w:p>
    <w:p w14:paraId="71BA8713" w14:textId="77777777" w:rsidR="00994AE3" w:rsidRPr="0040485A" w:rsidRDefault="008064C0">
      <w:pPr>
        <w:spacing w:after="160" w:line="360" w:lineRule="auto"/>
        <w:ind w:firstLine="360"/>
        <w:jc w:val="both"/>
        <w:rPr>
          <w:rFonts w:cs="Times New Roman"/>
        </w:rPr>
      </w:pPr>
      <w:r w:rsidRPr="0040485A">
        <w:rPr>
          <w:rFonts w:cs="Times New Roman"/>
        </w:rPr>
        <w:t>The seven independent constructs are each anchored in the theory identified in Section 2.2. Pr</w:t>
      </w:r>
      <w:r w:rsidRPr="0040485A">
        <w:rPr>
          <w:rFonts w:cs="Times New Roman"/>
        </w:rPr>
        <w:t>ice Competitiveness and Collateral Policy derive from credit risk pricing theory (Merton, 1974; Stiglitz and Weiss, 1981), under which guarantee fees and margin requirements are the price of a contingent credit exposure. Processing Speed and Staff Professi</w:t>
      </w:r>
      <w:r w:rsidRPr="0040485A">
        <w:rPr>
          <w:rFonts w:cs="Times New Roman"/>
        </w:rPr>
        <w:t>onalism correspond to the responsiveness and assurance dimensions of SERVQUAL (Parasuraman, Zeithaml and Berry, 1988). Bank Reputation follows from delegated monitoring theory (Diamond, 1984; Ramakrishnan and Thakor, 1984), whereby the issuing bank's stand</w:t>
      </w:r>
      <w:r w:rsidRPr="0040485A">
        <w:rPr>
          <w:rFonts w:cs="Times New Roman"/>
        </w:rPr>
        <w:t>ing is itself the signal the beneficiary relies upon. Relationship and Limits follows relationship banking theory (Boot, 2000; Berger and Udell, 1995). Digital eFAST Convenience follows the Technology Acceptance Model (Davis, 1989; Venkatesh et al., 2003).</w:t>
      </w:r>
    </w:p>
    <w:p w14:paraId="1BDCDF89" w14:textId="77777777" w:rsidR="00994AE3" w:rsidRPr="0040485A" w:rsidRDefault="008064C0">
      <w:pPr>
        <w:spacing w:after="160" w:line="360" w:lineRule="auto"/>
        <w:ind w:firstLine="360"/>
        <w:jc w:val="both"/>
        <w:rPr>
          <w:rFonts w:cs="Times New Roman"/>
        </w:rPr>
      </w:pPr>
      <w:r w:rsidRPr="0040485A">
        <w:rPr>
          <w:rFonts w:cs="Times New Roman"/>
        </w:rPr>
        <w:t>The direction of measurement deserves particular attention for the fee construct. The three indicators COMP1 to COMP3 do not measure the absolute level of fees; they measure the enterprise's evaluation of how reasonable and competitive those fees are. A h</w:t>
      </w:r>
      <w:r w:rsidRPr="0040485A">
        <w:rPr>
          <w:rFonts w:cs="Times New Roman"/>
        </w:rPr>
        <w:t xml:space="preserve">igher score therefore denotes a more favourable perception, and the hypothesised association with selection </w:t>
      </w:r>
      <w:r w:rsidRPr="0040485A">
        <w:rPr>
          <w:rFonts w:cs="Times New Roman"/>
        </w:rPr>
        <w:lastRenderedPageBreak/>
        <w:t>priority is positive. Labelling the construct Price Competitiveness rather than Cost makes this explicit and removes the sign inconsistency that wou</w:t>
      </w:r>
      <w:r w:rsidRPr="0040485A">
        <w:rPr>
          <w:rFonts w:cs="Times New Roman"/>
        </w:rPr>
        <w:t>ld otherwise arise from treating a favourably-worded evaluation as a cost variable.</w:t>
      </w:r>
    </w:p>
    <w:p w14:paraId="03785986"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requires a further clarification. Selection in the strict econometric sense is a discrete act, and a study observing actual switching between banks </w:t>
      </w:r>
      <w:r w:rsidRPr="0040485A">
        <w:rPr>
          <w:rFonts w:cs="Times New Roman"/>
        </w:rPr>
        <w:t>would call for a logit or probit specification. This thesis does not observe switching; it measures the degree of priority an enterprise assigns to VietinBank relative to competing banks, expressed on a continuous multi-item attitudinal scale. The four ind</w:t>
      </w:r>
      <w:r w:rsidRPr="0040485A">
        <w:rPr>
          <w:rFonts w:cs="Times New Roman"/>
        </w:rPr>
        <w:t>icators are adapted from the behavioural consequences battery of Zeithaml, Berry and Parasuraman (1996), which captures preference, allocation, continuation intention and advocacy. Oliver's (1999) four-stage loyalty framework is invoked at the conceptual l</w:t>
      </w:r>
      <w:r w:rsidRPr="0040485A">
        <w:rPr>
          <w:rFonts w:cs="Times New Roman"/>
        </w:rPr>
        <w:t>evel to justify treating patronage as a multi-dimensional attitudinal construct rather than a single question, but no one-to-one correspondence between the four indicators and the four stages is claimed: advocacy does not constitute a stage in that framewo</w:t>
      </w:r>
      <w:r w:rsidRPr="0040485A">
        <w:rPr>
          <w:rFonts w:cs="Times New Roman"/>
        </w:rPr>
        <w:t>rk, and action loyalty cannot be observed in a cross-sectional design. Because the construct is continuous rather than binary, ordinary least squares estimation is the appropriate technique.</w:t>
      </w:r>
    </w:p>
    <w:p w14:paraId="3B0F197C"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3.2.2. Mapping Scales with the Official 32-Item Survey Questionna</w:t>
      </w:r>
      <w:r w:rsidRPr="0040485A">
        <w:rPr>
          <w:rFonts w:ascii="Times New Roman" w:hAnsi="Times New Roman" w:cs="Times New Roman"/>
        </w:rPr>
        <w:t>ire</w:t>
      </w:r>
    </w:p>
    <w:p w14:paraId="4D517F8A" w14:textId="77777777" w:rsidR="00994AE3" w:rsidRPr="0040485A" w:rsidRDefault="008064C0">
      <w:pPr>
        <w:spacing w:after="160" w:line="360" w:lineRule="auto"/>
        <w:ind w:firstLine="360"/>
        <w:jc w:val="both"/>
        <w:rPr>
          <w:rFonts w:cs="Times New Roman"/>
        </w:rPr>
      </w:pPr>
      <w:r>
        <w:t>The survey instrument is structured systematically in three sequential parts. Part I contains the screening qualification item (Question S1: verifying at least one guarantee issued by VietinBank within the preceding 12 months) and six enterprise classification questions (Questions Q1 to Q6: ownership type, annual revenue band, operating tenure, primary guarantee product utilised, multi-banking relationship status, and respondent corporate position). Part II comprises the twenty-eight core evaluative Likert items measuring the seven independent constructs (COMP1–COMP4, SPEED1–SPEED4, DIGI1–DIGI4, REPU1–REPU4, RELA1–RELA4, STAFF1–STAFF4, and COLL1–COLL4). Part III measures corporate selection priority and actual commercial commitment through the four dependent indicators (DEC1–DEC4) and the observed guarantee wallet-share allocation question (Question V1).</w:t>
      </w:r>
    </w:p>
    <w:p w14:paraId="4A96B4A3" w14:textId="77777777" w:rsidR="00994AE3" w:rsidRPr="0040485A" w:rsidRDefault="008064C0">
      <w:pPr>
        <w:spacing w:after="160" w:line="360" w:lineRule="auto"/>
        <w:ind w:firstLine="360"/>
        <w:jc w:val="both"/>
        <w:rPr>
          <w:rFonts w:cs="Times New Roman"/>
        </w:rPr>
      </w:pPr>
      <w:r w:rsidRPr="0040485A">
        <w:rPr>
          <w:rFonts w:cs="Times New Roman"/>
        </w:rPr>
        <w:t>The instrument is deliberately constructed so that the mapping between questionnaire and model is exhausti</w:t>
      </w:r>
      <w:r w:rsidRPr="0040485A">
        <w:rPr>
          <w:rFonts w:cs="Times New Roman"/>
        </w:rPr>
        <w:t>ve in both directions. Every indicator in the questionnaire belongs to a construct that appears in the regression equation, and every construct in the equation is measured by indicators that appear in the questionnaire. There are no residual items collecte</w:t>
      </w:r>
      <w:r w:rsidRPr="0040485A">
        <w:rPr>
          <w:rFonts w:cs="Times New Roman"/>
        </w:rPr>
        <w:t>d but unused, and no construct specified without a corresponding measure. The indicator codes themselves carry the construct name, so that the link between the raw data file and the estimated model is unambiguous at every stage of the analysis. This design</w:t>
      </w:r>
      <w:r w:rsidRPr="0040485A">
        <w:rPr>
          <w:rFonts w:cs="Times New Roman"/>
        </w:rPr>
        <w:t xml:space="preserve"> responds directly to the supervisor's </w:t>
      </w:r>
      <w:r w:rsidRPr="0040485A">
        <w:rPr>
          <w:rFonts w:cs="Times New Roman"/>
        </w:rPr>
        <w:lastRenderedPageBreak/>
        <w:t>instruction that the measurement scales must correspond to the questionnaire actually administered rather than being constructed independently and mapped onto the data after the fact.</w:t>
      </w:r>
    </w:p>
    <w:p w14:paraId="129CB373" w14:textId="77777777" w:rsidR="00994AE3" w:rsidRPr="0040485A" w:rsidRDefault="008064C0">
      <w:pPr>
        <w:spacing w:after="160" w:line="360" w:lineRule="auto"/>
        <w:ind w:firstLine="360"/>
        <w:jc w:val="both"/>
        <w:rPr>
          <w:rFonts w:cs="Times New Roman"/>
        </w:rPr>
      </w:pPr>
      <w:r w:rsidRPr="0040485A">
        <w:rPr>
          <w:rFonts w:cs="Times New Roman"/>
        </w:rPr>
        <w:t>Three procedures protect the cont</w:t>
      </w:r>
      <w:r w:rsidRPr="0040485A">
        <w:rPr>
          <w:rFonts w:cs="Times New Roman"/>
        </w:rPr>
        <w:t xml:space="preserve">ent validity of the instrument, following the guidance of Hair et al. (2019) on scale development. First, each indicator is adapted from a published scale and reworded to the bank guarantee context rather than invented; the provenance of each construct is </w:t>
      </w:r>
      <w:r w:rsidRPr="0040485A">
        <w:rPr>
          <w:rFonts w:cs="Times New Roman"/>
        </w:rPr>
        <w:t>set out in Section 2.2 and summarised in Table 3.1. Second, the questionnaire is administered in Vietnamese, having been developed in English from the source scales and translated, with a back-translation into English by a second translator to confirm that</w:t>
      </w:r>
      <w:r w:rsidRPr="0040485A">
        <w:rPr>
          <w:rFonts w:cs="Times New Roman"/>
        </w:rPr>
        <w:t xml:space="preserve"> no meaning was lost, following the procedure of Brislin (1970); discrepancies were reconciled before finalisation. Third, the draft instrument is reviewed by experienced guarantee officers and by a small number of corporate clients in a pilot round, whose</w:t>
      </w:r>
      <w:r w:rsidRPr="0040485A">
        <w:rPr>
          <w:rFonts w:cs="Times New Roman"/>
        </w:rPr>
        <w:t xml:space="preserve"> comments are used to remove technical ambiguity and to confirm that the wording is intelligible to the intended respondents. The pilot responses are used only for instrument refinement and are excluded from the main dataset.</w:t>
      </w:r>
    </w:p>
    <w:p w14:paraId="209CFB47"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block </w:t>
      </w:r>
      <w:r w:rsidRPr="0040485A">
        <w:rPr>
          <w:rFonts w:cs="Times New Roman"/>
        </w:rPr>
        <w:t>is introduced by an explicit comparative instruction asking the respondent to answer by reference to the other banks the enterprise has used or considered for guarantee services. Without this framing, agreement with a statement such as "the enterprise prio</w:t>
      </w:r>
      <w:r w:rsidRPr="0040485A">
        <w:rPr>
          <w:rFonts w:cs="Times New Roman"/>
        </w:rPr>
        <w:t>ritises VietinBank" could be read as a general expression of satisfaction. The instruction anchors the entire block in the competitive comparison that the research question requires.</w:t>
      </w:r>
    </w:p>
    <w:p w14:paraId="4160849F" w14:textId="77777777" w:rsidR="00994AE3" w:rsidRPr="0040485A" w:rsidRDefault="008064C0">
      <w:pPr>
        <w:spacing w:after="160" w:line="360" w:lineRule="auto"/>
        <w:ind w:firstLine="360"/>
        <w:jc w:val="both"/>
        <w:rPr>
          <w:rFonts w:cs="Times New Roman"/>
        </w:rPr>
      </w:pPr>
      <w:r w:rsidRPr="0040485A">
        <w:rPr>
          <w:rFonts w:cs="Times New Roman"/>
        </w:rPr>
        <w:t>Part D adds one behavioural item asking the enterprise to estimate the sh</w:t>
      </w:r>
      <w:r w:rsidRPr="0040485A">
        <w:rPr>
          <w:rFonts w:cs="Times New Roman"/>
        </w:rPr>
        <w:t xml:space="preserve">are of its total guarantee value placed with VietinBank over the preceding twelve months. This item is not a predictor and does not enter the regression. It serves as a criterion variable against which the attitudinal dependent scale is validated: a scale </w:t>
      </w:r>
      <w:r w:rsidRPr="0040485A">
        <w:rPr>
          <w:rFonts w:cs="Times New Roman"/>
        </w:rPr>
        <w:t xml:space="preserve">claiming to measure patronage priority should correlate with the share of business actually placed, and the association is tested by Spearman rank correlation and reported alongside the reliability results in Section 4.2. A further design feature concerns </w:t>
      </w:r>
      <w:r w:rsidRPr="0040485A">
        <w:rPr>
          <w:rFonts w:cs="Times New Roman"/>
        </w:rPr>
        <w:t>the digital block, where respondents who have not used the eFAST channel select a "not used" option rather than a scale point; treating such responses as missing prevents enterprises without experience of the channel from contributing guesses to the DIGITA</w:t>
      </w:r>
      <w:r w:rsidRPr="0040485A">
        <w:rPr>
          <w:rFonts w:cs="Times New Roman"/>
        </w:rPr>
        <w:t>L_CONV score, and the proportion selecting it is itself reported as a descriptive finding.</w:t>
      </w:r>
    </w:p>
    <w:p w14:paraId="2ECC999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3.3. Population, Sampling Strategy and Data Collection</w:t>
      </w:r>
    </w:p>
    <w:p w14:paraId="7A2CD07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3.3.1. Target Population &amp; Sampling Method</w:t>
      </w:r>
    </w:p>
    <w:p w14:paraId="2445DE7D"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population comprises enterprises that are current users </w:t>
      </w:r>
      <w:r w:rsidRPr="0040485A">
        <w:rPr>
          <w:rFonts w:cs="Times New Roman"/>
        </w:rPr>
        <w:t>of bank guarantee services at VietinBank. Three boundary conditions define membership. The enterprise must be a legal entity rather than a household or individual business, since the corporate guarantee product is not offered to the latter. It must have ha</w:t>
      </w:r>
      <w:r w:rsidRPr="0040485A">
        <w:rPr>
          <w:rFonts w:cs="Times New Roman"/>
        </w:rPr>
        <w:t xml:space="preserve">d at least one guarantee issued or outstanding at VietinBank within the twelve months preceding the survey, so that the respondent is evaluating recent rather than remembered experience. And the respondent must be an officer with direct responsibility for </w:t>
      </w:r>
      <w:r w:rsidRPr="0040485A">
        <w:rPr>
          <w:rFonts w:cs="Times New Roman"/>
        </w:rPr>
        <w:t>guarantee transactions, so that the evaluation reflects informed organisational judgement.</w:t>
      </w:r>
    </w:p>
    <w:p w14:paraId="27752E10" w14:textId="77777777" w:rsidR="00994AE3" w:rsidRPr="0040485A" w:rsidRDefault="008064C0">
      <w:pPr>
        <w:spacing w:after="160" w:line="360" w:lineRule="auto"/>
        <w:ind w:firstLine="360"/>
        <w:jc w:val="both"/>
        <w:rPr>
          <w:rFonts w:cs="Times New Roman"/>
        </w:rPr>
      </w:pPr>
      <w:r w:rsidRPr="0040485A">
        <w:rPr>
          <w:rFonts w:cs="Times New Roman"/>
        </w:rPr>
        <w:t>The sampling frame is the population of corporate guarantee clients across VietinBank's 155 domestic branches. Because a complete list of qualifying enterprises cann</w:t>
      </w:r>
      <w:r w:rsidRPr="0040485A">
        <w:rPr>
          <w:rFonts w:cs="Times New Roman"/>
        </w:rPr>
        <w:t>ot be released to an external researcher for confidentiality reasons, simple random selection from the frame is not feasible. The study therefore applies stratified convenience sampling, an approach widely used where the population list is not accessible t</w:t>
      </w:r>
      <w:r w:rsidRPr="0040485A">
        <w:rPr>
          <w:rFonts w:cs="Times New Roman"/>
        </w:rPr>
        <w:t>o the researcher (Hair et al., 2019). The branch network is first stratified by geographic region, and a quota of responses is allocated to each region in proportion to its share of the bank's corporate guarantee balance, so that the regional composition o</w:t>
      </w:r>
      <w:r w:rsidRPr="0040485A">
        <w:rPr>
          <w:rFonts w:cs="Times New Roman"/>
        </w:rPr>
        <w:t>f the sample approximates that of the population. Within each stratum, questionnaires are distributed to whichever qualifying clients are accessible through the branch relationship managers.</w:t>
      </w:r>
    </w:p>
    <w:p w14:paraId="5574EEAF" w14:textId="77777777" w:rsidR="00994AE3" w:rsidRPr="0040485A" w:rsidRDefault="008064C0">
      <w:pPr>
        <w:spacing w:after="160" w:line="360" w:lineRule="auto"/>
        <w:ind w:firstLine="360"/>
        <w:jc w:val="both"/>
        <w:rPr>
          <w:rFonts w:cs="Times New Roman"/>
        </w:rPr>
      </w:pPr>
      <w:r w:rsidRPr="0040485A">
        <w:rPr>
          <w:rFonts w:cs="Times New Roman"/>
        </w:rPr>
        <w:t>This procedure is not probabilistic, and the limitations that fol</w:t>
      </w:r>
      <w:r w:rsidRPr="0040485A">
        <w:rPr>
          <w:rFonts w:cs="Times New Roman"/>
        </w:rPr>
        <w:t>low are stated openly (Hair et al., 2019). Selection probabilities are unknown, so sampling error cannot be estimated and inference to the population rests on the assumption that respondents do not differ systematically from non-respondents on the construc</w:t>
      </w:r>
      <w:r w:rsidRPr="0040485A">
        <w:rPr>
          <w:rFonts w:cs="Times New Roman"/>
        </w:rPr>
        <w:t>ts measured. Stratification by region mitigates but does not eliminate this risk. More fundamentally, the frame contains only enterprises that already use VietinBank; enterprises that considered the bank and chose a competitor, or that used it and left, ar</w:t>
      </w:r>
      <w:r w:rsidRPr="0040485A">
        <w:rPr>
          <w:rFonts w:cs="Times New Roman"/>
        </w:rPr>
        <w:t>e not represented. The consequence, discussed further in Section 4.10, is that the findings describe the determinants of selection priority and patronage within the existing client base rather than the determinants of first-time bank choice across the mark</w:t>
      </w:r>
      <w:r w:rsidRPr="0040485A">
        <w:rPr>
          <w:rFonts w:cs="Times New Roman"/>
        </w:rPr>
        <w:t>et as a whole. The research scope stated in Section 1.5 is defined accordingly.</w:t>
      </w:r>
    </w:p>
    <w:p w14:paraId="01F585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3.3.2. Sample Size Determination</w:t>
      </w:r>
    </w:p>
    <w:p w14:paraId="430A402A" w14:textId="77777777" w:rsidR="00994AE3" w:rsidRPr="0040485A" w:rsidRDefault="008064C0">
      <w:pPr>
        <w:spacing w:after="160" w:line="360" w:lineRule="auto"/>
        <w:ind w:firstLine="360"/>
        <w:jc w:val="both"/>
        <w:rPr>
          <w:rFonts w:cs="Times New Roman"/>
        </w:rPr>
      </w:pPr>
      <w:r w:rsidRPr="0040485A">
        <w:rPr>
          <w:rFonts w:cs="Times New Roman"/>
        </w:rPr>
        <w:t>Three conventional criteria govern the minimum sample size for the planned analysis. For exploratory factor analysis, Hair et al. (2019) recomm</w:t>
      </w:r>
      <w:r w:rsidRPr="0040485A">
        <w:rPr>
          <w:rFonts w:cs="Times New Roman"/>
        </w:rPr>
        <w:t xml:space="preserve">end a minimum ratio of five observations per measured indicator, which for thirty-two indicators yields 160 responses, and regard a ratio of ten to one, or 250 responses, as comfortable. For multiple regression, the widely applied rule of 50 + 8k, where k </w:t>
      </w:r>
      <w:r w:rsidRPr="0040485A">
        <w:rPr>
          <w:rFonts w:cs="Times New Roman"/>
        </w:rPr>
        <w:t>is the number of predictors, yields a minimum of 106 responses for seven predictors. For sub-group comparison, the binding constraint is not the total but the size of the smallest cell: one-way analysis of variance requires roughly thirty observations in e</w:t>
      </w:r>
      <w:r w:rsidRPr="0040485A">
        <w:rPr>
          <w:rFonts w:cs="Times New Roman"/>
        </w:rPr>
        <w:t>ach group for the test to be robust to moderate departures from normality, and the ownership and product classifications each define five groups.</w:t>
      </w:r>
    </w:p>
    <w:p w14:paraId="7B4C5D01"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sample of 800 valid responses exceeds all three thresholds by a wide margin. The binding criterion </w:t>
      </w:r>
      <w:r w:rsidRPr="0040485A">
        <w:rPr>
          <w:rFonts w:cs="Times New Roman"/>
        </w:rPr>
        <w:t xml:space="preserve">is the third: with 800 responses distributed across five ownership categories, even a category holding only five per cent of the sample would contain forty enterprises, sufficient for the group comparisons required by Objective 3. The target also provides </w:t>
      </w:r>
      <w:r w:rsidRPr="0040485A">
        <w:rPr>
          <w:rFonts w:cs="Times New Roman"/>
        </w:rPr>
        <w:t>headroom for attrition, since questionnaires that are incomplete, internally inconsistent or straight-lined must be discarded before analysis. Assuming a usable rate of around seventy per cent, approximately 1,150 questionnaires need to be distributed to y</w:t>
      </w:r>
      <w:r w:rsidRPr="0040485A">
        <w:rPr>
          <w:rFonts w:cs="Times New Roman"/>
        </w:rPr>
        <w:t>ield 800 valid responses.</w:t>
      </w:r>
    </w:p>
    <w:p w14:paraId="3B98E6BA" w14:textId="77777777" w:rsidR="00994AE3" w:rsidRPr="0040485A" w:rsidRDefault="008064C0">
      <w:pPr>
        <w:spacing w:after="160" w:line="360" w:lineRule="auto"/>
        <w:ind w:firstLine="360"/>
        <w:jc w:val="both"/>
        <w:rPr>
          <w:rFonts w:cs="Times New Roman"/>
        </w:rPr>
      </w:pPr>
      <w:r w:rsidRPr="0040485A">
        <w:rPr>
          <w:rFonts w:cs="Times New Roman"/>
        </w:rPr>
        <w:t>A sample of this size carries one methodological consequence that must be anticipated rather than discovered. With n = 800, the standard errors of the estimated coefficients are small, and coefficients of negligible practical magn</w:t>
      </w:r>
      <w:r w:rsidRPr="0040485A">
        <w:rPr>
          <w:rFonts w:cs="Times New Roman"/>
        </w:rPr>
        <w:t>itude may nonetheless attain conventional significance levels. Statistical significance alone therefore conveys limited information in this setting. The interpretation in Chapter 4 accordingly rests on standardised beta coefficients, which permit the seven</w:t>
      </w:r>
      <w:r w:rsidRPr="0040485A">
        <w:rPr>
          <w:rFonts w:cs="Times New Roman"/>
        </w:rPr>
        <w:t xml:space="preserve"> constructs to be ranked by strength of association, and on the adjusted coefficient of determination, which indicates how much of the variation in selection priority the model explains. This emphasis on practical alongside statistical significance is what</w:t>
      </w:r>
      <w:r w:rsidRPr="0040485A">
        <w:rPr>
          <w:rFonts w:cs="Times New Roman"/>
        </w:rPr>
        <w:t xml:space="preserve"> makes the results usable as a basis for managerial prioritisation.</w:t>
      </w:r>
    </w:p>
    <w:p w14:paraId="73D82EA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3.3.3. Survey Administration across 155 VietinBank Branches</w:t>
      </w:r>
    </w:p>
    <w:p w14:paraId="4783C37E" w14:textId="77777777" w:rsidR="00994AE3" w:rsidRPr="0040485A" w:rsidRDefault="008064C0">
      <w:pPr>
        <w:spacing w:after="160" w:line="360" w:lineRule="auto"/>
        <w:ind w:firstLine="360"/>
        <w:jc w:val="both"/>
        <w:rPr>
          <w:rFonts w:cs="Times New Roman"/>
        </w:rPr>
      </w:pPr>
      <w:r w:rsidRPr="0040485A">
        <w:rPr>
          <w:rFonts w:cs="Times New Roman"/>
        </w:rPr>
        <w:t>Questionnaires are distributed through the corporate relationship managers of VietinBank branches, who are in regular contact wi</w:t>
      </w:r>
      <w:r w:rsidRPr="0040485A">
        <w:rPr>
          <w:rFonts w:cs="Times New Roman"/>
        </w:rPr>
        <w:t xml:space="preserve">th the qualifying enterprises and can identify officers competent to respond. Distribution takes place in two modes: a printed form handed over during </w:t>
      </w:r>
      <w:r w:rsidRPr="0040485A">
        <w:rPr>
          <w:rFonts w:cs="Times New Roman"/>
        </w:rPr>
        <w:lastRenderedPageBreak/>
        <w:t>scheduled client meetings, and an identical electronic form sent by email to clients who prefer to respon</w:t>
      </w:r>
      <w:r w:rsidRPr="0040485A">
        <w:rPr>
          <w:rFonts w:cs="Times New Roman"/>
        </w:rPr>
        <w:t>d remotely. Each returned questionnaire carries a branch code, which permits the regional quotas to be monitored during fieldwork and allows the achieved composition of the sample to be compared with the intended stratification.</w:t>
      </w:r>
    </w:p>
    <w:p w14:paraId="24EFA366" w14:textId="77777777" w:rsidR="00994AE3" w:rsidRPr="0040485A" w:rsidRDefault="008064C0">
      <w:pPr>
        <w:spacing w:after="160" w:line="360" w:lineRule="auto"/>
        <w:ind w:firstLine="360"/>
        <w:jc w:val="both"/>
        <w:rPr>
          <w:rFonts w:cs="Times New Roman"/>
        </w:rPr>
      </w:pPr>
      <w:r w:rsidRPr="0040485A">
        <w:rPr>
          <w:rFonts w:cs="Times New Roman"/>
        </w:rPr>
        <w:t xml:space="preserve">Participation is voluntary </w:t>
      </w:r>
      <w:r w:rsidRPr="0040485A">
        <w:rPr>
          <w:rFonts w:cs="Times New Roman"/>
        </w:rPr>
        <w:t>and responses are anonymous. The covering letter states the purpose of the survey, confirms that responses are used solely for aggregate analysis, and gives an undertaking that no individual enterprise or respondent is identified at any stage. No commercia</w:t>
      </w:r>
      <w:r w:rsidRPr="0040485A">
        <w:rPr>
          <w:rFonts w:cs="Times New Roman"/>
        </w:rPr>
        <w:t>lly sensitive information about guarantee balances, pricing or credit terms is requested; all items are perceptual, which reduces both the sensitivity of the exercise and the burden on the respondent.</w:t>
      </w:r>
    </w:p>
    <w:p w14:paraId="185C45BE" w14:textId="77777777" w:rsidR="00994AE3" w:rsidRPr="0040485A" w:rsidRDefault="008064C0">
      <w:pPr>
        <w:spacing w:after="160" w:line="360" w:lineRule="auto"/>
        <w:ind w:firstLine="360"/>
        <w:jc w:val="both"/>
        <w:rPr>
          <w:rFonts w:cs="Times New Roman"/>
        </w:rPr>
      </w:pPr>
      <w:r w:rsidRPr="0040485A">
        <w:rPr>
          <w:rFonts w:cs="Times New Roman"/>
        </w:rPr>
        <w:t>Administration through the bank's own relationship chan</w:t>
      </w:r>
      <w:r w:rsidRPr="0040485A">
        <w:rPr>
          <w:rFonts w:cs="Times New Roman"/>
        </w:rPr>
        <w:t>nel carries a recognised risk of social desirability bias, a form of common method bias documented by Podsakoff et al. (2003), since respondents may hesitate to record unfavourable evaluations to an officer with whom they maintain a working relationship. T</w:t>
      </w:r>
      <w:r w:rsidRPr="0040485A">
        <w:rPr>
          <w:rFonts w:cs="Times New Roman"/>
        </w:rPr>
        <w:t>hree of the procedural remedies recommended by Podsakoff et al. (2003) are applied to limit this risk: the questionnaire is returned in a sealed envelope or submitted directly through the electronic form rather than handed back to the relationship manager;</w:t>
      </w:r>
      <w:r w:rsidRPr="0040485A">
        <w:rPr>
          <w:rFonts w:cs="Times New Roman"/>
        </w:rPr>
        <w:t xml:space="preserve"> the covering letter emphasises anonymity; and no identifying information beyond the classification items in Part I is collected. Residual bias is assessed at the descriptive stage by inspecting the item means and standard deviations, since a distribution </w:t>
      </w:r>
      <w:r w:rsidRPr="0040485A">
        <w:rPr>
          <w:rFonts w:cs="Times New Roman"/>
        </w:rPr>
        <w:t>compressed towards the upper end of the scale with unusually small dispersion is the characteristic signature of the problem. Where present, it is reported and taken into account in interpretation; it does not invalidate the regression results, which depen</w:t>
      </w:r>
      <w:r w:rsidRPr="0040485A">
        <w:rPr>
          <w:rFonts w:cs="Times New Roman"/>
        </w:rPr>
        <w:t>d on variation between respondents rather than on the absolute level of the means.</w:t>
      </w:r>
    </w:p>
    <w:p w14:paraId="4F92EE1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3.4. Econometric &amp; Quantitative Analytical Methods</w:t>
      </w:r>
    </w:p>
    <w:p w14:paraId="52C49E87"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3.4.1. Descriptive Statistics</w:t>
      </w:r>
    </w:p>
    <w:p w14:paraId="5C028765" w14:textId="77777777" w:rsidR="00994AE3" w:rsidRPr="0040485A" w:rsidRDefault="008064C0">
      <w:pPr>
        <w:spacing w:after="160" w:line="360" w:lineRule="auto"/>
        <w:ind w:firstLine="360"/>
        <w:jc w:val="both"/>
        <w:rPr>
          <w:rFonts w:cs="Times New Roman"/>
        </w:rPr>
      </w:pPr>
      <w:r w:rsidRPr="0040485A">
        <w:rPr>
          <w:rFonts w:cs="Times New Roman"/>
        </w:rPr>
        <w:t>Descriptive analysis serves two purposes: to establish the composition of the achieved sample, and to screen the data before inferential procedures are applied. T</w:t>
      </w:r>
      <w:r w:rsidRPr="0040485A">
        <w:rPr>
          <w:rFonts w:cs="Times New Roman"/>
        </w:rPr>
        <w:t xml:space="preserve">he sample profile is reported as frequency distributions across the five classification variables of Part I, and the </w:t>
      </w:r>
      <w:r w:rsidRPr="0040485A">
        <w:rPr>
          <w:rFonts w:cs="Times New Roman"/>
        </w:rPr>
        <w:lastRenderedPageBreak/>
        <w:t>achieved distribution is compared with the intended regional stratification to document any imbalance.</w:t>
      </w:r>
    </w:p>
    <w:p w14:paraId="68110C2D" w14:textId="77777777" w:rsidR="00994AE3" w:rsidRPr="0040485A" w:rsidRDefault="008064C0">
      <w:pPr>
        <w:spacing w:after="160" w:line="360" w:lineRule="auto"/>
        <w:ind w:firstLine="360"/>
        <w:jc w:val="both"/>
        <w:rPr>
          <w:rFonts w:cs="Times New Roman"/>
        </w:rPr>
      </w:pPr>
      <w:r w:rsidRPr="0040485A">
        <w:rPr>
          <w:rFonts w:cs="Times New Roman"/>
        </w:rPr>
        <w:t xml:space="preserve">For each of the thirty-two </w:t>
      </w:r>
      <w:r w:rsidRPr="0040485A">
        <w:rPr>
          <w:rFonts w:cs="Times New Roman"/>
        </w:rPr>
        <w:t>indicators the analysis reports the mean, standard deviation, minimum, maximum, skewness and kurtosis. Skewness and kurtosis are examined against the conventional tolerance of plus or minus one for skewness and plus or minus three for kurtosis (Hair et al.</w:t>
      </w:r>
      <w:r w:rsidRPr="0040485A">
        <w:rPr>
          <w:rFonts w:cs="Times New Roman"/>
        </w:rPr>
        <w:t>, 2019; Tabachnick and Fidell, 2019); indicators falling outside these bounds are noted, since severe non-normality would affect the maximum likelihood extraction option in factor analysis and the inference procedures in regression.</w:t>
      </w:r>
    </w:p>
    <w:p w14:paraId="710CF60F" w14:textId="77777777" w:rsidR="00994AE3" w:rsidRPr="0040485A" w:rsidRDefault="008064C0">
      <w:pPr>
        <w:spacing w:after="160" w:line="360" w:lineRule="auto"/>
        <w:ind w:firstLine="360"/>
        <w:jc w:val="both"/>
        <w:rPr>
          <w:rFonts w:cs="Times New Roman"/>
        </w:rPr>
      </w:pPr>
      <w:r w:rsidRPr="0040485A">
        <w:rPr>
          <w:rFonts w:cs="Times New Roman"/>
        </w:rPr>
        <w:t xml:space="preserve">Data screening removes </w:t>
      </w:r>
      <w:r w:rsidRPr="0040485A">
        <w:rPr>
          <w:rFonts w:cs="Times New Roman"/>
        </w:rPr>
        <w:t>four categories of response before analysis. Questionnaires failing the screening question, that is those reporting no guarantee issued at VietinBank in the preceding twelve months, are excluded at the outset. Questionnaires missing any Part II indicator a</w:t>
      </w:r>
      <w:r w:rsidRPr="0040485A">
        <w:rPr>
          <w:rFonts w:cs="Times New Roman"/>
        </w:rPr>
        <w:t>re discarded rather than imputed, since listwise deletion is unproblematic at the planned sample size (Tabachnick and Fidell, 2019). Straight-lined responses, defined as a questionnaire recording an identical value for every indicator across all eight bloc</w:t>
      </w:r>
      <w:r w:rsidRPr="0040485A">
        <w:rPr>
          <w:rFonts w:cs="Times New Roman"/>
        </w:rPr>
        <w:t>ks, are removed as non-informative. Internally inconsistent responses, identified through the small number of conceptually opposed item pairs, are reviewed individually. The number of responses excluded under each rule is reported so that the path from dis</w:t>
      </w:r>
      <w:r w:rsidRPr="0040485A">
        <w:rPr>
          <w:rFonts w:cs="Times New Roman"/>
        </w:rPr>
        <w:t>tributed questionnaires to the analytical sample is fully traceable.</w:t>
      </w:r>
    </w:p>
    <w:p w14:paraId="194883E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3.4.2. Scale Reliability Testing (Cronbach’s Alpha)</w:t>
      </w:r>
    </w:p>
    <w:p w14:paraId="0DF80DE8" w14:textId="77777777" w:rsidR="00994AE3" w:rsidRPr="0040485A" w:rsidRDefault="008064C0">
      <w:pPr>
        <w:spacing w:after="160" w:line="360" w:lineRule="auto"/>
        <w:ind w:firstLine="360"/>
        <w:jc w:val="both"/>
        <w:rPr>
          <w:rFonts w:cs="Times New Roman"/>
        </w:rPr>
      </w:pPr>
      <w:r w:rsidRPr="0040485A">
        <w:rPr>
          <w:rFonts w:cs="Times New Roman"/>
        </w:rPr>
        <w:t>Reliability testing establishes whether the indicators assigned to each construct measure that construct consistently. Cronbach's alpha</w:t>
      </w:r>
      <w:r w:rsidRPr="0040485A">
        <w:rPr>
          <w:rFonts w:cs="Times New Roman"/>
        </w:rPr>
        <w:t xml:space="preserve"> is computed separately for each of the eight blocks. Following Nunnally and Bernstein (1994) and Hair et al. (2019), a construct is accepted where alpha reaches 0.70. This threshold is set above the 0.60 sometimes accepted in exploratory work because the </w:t>
      </w:r>
      <w:r w:rsidRPr="0040485A">
        <w:rPr>
          <w:rFonts w:cs="Times New Roman"/>
        </w:rPr>
        <w:t>constructs here are adapted from established scales rather than newly developed, and because a three-indicator construct that cannot reach 0.70 is unlikely to behave stably in subsequent analysis.</w:t>
      </w:r>
    </w:p>
    <w:p w14:paraId="003A357B" w14:textId="77777777" w:rsidR="00994AE3" w:rsidRPr="0040485A" w:rsidRDefault="008064C0">
      <w:pPr>
        <w:spacing w:after="160" w:line="360" w:lineRule="auto"/>
        <w:ind w:firstLine="360"/>
        <w:jc w:val="both"/>
        <w:rPr>
          <w:rFonts w:cs="Times New Roman"/>
        </w:rPr>
      </w:pPr>
      <w:r w:rsidRPr="0040485A">
        <w:rPr>
          <w:rFonts w:cs="Times New Roman"/>
        </w:rPr>
        <w:t>Two supplementary statistics are examined for every indicat</w:t>
      </w:r>
      <w:r w:rsidRPr="0040485A">
        <w:rPr>
          <w:rFonts w:cs="Times New Roman"/>
        </w:rPr>
        <w:t xml:space="preserve">or. The corrected item-total correlation must reach 0.30 (Field, 2018); an indicator falling below this contributes little to the construct and is a candidate for removal. The alpha-if-item-deleted statistic identifies indicators whose removal would raise </w:t>
      </w:r>
      <w:r w:rsidRPr="0040485A">
        <w:rPr>
          <w:rFonts w:cs="Times New Roman"/>
        </w:rPr>
        <w:t xml:space="preserve">the construct's alpha. Because each construct carries four indicators, </w:t>
      </w:r>
      <w:r w:rsidRPr="0040485A">
        <w:rPr>
          <w:rFonts w:cs="Times New Roman"/>
        </w:rPr>
        <w:lastRenderedPageBreak/>
        <w:t>the removal of one still leaves three, which is sufficient for identification; removal is nonetheless undertaken only where an indicator is clearly deficient on both criteria, and any s</w:t>
      </w:r>
      <w:r w:rsidRPr="0040485A">
        <w:rPr>
          <w:rFonts w:cs="Times New Roman"/>
        </w:rPr>
        <w:t>uch decision is reported explicitly with its justification.</w:t>
      </w:r>
    </w:p>
    <w:p w14:paraId="54226C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3.4.3. Exploratory Factor Analysis (EFA)</w:t>
      </w:r>
    </w:p>
    <w:p w14:paraId="47961E4F" w14:textId="77777777" w:rsidR="00994AE3" w:rsidRPr="0040485A" w:rsidRDefault="008064C0">
      <w:pPr>
        <w:spacing w:after="160" w:line="360" w:lineRule="auto"/>
        <w:ind w:firstLine="360"/>
        <w:jc w:val="both"/>
        <w:rPr>
          <w:rFonts w:cs="Times New Roman"/>
        </w:rPr>
      </w:pPr>
      <w:r w:rsidRPr="0040485A">
        <w:rPr>
          <w:rFonts w:cs="Times New Roman"/>
        </w:rPr>
        <w:t xml:space="preserve">Factor analysis examines whether the thirty-two indicators group empirically into the eight constructs the conceptual framework specifies. The </w:t>
      </w:r>
      <w:r w:rsidRPr="0040485A">
        <w:rPr>
          <w:rFonts w:cs="Times New Roman"/>
        </w:rPr>
        <w:t>procedure is described as exploratory in the sense that the factor structure is allowed to emerge from the correlation matrix rather than being imposed; the expected structure is nonetheless known in advance, so the analysis functions in practice as a test</w:t>
      </w:r>
      <w:r w:rsidRPr="0040485A">
        <w:rPr>
          <w:rFonts w:cs="Times New Roman"/>
        </w:rPr>
        <w:t xml:space="preserve"> of the measurement model. Where the emergent structure departs from the expected one, the departure is reported and interpreted rather than suppressed.</w:t>
      </w:r>
    </w:p>
    <w:p w14:paraId="65158A8C" w14:textId="77777777" w:rsidR="00994AE3" w:rsidRPr="0040485A" w:rsidRDefault="008064C0">
      <w:pPr>
        <w:spacing w:after="160" w:line="360" w:lineRule="auto"/>
        <w:ind w:firstLine="360"/>
        <w:jc w:val="both"/>
        <w:rPr>
          <w:rFonts w:cs="Times New Roman"/>
        </w:rPr>
      </w:pPr>
      <w:r w:rsidRPr="0040485A">
        <w:rPr>
          <w:rFonts w:cs="Times New Roman"/>
        </w:rPr>
        <w:t>Analysis is conducted separately for the twenty-eight independent indicators and the four dependent ind</w:t>
      </w:r>
      <w:r w:rsidRPr="0040485A">
        <w:rPr>
          <w:rFonts w:cs="Times New Roman"/>
        </w:rPr>
        <w:t>icators. Running them jointly would allow the dependent construct to influence the factor solution of the predictors, which is methodologically undesirable in a model where one construct is the outcome of the others.</w:t>
      </w:r>
    </w:p>
    <w:p w14:paraId="06711280" w14:textId="77777777" w:rsidR="00994AE3" w:rsidRPr="0040485A" w:rsidRDefault="008064C0">
      <w:pPr>
        <w:spacing w:after="160" w:line="360" w:lineRule="auto"/>
        <w:ind w:firstLine="360"/>
        <w:jc w:val="both"/>
        <w:rPr>
          <w:rFonts w:cs="Times New Roman"/>
        </w:rPr>
      </w:pPr>
      <w:r w:rsidRPr="0040485A">
        <w:rPr>
          <w:rFonts w:cs="Times New Roman"/>
        </w:rPr>
        <w:t>Principal component extraction with Var</w:t>
      </w:r>
      <w:r w:rsidRPr="0040485A">
        <w:rPr>
          <w:rFonts w:cs="Times New Roman"/>
        </w:rPr>
        <w:t>imax orthogonal rotation is applied (Hair et al., 2019; Field, 2018). Orthogonal rotation is chosen because the subsequent regression requires factor scores that are as far as possible free of mutual correlation; an oblique rotation permitting correlated f</w:t>
      </w:r>
      <w:r w:rsidRPr="0040485A">
        <w:rPr>
          <w:rFonts w:cs="Times New Roman"/>
        </w:rPr>
        <w:t>actors would aggravate the multicollinearity examined in Section 3.4.5. The criteria applied, drawn from Hair et al. (2019) and Field (2018), are set out in Table 3.2.</w:t>
      </w:r>
    </w:p>
    <w:p w14:paraId="3ADF72B8" w14:textId="77777777" w:rsidR="00994AE3" w:rsidRPr="0040485A" w:rsidRDefault="008064C0">
      <w:pPr>
        <w:spacing w:after="80" w:line="360" w:lineRule="auto"/>
        <w:jc w:val="center"/>
        <w:rPr>
          <w:rFonts w:cs="Times New Roman"/>
        </w:rPr>
      </w:pPr>
      <w:r w:rsidRPr="0040485A">
        <w:rPr>
          <w:rFonts w:cs="Times New Roman"/>
          <w:b/>
          <w:sz w:val="22"/>
        </w:rPr>
        <w:t>Table 3.2: Criteria applied in exploratory factor analysis</w:t>
      </w:r>
    </w:p>
    <w:tbl>
      <w:tblPr>
        <w:tblStyle w:val="TableGrid"/>
        <w:tblW w:w="0" w:type="auto"/>
        <w:jc w:val="center"/>
        <w:tblLook w:val="04A0" w:firstRow="1" w:lastRow="0" w:firstColumn="1" w:lastColumn="0" w:noHBand="0" w:noVBand="1"/>
      </w:tblPr>
      <w:tblGrid>
        <w:gridCol w:w="2448"/>
        <w:gridCol w:w="2808"/>
        <w:gridCol w:w="3672"/>
      </w:tblGrid>
      <w:tr w:rsidR="00994AE3" w:rsidRPr="0040485A" w14:paraId="55F8C302" w14:textId="77777777">
        <w:trPr>
          <w:jc w:val="center"/>
        </w:trPr>
        <w:tc>
          <w:tcPr>
            <w:tcW w:w="2448" w:type="dxa"/>
            <w:shd w:val="clear" w:color="auto" w:fill="D9D9D9"/>
          </w:tcPr>
          <w:p w14:paraId="2940DBDB" w14:textId="77777777" w:rsidR="00994AE3" w:rsidRPr="0040485A" w:rsidRDefault="008064C0">
            <w:pPr>
              <w:spacing w:after="40" w:line="240" w:lineRule="auto"/>
              <w:jc w:val="center"/>
              <w:rPr>
                <w:rFonts w:cs="Times New Roman"/>
              </w:rPr>
            </w:pPr>
            <w:r w:rsidRPr="0040485A">
              <w:rPr>
                <w:rFonts w:cs="Times New Roman"/>
                <w:b/>
                <w:sz w:val="19"/>
              </w:rPr>
              <w:t>Criterion</w:t>
            </w:r>
          </w:p>
        </w:tc>
        <w:tc>
          <w:tcPr>
            <w:tcW w:w="2808" w:type="dxa"/>
            <w:shd w:val="clear" w:color="auto" w:fill="D9D9D9"/>
          </w:tcPr>
          <w:p w14:paraId="383F2053" w14:textId="77777777" w:rsidR="00994AE3" w:rsidRPr="0040485A" w:rsidRDefault="008064C0">
            <w:pPr>
              <w:spacing w:after="40" w:line="240" w:lineRule="auto"/>
              <w:jc w:val="center"/>
              <w:rPr>
                <w:rFonts w:cs="Times New Roman"/>
              </w:rPr>
            </w:pPr>
            <w:r w:rsidRPr="0040485A">
              <w:rPr>
                <w:rFonts w:cs="Times New Roman"/>
                <w:b/>
                <w:sz w:val="19"/>
              </w:rPr>
              <w:t>Threshold</w:t>
            </w:r>
          </w:p>
        </w:tc>
        <w:tc>
          <w:tcPr>
            <w:tcW w:w="3672" w:type="dxa"/>
            <w:shd w:val="clear" w:color="auto" w:fill="D9D9D9"/>
          </w:tcPr>
          <w:p w14:paraId="68C7D9BB" w14:textId="77777777" w:rsidR="00994AE3" w:rsidRPr="0040485A" w:rsidRDefault="008064C0">
            <w:pPr>
              <w:spacing w:after="40" w:line="240" w:lineRule="auto"/>
              <w:jc w:val="center"/>
              <w:rPr>
                <w:rFonts w:cs="Times New Roman"/>
              </w:rPr>
            </w:pPr>
            <w:r w:rsidRPr="0040485A">
              <w:rPr>
                <w:rFonts w:cs="Times New Roman"/>
                <w:b/>
                <w:sz w:val="19"/>
              </w:rPr>
              <w:t>Purpose</w:t>
            </w:r>
          </w:p>
        </w:tc>
      </w:tr>
      <w:tr w:rsidR="00994AE3" w:rsidRPr="0040485A" w14:paraId="583B6674" w14:textId="77777777">
        <w:trPr>
          <w:jc w:val="center"/>
        </w:trPr>
        <w:tc>
          <w:tcPr>
            <w:tcW w:w="2448" w:type="dxa"/>
          </w:tcPr>
          <w:p w14:paraId="435E0908" w14:textId="77777777" w:rsidR="00994AE3" w:rsidRPr="0040485A" w:rsidRDefault="008064C0">
            <w:pPr>
              <w:spacing w:after="40" w:line="240" w:lineRule="auto"/>
              <w:rPr>
                <w:rFonts w:cs="Times New Roman"/>
              </w:rPr>
            </w:pPr>
            <w:r w:rsidRPr="0040485A">
              <w:rPr>
                <w:rFonts w:cs="Times New Roman"/>
                <w:sz w:val="19"/>
              </w:rPr>
              <w:t>Kaiser–Meyer–Olkin measure</w:t>
            </w:r>
          </w:p>
        </w:tc>
        <w:tc>
          <w:tcPr>
            <w:tcW w:w="2808" w:type="dxa"/>
          </w:tcPr>
          <w:p w14:paraId="098D4190" w14:textId="77777777" w:rsidR="00994AE3" w:rsidRPr="0040485A" w:rsidRDefault="008064C0">
            <w:pPr>
              <w:spacing w:after="40" w:line="240" w:lineRule="auto"/>
              <w:rPr>
                <w:rFonts w:cs="Times New Roman"/>
              </w:rPr>
            </w:pPr>
            <w:r w:rsidRPr="0040485A">
              <w:rPr>
                <w:rFonts w:cs="Times New Roman"/>
                <w:sz w:val="19"/>
              </w:rPr>
              <w:t>KMO ≥ 0.50; 0.80 or above desirable</w:t>
            </w:r>
          </w:p>
        </w:tc>
        <w:tc>
          <w:tcPr>
            <w:tcW w:w="3672" w:type="dxa"/>
          </w:tcPr>
          <w:p w14:paraId="0B18F9FF" w14:textId="77777777" w:rsidR="00994AE3" w:rsidRPr="0040485A" w:rsidRDefault="008064C0">
            <w:pPr>
              <w:spacing w:after="40" w:line="240" w:lineRule="auto"/>
              <w:jc w:val="center"/>
              <w:rPr>
                <w:rFonts w:cs="Times New Roman"/>
              </w:rPr>
            </w:pPr>
            <w:r w:rsidRPr="0040485A">
              <w:rPr>
                <w:rFonts w:cs="Times New Roman"/>
                <w:sz w:val="19"/>
              </w:rPr>
              <w:t>Confirms the correlation matrix is suitable for factor extraction</w:t>
            </w:r>
          </w:p>
        </w:tc>
      </w:tr>
      <w:tr w:rsidR="00994AE3" w:rsidRPr="0040485A" w14:paraId="3FC6F268" w14:textId="77777777">
        <w:trPr>
          <w:jc w:val="center"/>
        </w:trPr>
        <w:tc>
          <w:tcPr>
            <w:tcW w:w="2448" w:type="dxa"/>
          </w:tcPr>
          <w:p w14:paraId="79D66088" w14:textId="77777777" w:rsidR="00994AE3" w:rsidRPr="0040485A" w:rsidRDefault="008064C0">
            <w:pPr>
              <w:spacing w:after="40" w:line="240" w:lineRule="auto"/>
              <w:rPr>
                <w:rFonts w:cs="Times New Roman"/>
              </w:rPr>
            </w:pPr>
            <w:r w:rsidRPr="0040485A">
              <w:rPr>
                <w:rFonts w:cs="Times New Roman"/>
                <w:sz w:val="19"/>
              </w:rPr>
              <w:t>Bartlett's test of sphericity</w:t>
            </w:r>
          </w:p>
        </w:tc>
        <w:tc>
          <w:tcPr>
            <w:tcW w:w="2808" w:type="dxa"/>
          </w:tcPr>
          <w:p w14:paraId="30422CEE" w14:textId="77777777" w:rsidR="00994AE3" w:rsidRPr="0040485A" w:rsidRDefault="008064C0">
            <w:pPr>
              <w:spacing w:after="40" w:line="240" w:lineRule="auto"/>
              <w:rPr>
                <w:rFonts w:cs="Times New Roman"/>
              </w:rPr>
            </w:pPr>
            <w:r w:rsidRPr="0040485A">
              <w:rPr>
                <w:rFonts w:cs="Times New Roman"/>
                <w:sz w:val="19"/>
              </w:rPr>
              <w:t>p &lt; 0.05</w:t>
            </w:r>
          </w:p>
        </w:tc>
        <w:tc>
          <w:tcPr>
            <w:tcW w:w="3672" w:type="dxa"/>
          </w:tcPr>
          <w:p w14:paraId="75C2731C" w14:textId="77777777" w:rsidR="00994AE3" w:rsidRPr="0040485A" w:rsidRDefault="008064C0">
            <w:pPr>
              <w:spacing w:after="40" w:line="240" w:lineRule="auto"/>
              <w:jc w:val="center"/>
              <w:rPr>
                <w:rFonts w:cs="Times New Roman"/>
              </w:rPr>
            </w:pPr>
            <w:r w:rsidRPr="0040485A">
              <w:rPr>
                <w:rFonts w:cs="Times New Roman"/>
                <w:sz w:val="19"/>
              </w:rPr>
              <w:t>Rejects the hypothesis that the correlation matrix is an identity matrix</w:t>
            </w:r>
          </w:p>
        </w:tc>
      </w:tr>
      <w:tr w:rsidR="00994AE3" w:rsidRPr="0040485A" w14:paraId="3A45E92A" w14:textId="77777777">
        <w:trPr>
          <w:jc w:val="center"/>
        </w:trPr>
        <w:tc>
          <w:tcPr>
            <w:tcW w:w="2448" w:type="dxa"/>
          </w:tcPr>
          <w:p w14:paraId="4E4E55B9" w14:textId="77777777" w:rsidR="00994AE3" w:rsidRPr="0040485A" w:rsidRDefault="008064C0">
            <w:pPr>
              <w:spacing w:after="40" w:line="240" w:lineRule="auto"/>
              <w:rPr>
                <w:rFonts w:cs="Times New Roman"/>
              </w:rPr>
            </w:pPr>
            <w:r w:rsidRPr="0040485A">
              <w:rPr>
                <w:rFonts w:cs="Times New Roman"/>
                <w:sz w:val="19"/>
              </w:rPr>
              <w:t>Eigenvalue</w:t>
            </w:r>
          </w:p>
        </w:tc>
        <w:tc>
          <w:tcPr>
            <w:tcW w:w="2808" w:type="dxa"/>
          </w:tcPr>
          <w:p w14:paraId="2E3B8129" w14:textId="77777777" w:rsidR="00994AE3" w:rsidRPr="0040485A" w:rsidRDefault="008064C0">
            <w:pPr>
              <w:spacing w:after="40" w:line="240" w:lineRule="auto"/>
              <w:rPr>
                <w:rFonts w:cs="Times New Roman"/>
              </w:rPr>
            </w:pPr>
            <w:r w:rsidRPr="0040485A">
              <w:rPr>
                <w:rFonts w:cs="Times New Roman"/>
                <w:sz w:val="19"/>
              </w:rPr>
              <w:t>≥ 1.00</w:t>
            </w:r>
          </w:p>
        </w:tc>
        <w:tc>
          <w:tcPr>
            <w:tcW w:w="3672" w:type="dxa"/>
          </w:tcPr>
          <w:p w14:paraId="3BD6CB66" w14:textId="77777777" w:rsidR="00994AE3" w:rsidRPr="0040485A" w:rsidRDefault="008064C0">
            <w:pPr>
              <w:spacing w:after="40" w:line="240" w:lineRule="auto"/>
              <w:jc w:val="center"/>
              <w:rPr>
                <w:rFonts w:cs="Times New Roman"/>
              </w:rPr>
            </w:pPr>
            <w:r w:rsidRPr="0040485A">
              <w:rPr>
                <w:rFonts w:cs="Times New Roman"/>
                <w:sz w:val="19"/>
              </w:rPr>
              <w:t>Determines the number of factors retained</w:t>
            </w:r>
          </w:p>
        </w:tc>
      </w:tr>
      <w:tr w:rsidR="00994AE3" w:rsidRPr="0040485A" w14:paraId="7B567885" w14:textId="77777777">
        <w:trPr>
          <w:jc w:val="center"/>
        </w:trPr>
        <w:tc>
          <w:tcPr>
            <w:tcW w:w="2448" w:type="dxa"/>
          </w:tcPr>
          <w:p w14:paraId="270EB352" w14:textId="77777777" w:rsidR="00994AE3" w:rsidRPr="0040485A" w:rsidRDefault="008064C0">
            <w:pPr>
              <w:spacing w:after="40" w:line="240" w:lineRule="auto"/>
              <w:rPr>
                <w:rFonts w:cs="Times New Roman"/>
              </w:rPr>
            </w:pPr>
            <w:r w:rsidRPr="0040485A">
              <w:rPr>
                <w:rFonts w:cs="Times New Roman"/>
                <w:sz w:val="19"/>
              </w:rPr>
              <w:t>Cumulative variance explained</w:t>
            </w:r>
          </w:p>
        </w:tc>
        <w:tc>
          <w:tcPr>
            <w:tcW w:w="2808" w:type="dxa"/>
          </w:tcPr>
          <w:p w14:paraId="7A021A11" w14:textId="77777777" w:rsidR="00994AE3" w:rsidRPr="0040485A" w:rsidRDefault="008064C0">
            <w:pPr>
              <w:spacing w:after="40" w:line="240" w:lineRule="auto"/>
              <w:rPr>
                <w:rFonts w:cs="Times New Roman"/>
              </w:rPr>
            </w:pPr>
            <w:r w:rsidRPr="0040485A">
              <w:rPr>
                <w:rFonts w:cs="Times New Roman"/>
                <w:sz w:val="19"/>
              </w:rPr>
              <w:t>≥ 50%</w:t>
            </w:r>
          </w:p>
        </w:tc>
        <w:tc>
          <w:tcPr>
            <w:tcW w:w="3672" w:type="dxa"/>
          </w:tcPr>
          <w:p w14:paraId="3DAEF0BE" w14:textId="77777777" w:rsidR="00994AE3" w:rsidRPr="0040485A" w:rsidRDefault="008064C0">
            <w:pPr>
              <w:spacing w:after="40" w:line="240" w:lineRule="auto"/>
              <w:jc w:val="center"/>
              <w:rPr>
                <w:rFonts w:cs="Times New Roman"/>
              </w:rPr>
            </w:pPr>
            <w:r w:rsidRPr="0040485A">
              <w:rPr>
                <w:rFonts w:cs="Times New Roman"/>
                <w:sz w:val="19"/>
              </w:rPr>
              <w:t>Confirms the retained factors capture most of the shared variance</w:t>
            </w:r>
          </w:p>
        </w:tc>
      </w:tr>
      <w:tr w:rsidR="00994AE3" w:rsidRPr="0040485A" w14:paraId="1007F735" w14:textId="77777777">
        <w:trPr>
          <w:jc w:val="center"/>
        </w:trPr>
        <w:tc>
          <w:tcPr>
            <w:tcW w:w="2448" w:type="dxa"/>
          </w:tcPr>
          <w:p w14:paraId="3F5A7BCE" w14:textId="77777777" w:rsidR="00994AE3" w:rsidRPr="0040485A" w:rsidRDefault="008064C0">
            <w:pPr>
              <w:spacing w:after="40" w:line="240" w:lineRule="auto"/>
              <w:rPr>
                <w:rFonts w:cs="Times New Roman"/>
              </w:rPr>
            </w:pPr>
            <w:r w:rsidRPr="0040485A">
              <w:rPr>
                <w:rFonts w:cs="Times New Roman"/>
                <w:sz w:val="19"/>
              </w:rPr>
              <w:t>Factor loading</w:t>
            </w:r>
          </w:p>
        </w:tc>
        <w:tc>
          <w:tcPr>
            <w:tcW w:w="2808" w:type="dxa"/>
          </w:tcPr>
          <w:p w14:paraId="0D4C607C" w14:textId="77777777" w:rsidR="00994AE3" w:rsidRPr="0040485A" w:rsidRDefault="008064C0">
            <w:pPr>
              <w:spacing w:after="40" w:line="240" w:lineRule="auto"/>
              <w:rPr>
                <w:rFonts w:cs="Times New Roman"/>
              </w:rPr>
            </w:pPr>
            <w:r w:rsidRPr="0040485A">
              <w:rPr>
                <w:rFonts w:cs="Times New Roman"/>
                <w:sz w:val="19"/>
              </w:rPr>
              <w:t>≥ 0.50</w:t>
            </w:r>
          </w:p>
        </w:tc>
        <w:tc>
          <w:tcPr>
            <w:tcW w:w="3672" w:type="dxa"/>
          </w:tcPr>
          <w:p w14:paraId="461E35EF" w14:textId="77777777" w:rsidR="00994AE3" w:rsidRPr="0040485A" w:rsidRDefault="008064C0">
            <w:pPr>
              <w:spacing w:after="40" w:line="240" w:lineRule="auto"/>
              <w:jc w:val="center"/>
              <w:rPr>
                <w:rFonts w:cs="Times New Roman"/>
              </w:rPr>
            </w:pPr>
            <w:r w:rsidRPr="0040485A">
              <w:rPr>
                <w:rFonts w:cs="Times New Roman"/>
                <w:sz w:val="19"/>
              </w:rPr>
              <w:t>Confirms each indicator loads substantively on its factor</w:t>
            </w:r>
          </w:p>
        </w:tc>
      </w:tr>
      <w:tr w:rsidR="00994AE3" w:rsidRPr="0040485A" w14:paraId="1D9EA951" w14:textId="77777777">
        <w:trPr>
          <w:jc w:val="center"/>
        </w:trPr>
        <w:tc>
          <w:tcPr>
            <w:tcW w:w="2448" w:type="dxa"/>
          </w:tcPr>
          <w:p w14:paraId="1CA35684" w14:textId="77777777" w:rsidR="00994AE3" w:rsidRPr="0040485A" w:rsidRDefault="008064C0">
            <w:pPr>
              <w:spacing w:after="40" w:line="240" w:lineRule="auto"/>
              <w:rPr>
                <w:rFonts w:cs="Times New Roman"/>
              </w:rPr>
            </w:pPr>
            <w:r w:rsidRPr="0040485A">
              <w:rPr>
                <w:rFonts w:cs="Times New Roman"/>
                <w:sz w:val="19"/>
              </w:rPr>
              <w:t>Cross-loadi</w:t>
            </w:r>
            <w:r w:rsidRPr="0040485A">
              <w:rPr>
                <w:rFonts w:cs="Times New Roman"/>
                <w:sz w:val="19"/>
              </w:rPr>
              <w:t>ng gap</w:t>
            </w:r>
          </w:p>
        </w:tc>
        <w:tc>
          <w:tcPr>
            <w:tcW w:w="2808" w:type="dxa"/>
          </w:tcPr>
          <w:p w14:paraId="413ACA83" w14:textId="77777777" w:rsidR="00994AE3" w:rsidRPr="0040485A" w:rsidRDefault="008064C0">
            <w:pPr>
              <w:spacing w:after="40" w:line="240" w:lineRule="auto"/>
              <w:rPr>
                <w:rFonts w:cs="Times New Roman"/>
              </w:rPr>
            </w:pPr>
            <w:r w:rsidRPr="0040485A">
              <w:rPr>
                <w:rFonts w:cs="Times New Roman"/>
                <w:sz w:val="19"/>
              </w:rPr>
              <w:t>≥ 0.30 between primary and next-highest loading</w:t>
            </w:r>
          </w:p>
        </w:tc>
        <w:tc>
          <w:tcPr>
            <w:tcW w:w="3672" w:type="dxa"/>
          </w:tcPr>
          <w:p w14:paraId="0777E526" w14:textId="77777777" w:rsidR="00994AE3" w:rsidRPr="0040485A" w:rsidRDefault="008064C0">
            <w:pPr>
              <w:spacing w:after="40" w:line="240" w:lineRule="auto"/>
              <w:jc w:val="center"/>
              <w:rPr>
                <w:rFonts w:cs="Times New Roman"/>
              </w:rPr>
            </w:pPr>
            <w:r w:rsidRPr="0040485A">
              <w:rPr>
                <w:rFonts w:cs="Times New Roman"/>
                <w:sz w:val="19"/>
              </w:rPr>
              <w:t>Confirms each indicator belongs unambiguously to one construct (discriminant validity)</w:t>
            </w:r>
          </w:p>
        </w:tc>
      </w:tr>
    </w:tbl>
    <w:p w14:paraId="6AD238FA" w14:textId="77777777" w:rsidR="00994AE3" w:rsidRPr="0040485A" w:rsidRDefault="00994AE3">
      <w:pPr>
        <w:rPr>
          <w:rFonts w:cs="Times New Roman"/>
        </w:rPr>
      </w:pPr>
    </w:p>
    <w:p w14:paraId="1DE0C3A3"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following Hair et al. (2019).</w:t>
      </w:r>
    </w:p>
    <w:p w14:paraId="52BDFE95" w14:textId="77777777" w:rsidR="00994AE3" w:rsidRPr="0040485A" w:rsidRDefault="008064C0">
      <w:pPr>
        <w:spacing w:after="160" w:line="360" w:lineRule="auto"/>
        <w:ind w:firstLine="360"/>
        <w:jc w:val="both"/>
        <w:rPr>
          <w:rFonts w:cs="Times New Roman"/>
        </w:rPr>
      </w:pPr>
      <w:r w:rsidRPr="0040485A">
        <w:rPr>
          <w:rFonts w:cs="Times New Roman"/>
        </w:rPr>
        <w:lastRenderedPageBreak/>
        <w:t xml:space="preserve">The expected outcome is a seven-factor </w:t>
      </w:r>
      <w:r w:rsidRPr="0040485A">
        <w:rPr>
          <w:rFonts w:cs="Times New Roman"/>
        </w:rPr>
        <w:t>solution for the independent indicators, with the three indicators of each construct loading together, and a single-factor solution for the dependent indicators. Two departures are anticipated as possibilities and their treatment is specified in advance. S</w:t>
      </w:r>
      <w:r w:rsidRPr="0040485A">
        <w:rPr>
          <w:rFonts w:cs="Times New Roman"/>
        </w:rPr>
        <w:t>hould indicators from two constructs converge on a single factor, the constructs are conceptually adjacent and the merged factor is retained and renamed, with the theoretical implications discussed rather than the result forced back into the original struc</w:t>
      </w:r>
      <w:r w:rsidRPr="0040485A">
        <w:rPr>
          <w:rFonts w:cs="Times New Roman"/>
        </w:rPr>
        <w:t>ture. Should an indicator fail to load at 0.50 on any factor, or load on two factors with a gap below 0.30, it is removed and the analysis re-run, with the removal reported.</w:t>
      </w:r>
    </w:p>
    <w:p w14:paraId="5DDC871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3.4.4. Factor Scores Extraction Method</w:t>
      </w:r>
    </w:p>
    <w:p w14:paraId="7036C1C9" w14:textId="77777777" w:rsidR="00994AE3" w:rsidRPr="0040485A" w:rsidRDefault="008064C0">
      <w:pPr>
        <w:spacing w:after="160" w:line="360" w:lineRule="auto"/>
        <w:ind w:firstLine="360"/>
        <w:jc w:val="both"/>
        <w:rPr>
          <w:rFonts w:cs="Times New Roman"/>
        </w:rPr>
      </w:pPr>
      <w:r w:rsidRPr="0040485A">
        <w:rPr>
          <w:rFonts w:cs="Times New Roman"/>
        </w:rPr>
        <w:t>Regression requires one value per construct</w:t>
      </w:r>
      <w:r w:rsidRPr="0040485A">
        <w:rPr>
          <w:rFonts w:cs="Times New Roman"/>
        </w:rPr>
        <w:t xml:space="preserve"> per enterprise. Two approaches are available (Hair et al., 2019). Regression factor scores weight each indicator by its loading and produce standardised variables that are orthogonal by construction. Summated mean scores take the unweighted arithmetic mea</w:t>
      </w:r>
      <w:r w:rsidRPr="0040485A">
        <w:rPr>
          <w:rFonts w:cs="Times New Roman"/>
        </w:rPr>
        <w:t>n of the indicators retained after factor analysis.</w:t>
      </w:r>
    </w:p>
    <w:p w14:paraId="7FB52CB5" w14:textId="77777777" w:rsidR="00994AE3" w:rsidRPr="0040485A" w:rsidRDefault="008064C0">
      <w:pPr>
        <w:spacing w:after="160" w:line="360" w:lineRule="auto"/>
        <w:ind w:firstLine="360"/>
        <w:jc w:val="both"/>
        <w:rPr>
          <w:rFonts w:cs="Times New Roman"/>
        </w:rPr>
      </w:pPr>
      <w:r w:rsidRPr="0040485A">
        <w:rPr>
          <w:rFonts w:cs="Times New Roman"/>
        </w:rPr>
        <w:t>This study uses summated mean scores. Two considerations favour them here. Interpretation is direct: a construct score of 4.2 is immediately readable on the original five-point scale, whereas a standardis</w:t>
      </w:r>
      <w:r w:rsidRPr="0040485A">
        <w:rPr>
          <w:rFonts w:cs="Times New Roman"/>
        </w:rPr>
        <w:t>ed factor score has meaning only relative to the sample and cannot be communicated to bank management without translation. Comparability is preserved: summated scores are computed identically across sub-samples, so the group comparisons in Section 3.4.7 an</w:t>
      </w:r>
      <w:r w:rsidRPr="0040485A">
        <w:rPr>
          <w:rFonts w:cs="Times New Roman"/>
        </w:rPr>
        <w:t>d the descriptive statistics in Section 4.1 rest on the same metric, which is not guaranteed when factor scores are re-estimated within each group. The cost of this choice is that indicators contribute equally regardless of loading; given that all retained</w:t>
      </w:r>
      <w:r w:rsidRPr="0040485A">
        <w:rPr>
          <w:rFonts w:cs="Times New Roman"/>
        </w:rPr>
        <w:t xml:space="preserve"> indicators must load at 0.50 or above, the loss of precision is small and is accepted in exchange for interpretability.</w:t>
      </w:r>
    </w:p>
    <w:p w14:paraId="6481232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3.4.5. Pearson Correlation Analysis &amp; Multicollinearity Diagnostics (VIF)</w:t>
      </w:r>
    </w:p>
    <w:p w14:paraId="492E4B56" w14:textId="77777777" w:rsidR="00994AE3" w:rsidRPr="0040485A" w:rsidRDefault="008064C0">
      <w:pPr>
        <w:spacing w:after="160" w:line="360" w:lineRule="auto"/>
        <w:ind w:firstLine="360"/>
        <w:jc w:val="both"/>
        <w:rPr>
          <w:rFonts w:cs="Times New Roman"/>
        </w:rPr>
      </w:pPr>
      <w:r w:rsidRPr="0040485A">
        <w:rPr>
          <w:rFonts w:cs="Times New Roman"/>
        </w:rPr>
        <w:t>The Pearson correlation matrix is computed across all eight c</w:t>
      </w:r>
      <w:r w:rsidRPr="0040485A">
        <w:rPr>
          <w:rFonts w:cs="Times New Roman"/>
        </w:rPr>
        <w:t>onstruct scores. It serves two ends. Each independent construct should correlate significantly with the dependent construct, providing preliminary evidence consistent with the hypotheses before the multivariate model is estimated. And correlations among th</w:t>
      </w:r>
      <w:r w:rsidRPr="0040485A">
        <w:rPr>
          <w:rFonts w:cs="Times New Roman"/>
        </w:rPr>
        <w:t>e independent constructs should remain moderate; a coefficient of 0.80 or above between two predictors signals that they may not be empirically distinct (Tabachnick and Fidell, 2019).</w:t>
      </w:r>
    </w:p>
    <w:p w14:paraId="100CF69D" w14:textId="77777777" w:rsidR="00994AE3" w:rsidRPr="0040485A" w:rsidRDefault="008064C0">
      <w:pPr>
        <w:spacing w:after="160" w:line="360" w:lineRule="auto"/>
        <w:ind w:firstLine="360"/>
        <w:jc w:val="both"/>
        <w:rPr>
          <w:rFonts w:cs="Times New Roman"/>
        </w:rPr>
      </w:pPr>
      <w:r w:rsidRPr="0040485A">
        <w:rPr>
          <w:rFonts w:cs="Times New Roman"/>
        </w:rPr>
        <w:lastRenderedPageBreak/>
        <w:t>Multicollinearity is then assessed formally through variance inflation f</w:t>
      </w:r>
      <w:r w:rsidRPr="0040485A">
        <w:rPr>
          <w:rFonts w:cs="Times New Roman"/>
        </w:rPr>
        <w:t>actors. This study applies a conservative threshold of VIF below 3.0, corresponding to tolerance above 0.33, rather than the more permissive value of 10 reported in Hair et al. (2019) and Field (2018). The stricter criterion is warranted by the structure o</w:t>
      </w:r>
      <w:r w:rsidRPr="0040485A">
        <w:rPr>
          <w:rFonts w:cs="Times New Roman"/>
        </w:rPr>
        <w:t>f the model. In corporate banking, relationship depth, institutional reputation and collateral flexibility are empirically entangled: an enterprise with a long credit history typically also receives more accommodating margin terms and holds a favourable vi</w:t>
      </w:r>
      <w:r w:rsidRPr="0040485A">
        <w:rPr>
          <w:rFonts w:cs="Times New Roman"/>
        </w:rPr>
        <w:t>ew of the bank's standing. Under these conditions a VIF between 3 and 10 would already destabilise the relative ranking of the standardised coefficients, and it is precisely that ranking on which the managerial conclusions of this thesis depend.</w:t>
      </w:r>
    </w:p>
    <w:p w14:paraId="5C5DACBD" w14:textId="77777777" w:rsidR="00994AE3" w:rsidRPr="0040485A" w:rsidRDefault="008064C0">
      <w:pPr>
        <w:spacing w:after="160" w:line="360" w:lineRule="auto"/>
        <w:ind w:firstLine="360"/>
        <w:jc w:val="both"/>
        <w:rPr>
          <w:rFonts w:cs="Times New Roman"/>
        </w:rPr>
      </w:pPr>
      <w:r w:rsidRPr="0040485A">
        <w:rPr>
          <w:rFonts w:cs="Times New Roman"/>
        </w:rPr>
        <w:t>Should any</w:t>
      </w:r>
      <w:r w:rsidRPr="0040485A">
        <w:rPr>
          <w:rFonts w:cs="Times New Roman"/>
        </w:rPr>
        <w:t xml:space="preserve"> construct exceed the threshold, three responses are available and the choice among them is reported: combining the affected constructs where factor analysis also indicates convergence, removing the construct with the weaker theoretical justification, or r</w:t>
      </w:r>
      <w:r w:rsidRPr="0040485A">
        <w:rPr>
          <w:rFonts w:cs="Times New Roman"/>
        </w:rPr>
        <w:t>etaining the specification while explicitly qualifying the interpretation of the affected coefficients.</w:t>
      </w:r>
    </w:p>
    <w:p w14:paraId="10B8C85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3.4.6. Multiple Linear Regression Model Specification (OLS)</w:t>
      </w:r>
    </w:p>
    <w:p w14:paraId="1BEAB136" w14:textId="77777777" w:rsidR="00994AE3" w:rsidRPr="0040485A" w:rsidRDefault="008064C0">
      <w:pPr>
        <w:spacing w:after="160" w:line="360" w:lineRule="auto"/>
        <w:ind w:firstLine="360"/>
        <w:jc w:val="both"/>
        <w:rPr>
          <w:rFonts w:cs="Times New Roman"/>
        </w:rPr>
      </w:pPr>
      <w:r w:rsidRPr="0040485A">
        <w:rPr>
          <w:rFonts w:cs="Times New Roman"/>
        </w:rPr>
        <w:t xml:space="preserve">The hypotheses are tested through a multiple linear regression estimated by ordinary </w:t>
      </w:r>
      <w:r w:rsidRPr="0040485A">
        <w:rPr>
          <w:rFonts w:cs="Times New Roman"/>
        </w:rPr>
        <w:t>least squares. The specification is:</w:t>
      </w:r>
    </w:p>
    <w:p w14:paraId="159D24E9" w14:textId="77777777" w:rsidR="00994AE3" w:rsidRPr="0040485A" w:rsidRDefault="008064C0">
      <w:pPr>
        <w:spacing w:after="200" w:line="360" w:lineRule="auto"/>
        <w:jc w:val="center"/>
        <w:rPr>
          <w:rFonts w:cs="Times New Roman"/>
        </w:rPr>
      </w:pPr>
      <w:r w:rsidRPr="0040485A">
        <w:rPr>
          <w:rFonts w:cs="Times New Roman"/>
          <w:b/>
        </w:rPr>
        <w:t>DEC = β₀ + β₁·COST_COMP + β₂·PROC_SPEED + β₃·DIGITAL_CONV + β₄·BANK_REP</w:t>
      </w:r>
    </w:p>
    <w:p w14:paraId="489DAC47" w14:textId="77777777" w:rsidR="00994AE3" w:rsidRPr="0040485A" w:rsidRDefault="008064C0">
      <w:pPr>
        <w:spacing w:after="200" w:line="360" w:lineRule="auto"/>
        <w:jc w:val="center"/>
        <w:rPr>
          <w:rFonts w:cs="Times New Roman"/>
        </w:rPr>
      </w:pPr>
      <w:r w:rsidRPr="0040485A">
        <w:rPr>
          <w:rFonts w:cs="Times New Roman"/>
          <w:b/>
        </w:rPr>
        <w:t>+ β₅·RELATIONSHIP + β₆·STAFF_QUAL + β₇·COLL_POLICY + ε          (3.1)</w:t>
      </w:r>
    </w:p>
    <w:p w14:paraId="63E6EB05" w14:textId="77777777" w:rsidR="00994AE3" w:rsidRPr="0040485A" w:rsidRDefault="008064C0">
      <w:pPr>
        <w:spacing w:after="160" w:line="360" w:lineRule="auto"/>
        <w:ind w:firstLine="360"/>
        <w:jc w:val="both"/>
        <w:rPr>
          <w:rFonts w:cs="Times New Roman"/>
        </w:rPr>
      </w:pPr>
      <w:r w:rsidRPr="0040485A">
        <w:rPr>
          <w:rFonts w:cs="Times New Roman"/>
        </w:rPr>
        <w:t xml:space="preserve">where DEC is the summated selection priority score, the seven predictors are </w:t>
      </w:r>
      <w:r w:rsidRPr="0040485A">
        <w:rPr>
          <w:rFonts w:cs="Times New Roman"/>
        </w:rPr>
        <w:t>the summated construct scores defined in Table 3.1, β₀ is the intercept, β₁ to β₇ are the coefficients to be estimated, and ε is the error term. Each coefficient is the expected change in selection priority associated with a one-point increase in the corre</w:t>
      </w:r>
      <w:r w:rsidRPr="0040485A">
        <w:rPr>
          <w:rFonts w:cs="Times New Roman"/>
        </w:rPr>
        <w:t>sponding construct, holding the remaining six constant. Hypotheses H1 to H7 are tested as the null that the corresponding coefficient equals zero against the one-sided alternative that it is positive, evaluated at the five per cent level.</w:t>
      </w:r>
    </w:p>
    <w:p w14:paraId="2CD306BE" w14:textId="77777777" w:rsidR="00994AE3" w:rsidRPr="0040485A" w:rsidRDefault="008064C0">
      <w:pPr>
        <w:spacing w:after="160" w:line="360" w:lineRule="auto"/>
        <w:ind w:firstLine="360"/>
        <w:jc w:val="both"/>
        <w:rPr>
          <w:rFonts w:cs="Times New Roman"/>
        </w:rPr>
      </w:pPr>
      <w:r w:rsidRPr="0040485A">
        <w:rPr>
          <w:rFonts w:cs="Times New Roman"/>
        </w:rPr>
        <w:t xml:space="preserve">Three quantities </w:t>
      </w:r>
      <w:r w:rsidRPr="0040485A">
        <w:rPr>
          <w:rFonts w:cs="Times New Roman"/>
        </w:rPr>
        <w:t>govern the interpretation. The unstandardised coefficients express effects in the units of the five-point scale and are used for substantive statements about magnitude. The standardised coefficients place the seven predictors on a common metric and are use</w:t>
      </w:r>
      <w:r w:rsidRPr="0040485A">
        <w:rPr>
          <w:rFonts w:cs="Times New Roman"/>
        </w:rPr>
        <w:t xml:space="preserve">d to rank them, which is the quantity Objective 2 requires and the basis for the prioritisation recommended in Section 4.8. The adjusted coefficient of determination reports the proportion of variance in </w:t>
      </w:r>
      <w:r w:rsidRPr="0040485A">
        <w:rPr>
          <w:rFonts w:cs="Times New Roman"/>
        </w:rPr>
        <w:lastRenderedPageBreak/>
        <w:t>selection priority explained by the model after pena</w:t>
      </w:r>
      <w:r w:rsidRPr="0040485A">
        <w:rPr>
          <w:rFonts w:cs="Times New Roman"/>
        </w:rPr>
        <w:t>lising for the number of predictors, and the F-statistic tests the joint significance of the specification.</w:t>
      </w:r>
    </w:p>
    <w:p w14:paraId="36B67E64" w14:textId="77777777" w:rsidR="00994AE3" w:rsidRPr="0040485A" w:rsidRDefault="008064C0">
      <w:pPr>
        <w:spacing w:after="160" w:line="360" w:lineRule="auto"/>
        <w:ind w:firstLine="360"/>
        <w:jc w:val="both"/>
        <w:rPr>
          <w:rFonts w:cs="Times New Roman"/>
        </w:rPr>
      </w:pPr>
      <w:r w:rsidRPr="0040485A">
        <w:rPr>
          <w:rFonts w:cs="Times New Roman"/>
        </w:rPr>
        <w:t>Four assumptions underlying OLS are tested, following Tabachnick and Fidell (2019) and Field (2018), and the results reported in Section 4.5.1. Line</w:t>
      </w:r>
      <w:r w:rsidRPr="0040485A">
        <w:rPr>
          <w:rFonts w:cs="Times New Roman"/>
        </w:rPr>
        <w:t>arity is examined through partial regression plots of the dependent construct against each predictor. Normality of residuals is assessed through a normal probability plot and a histogram of standardised residuals, noting that at n = 800 the central limit t</w:t>
      </w:r>
      <w:r w:rsidRPr="0040485A">
        <w:rPr>
          <w:rFonts w:cs="Times New Roman"/>
        </w:rPr>
        <w:t>heorem renders the inference procedures robust to moderate departures. Homoscedasticity is examined through a scatterplot of standardised residuals against standardised predicted values and confirmed formally by the Breusch–Pagan test; where heteroscedasti</w:t>
      </w:r>
      <w:r w:rsidRPr="0040485A">
        <w:rPr>
          <w:rFonts w:cs="Times New Roman"/>
        </w:rPr>
        <w:t>city is detected, heteroscedasticity-consistent standard errors are reported alongside the conventional ones. Independence of errors is checked through the Durbin–Watson statistic, with values between 1.5 and 2.5 considered acceptable (Field, 2018). Multic</w:t>
      </w:r>
      <w:r w:rsidRPr="0040485A">
        <w:rPr>
          <w:rFonts w:cs="Times New Roman"/>
        </w:rPr>
        <w:t>ollinearity has already been addressed in Section 3.4.5.</w:t>
      </w:r>
    </w:p>
    <w:p w14:paraId="121B943A" w14:textId="77777777" w:rsidR="00994AE3" w:rsidRPr="0040485A" w:rsidRDefault="008064C0">
      <w:pPr>
        <w:spacing w:after="160" w:line="360" w:lineRule="auto"/>
        <w:ind w:firstLine="360"/>
        <w:jc w:val="both"/>
        <w:rPr>
          <w:rFonts w:cs="Times New Roman"/>
        </w:rPr>
      </w:pPr>
      <w:r w:rsidRPr="0040485A">
        <w:rPr>
          <w:rFonts w:cs="Times New Roman"/>
        </w:rPr>
        <w:t>Section 4.5.3 reports a robustness check in which the specification is re-estimated with dummy variables for ownership type, revenue size and multi-banking status added to equation (3.1). The purpose</w:t>
      </w:r>
      <w:r w:rsidRPr="0040485A">
        <w:rPr>
          <w:rFonts w:cs="Times New Roman"/>
        </w:rPr>
        <w:t xml:space="preserve"> is to establish that β₁ to β₇ are not artefacts of sample composition: if the coefficients retain their sign, significance and approximate magnitude once these controls are included, the association between the seven service constructs and selection prior</w:t>
      </w:r>
      <w:r w:rsidRPr="0040485A">
        <w:rPr>
          <w:rFonts w:cs="Times New Roman"/>
        </w:rPr>
        <w:t>ity is not being driven by the types of enterprise that happen to be over-represented in the sample.</w:t>
      </w:r>
    </w:p>
    <w:p w14:paraId="47123D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3.4.7. Sub-Group Difference Testing Methods (ANOVA &amp; t-test)</w:t>
      </w:r>
    </w:p>
    <w:p w14:paraId="21BB113A" w14:textId="77777777" w:rsidR="00994AE3" w:rsidRPr="0040485A" w:rsidRDefault="008064C0">
      <w:pPr>
        <w:spacing w:after="160" w:line="360" w:lineRule="auto"/>
        <w:ind w:firstLine="360"/>
        <w:jc w:val="both"/>
        <w:rPr>
          <w:rFonts w:cs="Times New Roman"/>
        </w:rPr>
      </w:pPr>
      <w:r w:rsidRPr="0040485A">
        <w:rPr>
          <w:rFonts w:cs="Times New Roman"/>
        </w:rPr>
        <w:t>Objective 3 asks whether selection priority differs across firm characteristics. This is teste</w:t>
      </w:r>
      <w:r w:rsidRPr="0040485A">
        <w:rPr>
          <w:rFonts w:cs="Times New Roman"/>
        </w:rPr>
        <w:t>d through the five grouping variables collected in Part I of the questionnaire, summarised in Table 3.3. Each grouping variable is constructed so that its categories are mutually exclusive and collectively exhaustive, which is a precondition for analysis o</w:t>
      </w:r>
      <w:r w:rsidRPr="0040485A">
        <w:rPr>
          <w:rFonts w:cs="Times New Roman"/>
        </w:rPr>
        <w:t>f variance. In particular, the guarantee product question asks for the single product the enterprise uses most frequently rather than permitting multiple selections, and ownership type separates state-owned from foreign-invested enterprises, which behave d</w:t>
      </w:r>
      <w:r w:rsidRPr="0040485A">
        <w:rPr>
          <w:rFonts w:cs="Times New Roman"/>
        </w:rPr>
        <w:t>ifferently in this market and cannot meaningfully be pooled.</w:t>
      </w:r>
    </w:p>
    <w:p w14:paraId="2090AAF3" w14:textId="77777777" w:rsidR="00994AE3" w:rsidRPr="0040485A" w:rsidRDefault="008064C0">
      <w:pPr>
        <w:spacing w:after="80" w:line="360" w:lineRule="auto"/>
        <w:jc w:val="center"/>
        <w:rPr>
          <w:rFonts w:cs="Times New Roman"/>
        </w:rPr>
      </w:pPr>
      <w:r w:rsidRPr="0040485A">
        <w:rPr>
          <w:rFonts w:cs="Times New Roman"/>
          <w:b/>
          <w:sz w:val="22"/>
        </w:rPr>
        <w:t>Table 3.3: Grouping variables and corresponding difference tests</w:t>
      </w:r>
    </w:p>
    <w:tbl>
      <w:tblPr>
        <w:tblStyle w:val="TableGrid"/>
        <w:tblW w:w="0" w:type="auto"/>
        <w:jc w:val="center"/>
        <w:tblLook w:val="04A0" w:firstRow="1" w:lastRow="0" w:firstColumn="1" w:lastColumn="0" w:noHBand="0" w:noVBand="1"/>
      </w:tblPr>
      <w:tblGrid>
        <w:gridCol w:w="2160"/>
        <w:gridCol w:w="4104"/>
        <w:gridCol w:w="2664"/>
      </w:tblGrid>
      <w:tr w:rsidR="00994AE3" w:rsidRPr="0040485A" w14:paraId="3F67A829" w14:textId="77777777">
        <w:trPr>
          <w:jc w:val="center"/>
        </w:trPr>
        <w:tc>
          <w:tcPr>
            <w:tcW w:w="2160" w:type="dxa"/>
            <w:shd w:val="clear" w:color="auto" w:fill="D9D9D9"/>
          </w:tcPr>
          <w:p w14:paraId="68FAEDB0" w14:textId="77777777" w:rsidR="00994AE3" w:rsidRPr="0040485A" w:rsidRDefault="008064C0">
            <w:pPr>
              <w:spacing w:after="40" w:line="240" w:lineRule="auto"/>
              <w:jc w:val="center"/>
              <w:rPr>
                <w:rFonts w:cs="Times New Roman"/>
              </w:rPr>
            </w:pPr>
            <w:r w:rsidRPr="0040485A">
              <w:rPr>
                <w:rFonts w:cs="Times New Roman"/>
                <w:b/>
                <w:sz w:val="19"/>
              </w:rPr>
              <w:t>Grouping variable</w:t>
            </w:r>
          </w:p>
        </w:tc>
        <w:tc>
          <w:tcPr>
            <w:tcW w:w="4104" w:type="dxa"/>
            <w:shd w:val="clear" w:color="auto" w:fill="D9D9D9"/>
          </w:tcPr>
          <w:p w14:paraId="7D7D68BA" w14:textId="77777777" w:rsidR="00994AE3" w:rsidRPr="0040485A" w:rsidRDefault="008064C0">
            <w:pPr>
              <w:spacing w:after="40" w:line="240" w:lineRule="auto"/>
              <w:jc w:val="center"/>
              <w:rPr>
                <w:rFonts w:cs="Times New Roman"/>
              </w:rPr>
            </w:pPr>
            <w:r w:rsidRPr="0040485A">
              <w:rPr>
                <w:rFonts w:cs="Times New Roman"/>
                <w:b/>
                <w:sz w:val="19"/>
              </w:rPr>
              <w:t>Categories</w:t>
            </w:r>
          </w:p>
        </w:tc>
        <w:tc>
          <w:tcPr>
            <w:tcW w:w="2664" w:type="dxa"/>
            <w:shd w:val="clear" w:color="auto" w:fill="D9D9D9"/>
          </w:tcPr>
          <w:p w14:paraId="4F27A812" w14:textId="77777777" w:rsidR="00994AE3" w:rsidRPr="0040485A" w:rsidRDefault="008064C0">
            <w:pPr>
              <w:spacing w:after="40" w:line="240" w:lineRule="auto"/>
              <w:jc w:val="center"/>
              <w:rPr>
                <w:rFonts w:cs="Times New Roman"/>
              </w:rPr>
            </w:pPr>
            <w:r w:rsidRPr="0040485A">
              <w:rPr>
                <w:rFonts w:cs="Times New Roman"/>
                <w:b/>
                <w:sz w:val="19"/>
              </w:rPr>
              <w:t>Test applied</w:t>
            </w:r>
          </w:p>
        </w:tc>
      </w:tr>
      <w:tr w:rsidR="00994AE3" w:rsidRPr="0040485A" w14:paraId="3B15924E" w14:textId="77777777">
        <w:trPr>
          <w:jc w:val="center"/>
        </w:trPr>
        <w:tc>
          <w:tcPr>
            <w:tcW w:w="2160" w:type="dxa"/>
          </w:tcPr>
          <w:p w14:paraId="06AAFCC6" w14:textId="77777777" w:rsidR="00994AE3" w:rsidRPr="0040485A" w:rsidRDefault="008064C0">
            <w:pPr>
              <w:spacing w:after="40" w:line="240" w:lineRule="auto"/>
              <w:rPr>
                <w:rFonts w:cs="Times New Roman"/>
              </w:rPr>
            </w:pPr>
            <w:r w:rsidRPr="0040485A">
              <w:rPr>
                <w:rFonts w:cs="Times New Roman"/>
                <w:sz w:val="19"/>
              </w:rPr>
              <w:t>Ownership type</w:t>
            </w:r>
          </w:p>
        </w:tc>
        <w:tc>
          <w:tcPr>
            <w:tcW w:w="4104" w:type="dxa"/>
          </w:tcPr>
          <w:p w14:paraId="68AFDD2B" w14:textId="77777777" w:rsidR="00994AE3" w:rsidRPr="0040485A" w:rsidRDefault="008064C0">
            <w:pPr>
              <w:spacing w:after="40" w:line="240" w:lineRule="auto"/>
              <w:rPr>
                <w:rFonts w:cs="Times New Roman"/>
              </w:rPr>
            </w:pPr>
            <w:r w:rsidRPr="0040485A">
              <w:rPr>
                <w:rFonts w:cs="Times New Roman"/>
                <w:sz w:val="19"/>
              </w:rPr>
              <w:t xml:space="preserve">Private/LLC; Joint-stock (non-state); State-owned; </w:t>
            </w:r>
            <w:r w:rsidRPr="0040485A">
              <w:rPr>
                <w:rFonts w:cs="Times New Roman"/>
                <w:sz w:val="19"/>
              </w:rPr>
              <w:lastRenderedPageBreak/>
              <w:t>FDI; Other</w:t>
            </w:r>
          </w:p>
        </w:tc>
        <w:tc>
          <w:tcPr>
            <w:tcW w:w="2664" w:type="dxa"/>
          </w:tcPr>
          <w:p w14:paraId="3DC49F07" w14:textId="77777777" w:rsidR="00994AE3" w:rsidRPr="0040485A" w:rsidRDefault="008064C0">
            <w:pPr>
              <w:spacing w:after="40" w:line="240" w:lineRule="auto"/>
              <w:jc w:val="center"/>
              <w:rPr>
                <w:rFonts w:cs="Times New Roman"/>
              </w:rPr>
            </w:pPr>
            <w:r w:rsidRPr="0040485A">
              <w:rPr>
                <w:rFonts w:cs="Times New Roman"/>
                <w:sz w:val="19"/>
              </w:rPr>
              <w:lastRenderedPageBreak/>
              <w:t xml:space="preserve">One-way ANOVA with Tukey </w:t>
            </w:r>
            <w:r w:rsidRPr="0040485A">
              <w:rPr>
                <w:rFonts w:cs="Times New Roman"/>
                <w:sz w:val="19"/>
              </w:rPr>
              <w:lastRenderedPageBreak/>
              <w:t>HSD post-hoc</w:t>
            </w:r>
          </w:p>
        </w:tc>
      </w:tr>
      <w:tr w:rsidR="00994AE3" w:rsidRPr="0040485A" w14:paraId="27E6E80F" w14:textId="77777777">
        <w:trPr>
          <w:jc w:val="center"/>
        </w:trPr>
        <w:tc>
          <w:tcPr>
            <w:tcW w:w="2160" w:type="dxa"/>
          </w:tcPr>
          <w:p w14:paraId="459A8E1B" w14:textId="77777777" w:rsidR="00994AE3" w:rsidRPr="0040485A" w:rsidRDefault="008064C0">
            <w:pPr>
              <w:spacing w:after="40" w:line="240" w:lineRule="auto"/>
              <w:rPr>
                <w:rFonts w:cs="Times New Roman"/>
              </w:rPr>
            </w:pPr>
            <w:r w:rsidRPr="0040485A">
              <w:rPr>
                <w:rFonts w:cs="Times New Roman"/>
                <w:sz w:val="19"/>
              </w:rPr>
              <w:lastRenderedPageBreak/>
              <w:t>Annual revenue</w:t>
            </w:r>
          </w:p>
        </w:tc>
        <w:tc>
          <w:tcPr>
            <w:tcW w:w="4104" w:type="dxa"/>
          </w:tcPr>
          <w:p w14:paraId="554A7E7E" w14:textId="77777777" w:rsidR="00994AE3" w:rsidRPr="0040485A" w:rsidRDefault="008064C0">
            <w:pPr>
              <w:spacing w:after="40" w:line="240" w:lineRule="auto"/>
              <w:rPr>
                <w:rFonts w:cs="Times New Roman"/>
              </w:rPr>
            </w:pPr>
            <w:r w:rsidRPr="0040485A">
              <w:rPr>
                <w:rFonts w:cs="Times New Roman"/>
                <w:sz w:val="19"/>
              </w:rPr>
              <w:t>&lt; 20bn; 20–100bn; 100–500bn; ≥ 500bn VND</w:t>
            </w:r>
          </w:p>
        </w:tc>
        <w:tc>
          <w:tcPr>
            <w:tcW w:w="2664" w:type="dxa"/>
          </w:tcPr>
          <w:p w14:paraId="25E39C1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4EE28153" w14:textId="77777777">
        <w:trPr>
          <w:jc w:val="center"/>
        </w:trPr>
        <w:tc>
          <w:tcPr>
            <w:tcW w:w="2160" w:type="dxa"/>
          </w:tcPr>
          <w:p w14:paraId="60613D8C" w14:textId="77777777" w:rsidR="00994AE3" w:rsidRPr="0040485A" w:rsidRDefault="008064C0">
            <w:pPr>
              <w:spacing w:after="40" w:line="240" w:lineRule="auto"/>
              <w:rPr>
                <w:rFonts w:cs="Times New Roman"/>
              </w:rPr>
            </w:pPr>
            <w:r w:rsidRPr="0040485A">
              <w:rPr>
                <w:rFonts w:cs="Times New Roman"/>
                <w:sz w:val="19"/>
              </w:rPr>
              <w:t>Operating tenure</w:t>
            </w:r>
          </w:p>
        </w:tc>
        <w:tc>
          <w:tcPr>
            <w:tcW w:w="4104" w:type="dxa"/>
          </w:tcPr>
          <w:p w14:paraId="0D83033F" w14:textId="77777777" w:rsidR="00994AE3" w:rsidRPr="0040485A" w:rsidRDefault="008064C0">
            <w:pPr>
              <w:spacing w:after="40" w:line="240" w:lineRule="auto"/>
              <w:rPr>
                <w:rFonts w:cs="Times New Roman"/>
              </w:rPr>
            </w:pPr>
            <w:r w:rsidRPr="0040485A">
              <w:rPr>
                <w:rFonts w:cs="Times New Roman"/>
                <w:sz w:val="19"/>
              </w:rPr>
              <w:t>&lt; 3; 3–5; 5–10; ≥ 10 years</w:t>
            </w:r>
          </w:p>
        </w:tc>
        <w:tc>
          <w:tcPr>
            <w:tcW w:w="2664" w:type="dxa"/>
          </w:tcPr>
          <w:p w14:paraId="7620442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750A1A5B" w14:textId="77777777">
        <w:trPr>
          <w:jc w:val="center"/>
        </w:trPr>
        <w:tc>
          <w:tcPr>
            <w:tcW w:w="2160" w:type="dxa"/>
          </w:tcPr>
          <w:p w14:paraId="6288372D" w14:textId="77777777" w:rsidR="00994AE3" w:rsidRPr="0040485A" w:rsidRDefault="008064C0">
            <w:pPr>
              <w:spacing w:after="40" w:line="240" w:lineRule="auto"/>
              <w:rPr>
                <w:rFonts w:cs="Times New Roman"/>
              </w:rPr>
            </w:pPr>
            <w:r w:rsidRPr="0040485A">
              <w:rPr>
                <w:rFonts w:cs="Times New Roman"/>
                <w:sz w:val="19"/>
              </w:rPr>
              <w:t>Primary guarantee product</w:t>
            </w:r>
          </w:p>
        </w:tc>
        <w:tc>
          <w:tcPr>
            <w:tcW w:w="4104" w:type="dxa"/>
          </w:tcPr>
          <w:p w14:paraId="1EB99403" w14:textId="77777777" w:rsidR="00994AE3" w:rsidRPr="0040485A" w:rsidRDefault="008064C0">
            <w:pPr>
              <w:spacing w:after="40" w:line="240" w:lineRule="auto"/>
              <w:rPr>
                <w:rFonts w:cs="Times New Roman"/>
              </w:rPr>
            </w:pPr>
            <w:r w:rsidRPr="0040485A">
              <w:rPr>
                <w:rFonts w:cs="Times New Roman"/>
                <w:sz w:val="19"/>
              </w:rPr>
              <w:t xml:space="preserve">Tender </w:t>
            </w:r>
            <w:r w:rsidRPr="0040485A">
              <w:rPr>
                <w:rFonts w:cs="Times New Roman"/>
                <w:sz w:val="19"/>
              </w:rPr>
              <w:t>(TG); Performance (PG); Advance payment (APG); Payment (BG); Other</w:t>
            </w:r>
          </w:p>
        </w:tc>
        <w:tc>
          <w:tcPr>
            <w:tcW w:w="2664" w:type="dxa"/>
          </w:tcPr>
          <w:p w14:paraId="507008B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63A41385" w14:textId="77777777">
        <w:trPr>
          <w:jc w:val="center"/>
        </w:trPr>
        <w:tc>
          <w:tcPr>
            <w:tcW w:w="2160" w:type="dxa"/>
          </w:tcPr>
          <w:p w14:paraId="1FA20DC5" w14:textId="77777777" w:rsidR="00994AE3" w:rsidRPr="0040485A" w:rsidRDefault="008064C0">
            <w:pPr>
              <w:spacing w:after="40" w:line="240" w:lineRule="auto"/>
              <w:rPr>
                <w:rFonts w:cs="Times New Roman"/>
              </w:rPr>
            </w:pPr>
            <w:r w:rsidRPr="0040485A">
              <w:rPr>
                <w:rFonts w:cs="Times New Roman"/>
                <w:sz w:val="19"/>
              </w:rPr>
              <w:t>Multi-banking status</w:t>
            </w:r>
          </w:p>
        </w:tc>
        <w:tc>
          <w:tcPr>
            <w:tcW w:w="4104" w:type="dxa"/>
          </w:tcPr>
          <w:p w14:paraId="26F70A05" w14:textId="77777777" w:rsidR="00994AE3" w:rsidRPr="0040485A" w:rsidRDefault="008064C0">
            <w:pPr>
              <w:spacing w:after="40" w:line="240" w:lineRule="auto"/>
              <w:rPr>
                <w:rFonts w:cs="Times New Roman"/>
              </w:rPr>
            </w:pPr>
            <w:r w:rsidRPr="0040485A">
              <w:rPr>
                <w:rFonts w:cs="Times New Roman"/>
                <w:sz w:val="19"/>
              </w:rPr>
              <w:t>VietinBank only; two or more banks</w:t>
            </w:r>
          </w:p>
        </w:tc>
        <w:tc>
          <w:tcPr>
            <w:tcW w:w="2664" w:type="dxa"/>
          </w:tcPr>
          <w:p w14:paraId="6E483848" w14:textId="77777777" w:rsidR="00994AE3" w:rsidRPr="0040485A" w:rsidRDefault="008064C0">
            <w:pPr>
              <w:spacing w:after="40" w:line="240" w:lineRule="auto"/>
              <w:jc w:val="center"/>
              <w:rPr>
                <w:rFonts w:cs="Times New Roman"/>
              </w:rPr>
            </w:pPr>
            <w:r w:rsidRPr="0040485A">
              <w:rPr>
                <w:rFonts w:cs="Times New Roman"/>
                <w:sz w:val="19"/>
              </w:rPr>
              <w:t>Independent-samples t-test</w:t>
            </w:r>
          </w:p>
        </w:tc>
      </w:tr>
    </w:tbl>
    <w:p w14:paraId="288DCEC7" w14:textId="77777777" w:rsidR="00994AE3" w:rsidRPr="0040485A" w:rsidRDefault="00994AE3">
      <w:pPr>
        <w:rPr>
          <w:rFonts w:cs="Times New Roman"/>
        </w:rPr>
      </w:pPr>
    </w:p>
    <w:p w14:paraId="63426CA0"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64E2925" w14:textId="77777777" w:rsidR="00994AE3" w:rsidRPr="0040485A" w:rsidRDefault="008064C0">
      <w:pPr>
        <w:spacing w:after="160" w:line="360" w:lineRule="auto"/>
        <w:ind w:firstLine="360"/>
        <w:jc w:val="both"/>
        <w:rPr>
          <w:rFonts w:cs="Times New Roman"/>
        </w:rPr>
      </w:pPr>
      <w:r w:rsidRPr="0040485A">
        <w:rPr>
          <w:rFonts w:cs="Times New Roman"/>
        </w:rPr>
        <w:t>For the four multi-category varia</w:t>
      </w:r>
      <w:r w:rsidRPr="0040485A">
        <w:rPr>
          <w:rFonts w:cs="Times New Roman"/>
        </w:rPr>
        <w:t>bles, one-way analysis of variance tests the null hypothesis that mean selection priority is equal across all categories. Levene's test is applied first to verify homogeneity of variance; where it is rejected, Welch's adjusted F-statistic is reported in pl</w:t>
      </w:r>
      <w:r w:rsidRPr="0040485A">
        <w:rPr>
          <w:rFonts w:cs="Times New Roman"/>
        </w:rPr>
        <w:t xml:space="preserve">ace of the conventional one (Field, 2018). Where the overall test is significant, Tukey's honestly significant difference procedure identifies which specific pairs of categories differ, since a significant F-statistic establishes only that some difference </w:t>
      </w:r>
      <w:r w:rsidRPr="0040485A">
        <w:rPr>
          <w:rFonts w:cs="Times New Roman"/>
        </w:rPr>
        <w:t>exists. Categories containing fewer than thirty observations are merged with a conceptually adjacent category before testing, and any such merger is reported.</w:t>
      </w:r>
    </w:p>
    <w:p w14:paraId="7F8D1CF2" w14:textId="77777777" w:rsidR="00994AE3" w:rsidRPr="0040485A" w:rsidRDefault="008064C0">
      <w:pPr>
        <w:spacing w:after="160" w:line="360" w:lineRule="auto"/>
        <w:ind w:firstLine="360"/>
        <w:jc w:val="both"/>
        <w:rPr>
          <w:rFonts w:cs="Times New Roman"/>
        </w:rPr>
      </w:pPr>
      <w:r w:rsidRPr="0040485A">
        <w:rPr>
          <w:rFonts w:cs="Times New Roman"/>
        </w:rPr>
        <w:t>For multi-banking status, which is binary, an independent-samples t-test compares enterprises usi</w:t>
      </w:r>
      <w:r w:rsidRPr="0040485A">
        <w:rPr>
          <w:rFonts w:cs="Times New Roman"/>
        </w:rPr>
        <w:t>ng VietinBank exclusively with those maintaining guarantee relationships at two or more banks. The four-level response collected in the questionnaire is collapsed into this binary form for the test, while the full distribution is retained for description i</w:t>
      </w:r>
      <w:r w:rsidRPr="0040485A">
        <w:rPr>
          <w:rFonts w:cs="Times New Roman"/>
        </w:rPr>
        <w:t>n Section 4.1.5. This comparison carries particular interpretive weight: enterprises that hold relationships at several banks are in a position to make the competitive comparison the dependent construct asks about, so a significant difference between the t</w:t>
      </w:r>
      <w:r w:rsidRPr="0040485A">
        <w:rPr>
          <w:rFonts w:cs="Times New Roman"/>
        </w:rPr>
        <w:t>wo groups bears directly on the validity of the construct as well as on the substantive question.</w:t>
      </w:r>
    </w:p>
    <w:p w14:paraId="639C6C12" w14:textId="77777777" w:rsidR="00994AE3" w:rsidRPr="0040485A" w:rsidRDefault="008064C0">
      <w:pPr>
        <w:spacing w:after="160" w:line="360" w:lineRule="auto"/>
        <w:ind w:firstLine="360"/>
        <w:jc w:val="both"/>
        <w:rPr>
          <w:rFonts w:cs="Times New Roman"/>
        </w:rPr>
      </w:pPr>
      <w:r w:rsidRPr="0040485A">
        <w:rPr>
          <w:rFonts w:cs="Times New Roman"/>
        </w:rPr>
        <w:t xml:space="preserve">Effect sizes are reported alongside significance tests throughout. Eta squared is reported for analysis of variance and Cohen's d for the t-test, </w:t>
      </w:r>
      <w:r w:rsidRPr="0040485A">
        <w:rPr>
          <w:rFonts w:cs="Times New Roman"/>
        </w:rPr>
        <w:t>interpreted against the conventions of Cohen (1988). At a sample size of 800 a difference of little practical consequence can reach statistical significance, and effect sizes are what permit a difference that matters for segment strategy to be distinguishe</w:t>
      </w:r>
      <w:r w:rsidRPr="0040485A">
        <w:rPr>
          <w:rFonts w:cs="Times New Roman"/>
        </w:rPr>
        <w:t>d from one that is merely detectable. Hypothesis H8 is supported where significant differences with non-negligible effect sizes are found for at least one grouping variable.</w:t>
      </w:r>
    </w:p>
    <w:p w14:paraId="02EAC7A2" w14:textId="77777777" w:rsidR="00994AE3" w:rsidRPr="0040485A" w:rsidRDefault="008064C0">
      <w:pPr>
        <w:rPr>
          <w:rFonts w:cs="Times New Roman"/>
        </w:rPr>
      </w:pPr>
      <w:r w:rsidRPr="0040485A">
        <w:rPr>
          <w:rFonts w:cs="Times New Roman"/>
        </w:rPr>
        <w:br w:type="page"/>
      </w:r>
    </w:p>
    <w:p w14:paraId="03F94435"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4: EMPIRICAL RESULTS, DISCUSSION AND MANAGERIAL RECOMMENDATIONS</w:t>
      </w:r>
    </w:p>
    <w:p w14:paraId="0CBA5B2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 Des</w:t>
      </w:r>
      <w:r w:rsidRPr="0040485A">
        <w:rPr>
          <w:rFonts w:ascii="Times New Roman" w:hAnsi="Times New Roman" w:cs="Times New Roman"/>
        </w:rPr>
        <w:t>criptive Statistics of the Sample (n = 800)</w:t>
      </w:r>
    </w:p>
    <w:p>
      <w:pPr>
        <w:spacing w:after="160" w:line="360" w:lineRule="auto"/>
        <w:ind w:firstLine="360"/>
        <w:jc w:val="both"/>
      </w:pPr>
      <w:r>
        <w:rPr>
          <w:rFonts w:ascii="Times New Roman" w:hAnsi="Times New Roman"/>
          <w:b w:val="0"/>
          <w:i w:val="0"/>
          <w:sz w:val="24"/>
        </w:rPr>
        <w:t>A total of 950 corporate customer questionnaires were administered across VietinBank's nationwide commercial banking network spanning 154 commercial branches across Northern, Central, and Southern economic zones following the multi-stage stratified sampling protocol established in Chapter 3. A total of 842 completed forms were received, representing a raw gross response rate of 88.63%. Data collection integrated both direct in-person administration at branch counters (474 enterprises, 59.25%) and authenticated digital channels via VietinBank eFAST corporate banking (326 enterprises, 40.75%) from 01/01/2026 to 31/12/2025. During initial qualification screening, all participating corporate respondents were evaluated against the prerequisite screening criterion (Question S1: 'Has your enterprise had at least one bank guarantee issued by VietinBank within the preceding 12-month period?'). A total of 42 respondents answered negatively and were excluded from further empirical analysis. The remaining 800 completed questionnaires satisfied all screening parameters, representing an effective valid response rate of 95.01% of returned questionnaires and 84.21% of total distributed questionnaires. Data auditing confirmed zero missing values, complete response integrity across all Likert items, zero unengaged straight-lining patterns, and bounded multivariate Mahalanobis distance (max D² = 60.69 &lt;= critical χ²(32) = 62.49). Table 4.0 outlines the sample attrition and screening progression.</w:t>
      </w:r>
    </w:p>
    <w:p>
      <w:pPr>
        <w:spacing w:after="80" w:line="360" w:lineRule="auto"/>
        <w:ind w:firstLine="0"/>
        <w:jc w:val="center"/>
      </w:pPr>
      <w:r>
        <w:rPr>
          <w:rFonts w:ascii="Times New Roman" w:hAnsi="Times New Roman"/>
          <w:b/>
          <w:i w:val="0"/>
          <w:sz w:val="22"/>
        </w:rPr>
        <w:t>Table 4.0: Survey Administration, Screening Attrition, and Valid Sample Size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608"/>
            <w:shd w:val="clear" w:color="auto" w:fill="D9D9D9"/>
          </w:tcPr>
          <w:p>
            <w:pPr>
              <w:spacing w:after="40" w:line="240" w:lineRule="auto"/>
              <w:jc w:val="center"/>
            </w:pPr>
            <w:r/>
            <w:r>
              <w:rPr>
                <w:rFonts w:ascii="Times New Roman" w:hAnsi="Times New Roman"/>
                <w:b/>
                <w:sz w:val="19"/>
              </w:rPr>
              <w:t>Sampling Progression Stage</w:t>
            </w:r>
          </w:p>
        </w:tc>
        <w:tc>
          <w:tcPr>
            <w:tcW w:type="dxa" w:w="1728"/>
            <w:shd w:val="clear" w:color="auto" w:fill="D9D9D9"/>
          </w:tcPr>
          <w:p>
            <w:pPr>
              <w:spacing w:after="40" w:line="240" w:lineRule="auto"/>
              <w:jc w:val="center"/>
            </w:pPr>
            <w:r/>
            <w:r>
              <w:rPr>
                <w:rFonts w:ascii="Times New Roman" w:hAnsi="Times New Roman"/>
                <w:b/>
                <w:sz w:val="19"/>
              </w:rPr>
              <w:t>Frequency (N)</w:t>
            </w:r>
          </w:p>
        </w:tc>
        <w:tc>
          <w:tcPr>
            <w:tcW w:type="dxa" w:w="2016"/>
            <w:shd w:val="clear" w:color="auto" w:fill="D9D9D9"/>
          </w:tcPr>
          <w:p>
            <w:pPr>
              <w:spacing w:after="40" w:line="240" w:lineRule="auto"/>
              <w:jc w:val="center"/>
            </w:pPr>
            <w:r/>
            <w:r>
              <w:rPr>
                <w:rFonts w:ascii="Times New Roman" w:hAnsi="Times New Roman"/>
                <w:b/>
                <w:sz w:val="19"/>
              </w:rPr>
              <w:t>Percentage of Distributed (%)</w:t>
            </w:r>
          </w:p>
        </w:tc>
        <w:tc>
          <w:tcPr>
            <w:tcW w:type="dxa" w:w="2016"/>
            <w:shd w:val="clear" w:color="auto" w:fill="D9D9D9"/>
          </w:tcPr>
          <w:p>
            <w:pPr>
              <w:spacing w:after="40" w:line="240" w:lineRule="auto"/>
              <w:jc w:val="center"/>
            </w:pPr>
            <w:r/>
            <w:r>
              <w:rPr>
                <w:rFonts w:ascii="Times New Roman" w:hAnsi="Times New Roman"/>
                <w:b/>
                <w:sz w:val="19"/>
              </w:rPr>
              <w:t>Percentage of Returned (%)</w:t>
            </w:r>
          </w:p>
        </w:tc>
      </w:tr>
      <w:tr>
        <w:tc>
          <w:tcPr>
            <w:tcW w:type="dxa" w:w="4608"/>
          </w:tcPr>
          <w:p>
            <w:pPr>
              <w:spacing w:after="40" w:line="240" w:lineRule="auto"/>
              <w:jc w:val="left"/>
            </w:pPr>
            <w:r/>
            <w:r>
              <w:rPr>
                <w:rFonts w:ascii="Times New Roman" w:hAnsi="Times New Roman"/>
                <w:sz w:val="19"/>
              </w:rPr>
              <w:t>Questionnaires Administered / Distributed</w:t>
            </w:r>
          </w:p>
        </w:tc>
        <w:tc>
          <w:tcPr>
            <w:tcW w:type="dxa" w:w="1728"/>
          </w:tcPr>
          <w:p>
            <w:pPr>
              <w:spacing w:after="40" w:line="240" w:lineRule="auto"/>
              <w:jc w:val="left"/>
            </w:pPr>
            <w:r/>
            <w:r>
              <w:rPr>
                <w:rFonts w:ascii="Times New Roman" w:hAnsi="Times New Roman"/>
                <w:sz w:val="19"/>
              </w:rPr>
              <w:t>950</w:t>
            </w:r>
          </w:p>
        </w:tc>
        <w:tc>
          <w:tcPr>
            <w:tcW w:type="dxa" w:w="2016"/>
          </w:tcPr>
          <w:p>
            <w:pPr>
              <w:spacing w:after="40" w:line="240" w:lineRule="auto"/>
              <w:jc w:val="left"/>
            </w:pPr>
            <w:r/>
            <w:r>
              <w:rPr>
                <w:rFonts w:ascii="Times New Roman" w:hAnsi="Times New Roman"/>
                <w:sz w:val="19"/>
              </w:rPr>
              <w:t>100.00%</w:t>
            </w:r>
          </w:p>
        </w:tc>
        <w:tc>
          <w:tcPr>
            <w:tcW w:type="dxa" w:w="2016"/>
          </w:tcPr>
          <w:p>
            <w:pPr>
              <w:spacing w:after="40" w:line="240" w:lineRule="auto"/>
              <w:jc w:val="center"/>
            </w:pPr>
            <w:r/>
            <w:r>
              <w:rPr>
                <w:rFonts w:ascii="Times New Roman" w:hAnsi="Times New Roman"/>
                <w:sz w:val="19"/>
              </w:rPr>
              <w:t>—</w:t>
            </w:r>
          </w:p>
        </w:tc>
      </w:tr>
      <w:tr>
        <w:tc>
          <w:tcPr>
            <w:tcW w:type="dxa" w:w="4608"/>
          </w:tcPr>
          <w:p>
            <w:pPr>
              <w:spacing w:after="40" w:line="240" w:lineRule="auto"/>
              <w:jc w:val="left"/>
            </w:pPr>
            <w:r/>
            <w:r>
              <w:rPr>
                <w:rFonts w:ascii="Times New Roman" w:hAnsi="Times New Roman"/>
                <w:sz w:val="19"/>
              </w:rPr>
              <w:t>Questionnaires Received / Returned</w:t>
            </w:r>
          </w:p>
        </w:tc>
        <w:tc>
          <w:tcPr>
            <w:tcW w:type="dxa" w:w="1728"/>
          </w:tcPr>
          <w:p>
            <w:pPr>
              <w:spacing w:after="40" w:line="240" w:lineRule="auto"/>
              <w:jc w:val="left"/>
            </w:pPr>
            <w:r/>
            <w:r>
              <w:rPr>
                <w:rFonts w:ascii="Times New Roman" w:hAnsi="Times New Roman"/>
                <w:sz w:val="19"/>
              </w:rPr>
              <w:t>842</w:t>
            </w:r>
          </w:p>
        </w:tc>
        <w:tc>
          <w:tcPr>
            <w:tcW w:type="dxa" w:w="2016"/>
          </w:tcPr>
          <w:p>
            <w:pPr>
              <w:spacing w:after="40" w:line="240" w:lineRule="auto"/>
              <w:jc w:val="left"/>
            </w:pPr>
            <w:r/>
            <w:r>
              <w:rPr>
                <w:rFonts w:ascii="Times New Roman" w:hAnsi="Times New Roman"/>
                <w:sz w:val="19"/>
              </w:rPr>
              <w:t>88.63%</w:t>
            </w:r>
          </w:p>
        </w:tc>
        <w:tc>
          <w:tcPr>
            <w:tcW w:type="dxa" w:w="2016"/>
          </w:tcPr>
          <w:p>
            <w:pPr>
              <w:spacing w:after="40" w:line="240" w:lineRule="auto"/>
              <w:jc w:val="center"/>
            </w:pPr>
            <w:r/>
            <w:r>
              <w:rPr>
                <w:rFonts w:ascii="Times New Roman" w:hAnsi="Times New Roman"/>
                <w:sz w:val="19"/>
              </w:rPr>
              <w:t>100.00%</w:t>
            </w:r>
          </w:p>
        </w:tc>
      </w:tr>
      <w:tr>
        <w:tc>
          <w:tcPr>
            <w:tcW w:type="dxa" w:w="4608"/>
          </w:tcPr>
          <w:p>
            <w:pPr>
              <w:spacing w:after="40" w:line="240" w:lineRule="auto"/>
              <w:jc w:val="left"/>
            </w:pPr>
            <w:r/>
            <w:r>
              <w:rPr>
                <w:rFonts w:ascii="Times New Roman" w:hAnsi="Times New Roman"/>
                <w:sz w:val="19"/>
              </w:rPr>
              <w:t>Excluded: Screening Failure (S1 = 0, No guarantee in past 12m)</w:t>
            </w:r>
          </w:p>
        </w:tc>
        <w:tc>
          <w:tcPr>
            <w:tcW w:type="dxa" w:w="1728"/>
          </w:tcPr>
          <w:p>
            <w:pPr>
              <w:spacing w:after="40" w:line="240" w:lineRule="auto"/>
              <w:jc w:val="left"/>
            </w:pPr>
            <w:r/>
            <w:r>
              <w:rPr>
                <w:rFonts w:ascii="Times New Roman" w:hAnsi="Times New Roman"/>
                <w:sz w:val="19"/>
              </w:rPr>
              <w:t>42</w:t>
            </w:r>
          </w:p>
        </w:tc>
        <w:tc>
          <w:tcPr>
            <w:tcW w:type="dxa" w:w="2016"/>
          </w:tcPr>
          <w:p>
            <w:pPr>
              <w:spacing w:after="40" w:line="240" w:lineRule="auto"/>
              <w:jc w:val="left"/>
            </w:pPr>
            <w:r/>
            <w:r>
              <w:rPr>
                <w:rFonts w:ascii="Times New Roman" w:hAnsi="Times New Roman"/>
                <w:sz w:val="19"/>
              </w:rPr>
              <w:t>4.42%</w:t>
            </w:r>
          </w:p>
        </w:tc>
        <w:tc>
          <w:tcPr>
            <w:tcW w:type="dxa" w:w="2016"/>
          </w:tcPr>
          <w:p>
            <w:pPr>
              <w:spacing w:after="40" w:line="240" w:lineRule="auto"/>
              <w:jc w:val="center"/>
            </w:pPr>
            <w:r/>
            <w:r>
              <w:rPr>
                <w:rFonts w:ascii="Times New Roman" w:hAnsi="Times New Roman"/>
                <w:sz w:val="19"/>
              </w:rPr>
              <w:t>4.99%</w:t>
            </w:r>
          </w:p>
        </w:tc>
      </w:tr>
      <w:tr>
        <w:tc>
          <w:tcPr>
            <w:tcW w:type="dxa" w:w="4608"/>
          </w:tcPr>
          <w:p>
            <w:pPr>
              <w:spacing w:after="40" w:line="240" w:lineRule="auto"/>
              <w:jc w:val="left"/>
            </w:pPr>
            <w:r/>
            <w:r>
              <w:rPr>
                <w:rFonts w:ascii="Times New Roman" w:hAnsi="Times New Roman"/>
                <w:sz w:val="19"/>
              </w:rPr>
              <w:t>Effective Valid Sample for Empirical Analysis (S1 = 1)</w:t>
            </w:r>
          </w:p>
        </w:tc>
        <w:tc>
          <w:tcPr>
            <w:tcW w:type="dxa" w:w="1728"/>
          </w:tcPr>
          <w:p>
            <w:pPr>
              <w:spacing w:after="40" w:line="240" w:lineRule="auto"/>
              <w:jc w:val="left"/>
            </w:pPr>
            <w:r/>
            <w:r>
              <w:rPr>
                <w:rFonts w:ascii="Times New Roman" w:hAnsi="Times New Roman"/>
                <w:sz w:val="19"/>
              </w:rPr>
              <w:t>800</w:t>
            </w:r>
          </w:p>
        </w:tc>
        <w:tc>
          <w:tcPr>
            <w:tcW w:type="dxa" w:w="2016"/>
          </w:tcPr>
          <w:p>
            <w:pPr>
              <w:spacing w:after="40" w:line="240" w:lineRule="auto"/>
              <w:jc w:val="left"/>
            </w:pPr>
            <w:r/>
            <w:r>
              <w:rPr>
                <w:rFonts w:ascii="Times New Roman" w:hAnsi="Times New Roman"/>
                <w:sz w:val="19"/>
              </w:rPr>
              <w:t>84.21%</w:t>
            </w:r>
          </w:p>
        </w:tc>
        <w:tc>
          <w:tcPr>
            <w:tcW w:type="dxa" w:w="2016"/>
          </w:tcPr>
          <w:p>
            <w:pPr>
              <w:spacing w:after="40" w:line="240" w:lineRule="auto"/>
              <w:jc w:val="center"/>
            </w:pPr>
            <w:r/>
            <w:r>
              <w:rPr>
                <w:rFonts w:ascii="Times New Roman" w:hAnsi="Times New Roman"/>
                <w:sz w:val="19"/>
              </w:rPr>
              <w:t>95.01%</w:t>
            </w:r>
          </w:p>
        </w:tc>
      </w:tr>
    </w:tbl>
    <w:p>
      <w:pPr>
        <w:spacing w:after="200" w:line="360" w:lineRule="auto"/>
        <w:ind w:firstLine="0"/>
        <w:jc w:val="center"/>
      </w:pPr>
      <w:r>
        <w:rPr>
          <w:rFonts w:ascii="Times New Roman" w:hAnsi="Times New Roman"/>
          <w:b w:val="0"/>
          <w:i/>
          <w:sz w:val="20"/>
        </w:rPr>
        <w:t>Source: Author's corporate survey analysis (2025–2026), n = 800.</w:t>
      </w:r>
    </w:p>
    <w:p w14:paraId="6446E2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4.1.1. Ownership Type Distribution</w:t>
      </w:r>
    </w:p>
    <w:p>
      <w:pPr>
        <w:spacing w:after="160" w:line="360" w:lineRule="auto"/>
        <w:ind w:firstLine="360"/>
        <w:jc w:val="both"/>
      </w:pPr>
      <w:r>
        <w:rPr>
          <w:rFonts w:ascii="Times New Roman" w:hAnsi="Times New Roman"/>
          <w:b w:val="0"/>
          <w:i w:val="0"/>
          <w:sz w:val="24"/>
        </w:rPr>
        <w:t>The ownership structure of the sampled enterprises reflects Vietnam's dynamic corporate contracting market. As detailed in Table 4.1, private domestic enterprises and limited liability companies (LLCs) constitute the largest segment with 320 firms (40.00%). Non-state joint-stock companies represent 264 firms (33.00%). Together, the domestic private sector accounts for 584 enterprises (73.00% of the total sample), establishing that private enterprises form the primary customer base for commercial bank guarantees.</w:t>
      </w:r>
    </w:p>
    <w:p>
      <w:pPr>
        <w:spacing w:after="80" w:line="360" w:lineRule="auto"/>
        <w:ind w:firstLine="0"/>
        <w:jc w:val="center"/>
      </w:pPr>
      <w:r>
        <w:rPr>
          <w:rFonts w:ascii="Times New Roman" w:hAnsi="Times New Roman"/>
          <w:b/>
          <w:i w:val="0"/>
          <w:sz w:val="22"/>
        </w:rPr>
        <w:t>Table 4.1: Distribution of sample by enterprise ownership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Ownership Type (Q1)</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Doanh nghiệp tư nhân / TNHH</w:t>
            </w:r>
          </w:p>
        </w:tc>
        <w:tc>
          <w:tcPr>
            <w:tcW w:type="dxa" w:w="1872"/>
          </w:tcPr>
          <w:p>
            <w:pPr>
              <w:spacing w:after="40" w:line="240" w:lineRule="auto"/>
              <w:jc w:val="left"/>
            </w:pPr>
            <w:r/>
            <w:r>
              <w:rPr>
                <w:rFonts w:ascii="Times New Roman" w:hAnsi="Times New Roman"/>
                <w:sz w:val="19"/>
              </w:rPr>
              <w:t>320</w:t>
            </w:r>
          </w:p>
        </w:tc>
        <w:tc>
          <w:tcPr>
            <w:tcW w:type="dxa" w:w="1872"/>
          </w:tcPr>
          <w:p>
            <w:pPr>
              <w:spacing w:after="40" w:line="240" w:lineRule="auto"/>
              <w:jc w:val="left"/>
            </w:pPr>
            <w:r/>
            <w:r>
              <w:rPr>
                <w:rFonts w:ascii="Times New Roman" w:hAnsi="Times New Roman"/>
                <w:sz w:val="19"/>
              </w:rPr>
              <w:t>40.00%</w:t>
            </w:r>
          </w:p>
        </w:tc>
        <w:tc>
          <w:tcPr>
            <w:tcW w:type="dxa" w:w="1872"/>
          </w:tcPr>
          <w:p>
            <w:pPr>
              <w:spacing w:after="40" w:line="240" w:lineRule="auto"/>
              <w:jc w:val="center"/>
            </w:pPr>
            <w:r/>
            <w:r>
              <w:rPr>
                <w:rFonts w:ascii="Times New Roman" w:hAnsi="Times New Roman"/>
                <w:sz w:val="19"/>
              </w:rPr>
              <w:t>40.00%</w:t>
            </w:r>
          </w:p>
        </w:tc>
      </w:tr>
      <w:tr>
        <w:tc>
          <w:tcPr>
            <w:tcW w:type="dxa" w:w="4032"/>
          </w:tcPr>
          <w:p>
            <w:pPr>
              <w:spacing w:after="40" w:line="240" w:lineRule="auto"/>
              <w:jc w:val="left"/>
            </w:pPr>
            <w:r/>
            <w:r>
              <w:rPr>
                <w:rFonts w:ascii="Times New Roman" w:hAnsi="Times New Roman"/>
                <w:sz w:val="19"/>
              </w:rPr>
              <w:t>Công ty Cổ phần ngoài quốc doanh</w:t>
            </w:r>
          </w:p>
        </w:tc>
        <w:tc>
          <w:tcPr>
            <w:tcW w:type="dxa" w:w="1872"/>
          </w:tcPr>
          <w:p>
            <w:pPr>
              <w:spacing w:after="40" w:line="240" w:lineRule="auto"/>
              <w:jc w:val="left"/>
            </w:pPr>
            <w:r/>
            <w:r>
              <w:rPr>
                <w:rFonts w:ascii="Times New Roman" w:hAnsi="Times New Roman"/>
                <w:sz w:val="19"/>
              </w:rPr>
              <w:t>264</w:t>
            </w:r>
          </w:p>
        </w:tc>
        <w:tc>
          <w:tcPr>
            <w:tcW w:type="dxa" w:w="1872"/>
          </w:tcPr>
          <w:p>
            <w:pPr>
              <w:spacing w:after="40" w:line="240" w:lineRule="auto"/>
              <w:jc w:val="left"/>
            </w:pPr>
            <w:r/>
            <w:r>
              <w:rPr>
                <w:rFonts w:ascii="Times New Roman" w:hAnsi="Times New Roman"/>
                <w:sz w:val="19"/>
              </w:rPr>
              <w:t>33.00%</w:t>
            </w:r>
          </w:p>
        </w:tc>
        <w:tc>
          <w:tcPr>
            <w:tcW w:type="dxa" w:w="1872"/>
          </w:tcPr>
          <w:p>
            <w:pPr>
              <w:spacing w:after="40" w:line="240" w:lineRule="auto"/>
              <w:jc w:val="center"/>
            </w:pPr>
            <w:r/>
            <w:r>
              <w:rPr>
                <w:rFonts w:ascii="Times New Roman" w:hAnsi="Times New Roman"/>
                <w:sz w:val="19"/>
              </w:rPr>
              <w:t>73.00%</w:t>
            </w:r>
          </w:p>
        </w:tc>
      </w:tr>
      <w:tr>
        <w:tc>
          <w:tcPr>
            <w:tcW w:type="dxa" w:w="4032"/>
          </w:tcPr>
          <w:p>
            <w:pPr>
              <w:spacing w:after="40" w:line="240" w:lineRule="auto"/>
              <w:jc w:val="left"/>
            </w:pPr>
            <w:r/>
            <w:r>
              <w:rPr>
                <w:rFonts w:ascii="Times New Roman" w:hAnsi="Times New Roman"/>
                <w:sz w:val="19"/>
              </w:rPr>
              <w:t>Doanh nghiệp Nhà nước (SOEs)</w:t>
            </w:r>
          </w:p>
        </w:tc>
        <w:tc>
          <w:tcPr>
            <w:tcW w:type="dxa" w:w="1872"/>
          </w:tcPr>
          <w:p>
            <w:pPr>
              <w:spacing w:after="40" w:line="240" w:lineRule="auto"/>
              <w:jc w:val="left"/>
            </w:pPr>
            <w:r/>
            <w:r>
              <w:rPr>
                <w:rFonts w:ascii="Times New Roman" w:hAnsi="Times New Roman"/>
                <w:sz w:val="19"/>
              </w:rPr>
              <w:t>105</w:t>
            </w:r>
          </w:p>
        </w:tc>
        <w:tc>
          <w:tcPr>
            <w:tcW w:type="dxa" w:w="1872"/>
          </w:tcPr>
          <w:p>
            <w:pPr>
              <w:spacing w:after="40" w:line="240" w:lineRule="auto"/>
              <w:jc w:val="left"/>
            </w:pPr>
            <w:r/>
            <w:r>
              <w:rPr>
                <w:rFonts w:ascii="Times New Roman" w:hAnsi="Times New Roman"/>
                <w:sz w:val="19"/>
              </w:rPr>
              <w:t>13.12%</w:t>
            </w:r>
          </w:p>
        </w:tc>
        <w:tc>
          <w:tcPr>
            <w:tcW w:type="dxa" w:w="1872"/>
          </w:tcPr>
          <w:p>
            <w:pPr>
              <w:spacing w:after="40" w:line="240" w:lineRule="auto"/>
              <w:jc w:val="center"/>
            </w:pPr>
            <w:r/>
            <w:r>
              <w:rPr>
                <w:rFonts w:ascii="Times New Roman" w:hAnsi="Times New Roman"/>
                <w:sz w:val="19"/>
              </w:rPr>
              <w:t>86.12%</w:t>
            </w:r>
          </w:p>
        </w:tc>
      </w:tr>
      <w:tr>
        <w:tc>
          <w:tcPr>
            <w:tcW w:type="dxa" w:w="4032"/>
          </w:tcPr>
          <w:p>
            <w:pPr>
              <w:spacing w:after="40" w:line="240" w:lineRule="auto"/>
              <w:jc w:val="left"/>
            </w:pPr>
            <w:r/>
            <w:r>
              <w:rPr>
                <w:rFonts w:ascii="Times New Roman" w:hAnsi="Times New Roman"/>
                <w:sz w:val="19"/>
              </w:rPr>
              <w:t>Doanh nghiệp FDI</w:t>
            </w:r>
          </w:p>
        </w:tc>
        <w:tc>
          <w:tcPr>
            <w:tcW w:type="dxa" w:w="1872"/>
          </w:tcPr>
          <w:p>
            <w:pPr>
              <w:spacing w:after="40" w:line="240" w:lineRule="auto"/>
              <w:jc w:val="left"/>
            </w:pPr>
            <w:r/>
            <w:r>
              <w:rPr>
                <w:rFonts w:ascii="Times New Roman" w:hAnsi="Times New Roman"/>
                <w:sz w:val="19"/>
              </w:rPr>
              <w:t>99</w:t>
            </w:r>
          </w:p>
        </w:tc>
        <w:tc>
          <w:tcPr>
            <w:tcW w:type="dxa" w:w="1872"/>
          </w:tcPr>
          <w:p>
            <w:pPr>
              <w:spacing w:after="40" w:line="240" w:lineRule="auto"/>
              <w:jc w:val="left"/>
            </w:pPr>
            <w:r/>
            <w:r>
              <w:rPr>
                <w:rFonts w:ascii="Times New Roman" w:hAnsi="Times New Roman"/>
                <w:sz w:val="19"/>
              </w:rPr>
              <w:t>12.38%</w:t>
            </w:r>
          </w:p>
        </w:tc>
        <w:tc>
          <w:tcPr>
            <w:tcW w:type="dxa" w:w="1872"/>
          </w:tcPr>
          <w:p>
            <w:pPr>
              <w:spacing w:after="40" w:line="240" w:lineRule="auto"/>
              <w:jc w:val="center"/>
            </w:pPr>
            <w:r/>
            <w:r>
              <w:rPr>
                <w:rFonts w:ascii="Times New Roman" w:hAnsi="Times New Roman"/>
                <w:sz w:val="19"/>
              </w:rPr>
              <w:t>98.50%</w:t>
            </w:r>
          </w:p>
        </w:tc>
      </w:tr>
      <w:tr>
        <w:tc>
          <w:tcPr>
            <w:tcW w:type="dxa" w:w="4032"/>
          </w:tcPr>
          <w:p>
            <w:pPr>
              <w:spacing w:after="40" w:line="240" w:lineRule="auto"/>
              <w:jc w:val="left"/>
            </w:pPr>
            <w:r/>
            <w:r>
              <w:rPr>
                <w:rFonts w:ascii="Times New Roman" w:hAnsi="Times New Roman"/>
                <w:sz w:val="19"/>
              </w:rPr>
              <w:t>Khác</w:t>
            </w:r>
          </w:p>
        </w:tc>
        <w:tc>
          <w:tcPr>
            <w:tcW w:type="dxa" w:w="1872"/>
          </w:tcPr>
          <w:p>
            <w:pPr>
              <w:spacing w:after="40" w:line="240" w:lineRule="auto"/>
              <w:jc w:val="left"/>
            </w:pPr>
            <w:r/>
            <w:r>
              <w:rPr>
                <w:rFonts w:ascii="Times New Roman" w:hAnsi="Times New Roman"/>
                <w:sz w:val="19"/>
              </w:rPr>
              <w:t>12</w:t>
            </w:r>
          </w:p>
        </w:tc>
        <w:tc>
          <w:tcPr>
            <w:tcW w:type="dxa" w:w="1872"/>
          </w:tcPr>
          <w:p>
            <w:pPr>
              <w:spacing w:after="40" w:line="240" w:lineRule="auto"/>
              <w:jc w:val="left"/>
            </w:pPr>
            <w:r/>
            <w:r>
              <w:rPr>
                <w:rFonts w:ascii="Times New Roman" w:hAnsi="Times New Roman"/>
                <w:sz w:val="19"/>
              </w:rPr>
              <w:t>1.50%</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State-owned enterprises (SOEs) comprise 105 respondents (13.12%), while foreign direct investment (FDI) enterprises represent 99 entities (12.38%). The remaining 12 firms (1.50%) belong to other hybrid forms.</w:t>
      </w:r>
    </w:p>
    <w:p w14:paraId="0E6A9F8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4.1.2. Firm Revenue Scale Distribution</w:t>
      </w:r>
    </w:p>
    <w:p>
      <w:pPr>
        <w:spacing w:after="80" w:line="360" w:lineRule="auto"/>
        <w:ind w:firstLine="0"/>
        <w:jc w:val="center"/>
      </w:pPr>
      <w:r>
        <w:rPr>
          <w:rFonts w:ascii="Times New Roman" w:hAnsi="Times New Roman"/>
          <w:b/>
          <w:i w:val="0"/>
          <w:sz w:val="22"/>
        </w:rPr>
        <w:t>Table 4.2: Distribution of sample by annual revenue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Annual Revenue Scale (Q2)</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Dưới 20 tỷ VND (Siêu nhỏ &amp; nhỏ)</w:t>
            </w:r>
          </w:p>
        </w:tc>
        <w:tc>
          <w:tcPr>
            <w:tcW w:type="dxa" w:w="1872"/>
          </w:tcPr>
          <w:p>
            <w:pPr>
              <w:spacing w:after="40" w:line="240" w:lineRule="auto"/>
              <w:jc w:val="left"/>
            </w:pPr>
            <w:r/>
            <w:r>
              <w:rPr>
                <w:rFonts w:ascii="Times New Roman" w:hAnsi="Times New Roman"/>
                <w:sz w:val="19"/>
              </w:rPr>
              <w:t>240</w:t>
            </w:r>
          </w:p>
        </w:tc>
        <w:tc>
          <w:tcPr>
            <w:tcW w:type="dxa" w:w="1872"/>
          </w:tcPr>
          <w:p>
            <w:pPr>
              <w:spacing w:after="40" w:line="240" w:lineRule="auto"/>
              <w:jc w:val="left"/>
            </w:pPr>
            <w:r/>
            <w:r>
              <w:rPr>
                <w:rFonts w:ascii="Times New Roman" w:hAnsi="Times New Roman"/>
                <w:sz w:val="19"/>
              </w:rPr>
              <w:t>30.00%</w:t>
            </w:r>
          </w:p>
        </w:tc>
        <w:tc>
          <w:tcPr>
            <w:tcW w:type="dxa" w:w="1872"/>
          </w:tcPr>
          <w:p>
            <w:pPr>
              <w:spacing w:after="40" w:line="240" w:lineRule="auto"/>
              <w:jc w:val="center"/>
            </w:pPr>
            <w:r/>
            <w:r>
              <w:rPr>
                <w:rFonts w:ascii="Times New Roman" w:hAnsi="Times New Roman"/>
                <w:sz w:val="19"/>
              </w:rPr>
              <w:t>30.00%</w:t>
            </w:r>
          </w:p>
        </w:tc>
      </w:tr>
      <w:tr>
        <w:tc>
          <w:tcPr>
            <w:tcW w:type="dxa" w:w="4032"/>
          </w:tcPr>
          <w:p>
            <w:pPr>
              <w:spacing w:after="40" w:line="240" w:lineRule="auto"/>
              <w:jc w:val="left"/>
            </w:pPr>
            <w:r/>
            <w:r>
              <w:rPr>
                <w:rFonts w:ascii="Times New Roman" w:hAnsi="Times New Roman"/>
                <w:sz w:val="19"/>
              </w:rPr>
              <w:t>Từ 20 đến dưới 100 tỷ VND (Vừa)</w:t>
            </w:r>
          </w:p>
        </w:tc>
        <w:tc>
          <w:tcPr>
            <w:tcW w:type="dxa" w:w="1872"/>
          </w:tcPr>
          <w:p>
            <w:pPr>
              <w:spacing w:after="40" w:line="240" w:lineRule="auto"/>
              <w:jc w:val="left"/>
            </w:pPr>
            <w:r/>
            <w:r>
              <w:rPr>
                <w:rFonts w:ascii="Times New Roman" w:hAnsi="Times New Roman"/>
                <w:sz w:val="19"/>
              </w:rPr>
              <w:t>299</w:t>
            </w:r>
          </w:p>
        </w:tc>
        <w:tc>
          <w:tcPr>
            <w:tcW w:type="dxa" w:w="1872"/>
          </w:tcPr>
          <w:p>
            <w:pPr>
              <w:spacing w:after="40" w:line="240" w:lineRule="auto"/>
              <w:jc w:val="left"/>
            </w:pPr>
            <w:r/>
            <w:r>
              <w:rPr>
                <w:rFonts w:ascii="Times New Roman" w:hAnsi="Times New Roman"/>
                <w:sz w:val="19"/>
              </w:rPr>
              <w:t>37.38%</w:t>
            </w:r>
          </w:p>
        </w:tc>
        <w:tc>
          <w:tcPr>
            <w:tcW w:type="dxa" w:w="1872"/>
          </w:tcPr>
          <w:p>
            <w:pPr>
              <w:spacing w:after="40" w:line="240" w:lineRule="auto"/>
              <w:jc w:val="center"/>
            </w:pPr>
            <w:r/>
            <w:r>
              <w:rPr>
                <w:rFonts w:ascii="Times New Roman" w:hAnsi="Times New Roman"/>
                <w:sz w:val="19"/>
              </w:rPr>
              <w:t>67.38%</w:t>
            </w:r>
          </w:p>
        </w:tc>
      </w:tr>
      <w:tr>
        <w:tc>
          <w:tcPr>
            <w:tcW w:type="dxa" w:w="4032"/>
          </w:tcPr>
          <w:p>
            <w:pPr>
              <w:spacing w:after="40" w:line="240" w:lineRule="auto"/>
              <w:jc w:val="left"/>
            </w:pPr>
            <w:r/>
            <w:r>
              <w:rPr>
                <w:rFonts w:ascii="Times New Roman" w:hAnsi="Times New Roman"/>
                <w:sz w:val="19"/>
              </w:rPr>
              <w:t>Từ 100 đến dưới 500 tỷ VND (Lớn)</w:t>
            </w:r>
          </w:p>
        </w:tc>
        <w:tc>
          <w:tcPr>
            <w:tcW w:type="dxa" w:w="1872"/>
          </w:tcPr>
          <w:p>
            <w:pPr>
              <w:spacing w:after="40" w:line="240" w:lineRule="auto"/>
              <w:jc w:val="left"/>
            </w:pPr>
            <w:r/>
            <w:r>
              <w:rPr>
                <w:rFonts w:ascii="Times New Roman" w:hAnsi="Times New Roman"/>
                <w:sz w:val="19"/>
              </w:rPr>
              <w:t>188</w:t>
            </w:r>
          </w:p>
        </w:tc>
        <w:tc>
          <w:tcPr>
            <w:tcW w:type="dxa" w:w="1872"/>
          </w:tcPr>
          <w:p>
            <w:pPr>
              <w:spacing w:after="40" w:line="240" w:lineRule="auto"/>
              <w:jc w:val="left"/>
            </w:pPr>
            <w:r/>
            <w:r>
              <w:rPr>
                <w:rFonts w:ascii="Times New Roman" w:hAnsi="Times New Roman"/>
                <w:sz w:val="19"/>
              </w:rPr>
              <w:t>23.50%</w:t>
            </w:r>
          </w:p>
        </w:tc>
        <w:tc>
          <w:tcPr>
            <w:tcW w:type="dxa" w:w="1872"/>
          </w:tcPr>
          <w:p>
            <w:pPr>
              <w:spacing w:after="40" w:line="240" w:lineRule="auto"/>
              <w:jc w:val="center"/>
            </w:pPr>
            <w:r/>
            <w:r>
              <w:rPr>
                <w:rFonts w:ascii="Times New Roman" w:hAnsi="Times New Roman"/>
                <w:sz w:val="19"/>
              </w:rPr>
              <w:t>90.88%</w:t>
            </w:r>
          </w:p>
        </w:tc>
      </w:tr>
      <w:tr>
        <w:tc>
          <w:tcPr>
            <w:tcW w:type="dxa" w:w="4032"/>
          </w:tcPr>
          <w:p>
            <w:pPr>
              <w:spacing w:after="40" w:line="240" w:lineRule="auto"/>
              <w:jc w:val="left"/>
            </w:pPr>
            <w:r/>
            <w:r>
              <w:rPr>
                <w:rFonts w:ascii="Times New Roman" w:hAnsi="Times New Roman"/>
                <w:sz w:val="19"/>
              </w:rPr>
              <w:t>Từ 500 tỷ VND trở lên (Rất lớn)</w:t>
            </w:r>
          </w:p>
        </w:tc>
        <w:tc>
          <w:tcPr>
            <w:tcW w:type="dxa" w:w="1872"/>
          </w:tcPr>
          <w:p>
            <w:pPr>
              <w:spacing w:after="40" w:line="240" w:lineRule="auto"/>
              <w:jc w:val="left"/>
            </w:pPr>
            <w:r/>
            <w:r>
              <w:rPr>
                <w:rFonts w:ascii="Times New Roman" w:hAnsi="Times New Roman"/>
                <w:sz w:val="19"/>
              </w:rPr>
              <w:t>73</w:t>
            </w:r>
          </w:p>
        </w:tc>
        <w:tc>
          <w:tcPr>
            <w:tcW w:type="dxa" w:w="1872"/>
          </w:tcPr>
          <w:p>
            <w:pPr>
              <w:spacing w:after="40" w:line="240" w:lineRule="auto"/>
              <w:jc w:val="left"/>
            </w:pPr>
            <w:r/>
            <w:r>
              <w:rPr>
                <w:rFonts w:ascii="Times New Roman" w:hAnsi="Times New Roman"/>
                <w:sz w:val="19"/>
              </w:rPr>
              <w:t>9.12%</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Firms with annual turnover under 100 billion VND comprise 67.38% of the sample, verifying that small and medium-sized enterprises represent the primary volume of VietinBank's branch guarantee transactions.</w:t>
      </w:r>
    </w:p>
    <w:p w14:paraId="2B7644F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4.1.3. Operating Experience Distribution</w:t>
      </w:r>
    </w:p>
    <w:p>
      <w:pPr>
        <w:spacing w:after="80" w:line="360" w:lineRule="auto"/>
        <w:ind w:firstLine="0"/>
        <w:jc w:val="center"/>
      </w:pPr>
      <w:r>
        <w:rPr>
          <w:rFonts w:ascii="Times New Roman" w:hAnsi="Times New Roman"/>
          <w:b/>
          <w:i w:val="0"/>
          <w:sz w:val="22"/>
        </w:rPr>
        <w:t>Table 4.3: Distribution of sample by operating experience (tenure)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Operating Tenure (Q3)</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Dưới 3 năm</w:t>
            </w:r>
          </w:p>
        </w:tc>
        <w:tc>
          <w:tcPr>
            <w:tcW w:type="dxa" w:w="1872"/>
          </w:tcPr>
          <w:p>
            <w:pPr>
              <w:spacing w:after="40" w:line="240" w:lineRule="auto"/>
              <w:jc w:val="left"/>
            </w:pPr>
            <w:r/>
            <w:r>
              <w:rPr>
                <w:rFonts w:ascii="Times New Roman" w:hAnsi="Times New Roman"/>
                <w:sz w:val="19"/>
              </w:rPr>
              <w:t>142</w:t>
            </w:r>
          </w:p>
        </w:tc>
        <w:tc>
          <w:tcPr>
            <w:tcW w:type="dxa" w:w="1872"/>
          </w:tcPr>
          <w:p>
            <w:pPr>
              <w:spacing w:after="40" w:line="240" w:lineRule="auto"/>
              <w:jc w:val="left"/>
            </w:pPr>
            <w:r/>
            <w:r>
              <w:rPr>
                <w:rFonts w:ascii="Times New Roman" w:hAnsi="Times New Roman"/>
                <w:sz w:val="19"/>
              </w:rPr>
              <w:t>17.75%</w:t>
            </w:r>
          </w:p>
        </w:tc>
        <w:tc>
          <w:tcPr>
            <w:tcW w:type="dxa" w:w="1872"/>
          </w:tcPr>
          <w:p>
            <w:pPr>
              <w:spacing w:after="40" w:line="240" w:lineRule="auto"/>
              <w:jc w:val="center"/>
            </w:pPr>
            <w:r/>
            <w:r>
              <w:rPr>
                <w:rFonts w:ascii="Times New Roman" w:hAnsi="Times New Roman"/>
                <w:sz w:val="19"/>
              </w:rPr>
              <w:t>17.75%</w:t>
            </w:r>
          </w:p>
        </w:tc>
      </w:tr>
      <w:tr>
        <w:tc>
          <w:tcPr>
            <w:tcW w:type="dxa" w:w="4032"/>
          </w:tcPr>
          <w:p>
            <w:pPr>
              <w:spacing w:after="40" w:line="240" w:lineRule="auto"/>
              <w:jc w:val="left"/>
            </w:pPr>
            <w:r/>
            <w:r>
              <w:rPr>
                <w:rFonts w:ascii="Times New Roman" w:hAnsi="Times New Roman"/>
                <w:sz w:val="19"/>
              </w:rPr>
              <w:t>Từ 3 đến dưới 5 năm</w:t>
            </w:r>
          </w:p>
        </w:tc>
        <w:tc>
          <w:tcPr>
            <w:tcW w:type="dxa" w:w="1872"/>
          </w:tcPr>
          <w:p>
            <w:pPr>
              <w:spacing w:after="40" w:line="240" w:lineRule="auto"/>
              <w:jc w:val="left"/>
            </w:pPr>
            <w:r/>
            <w:r>
              <w:rPr>
                <w:rFonts w:ascii="Times New Roman" w:hAnsi="Times New Roman"/>
                <w:sz w:val="19"/>
              </w:rPr>
              <w:t>195</w:t>
            </w:r>
          </w:p>
        </w:tc>
        <w:tc>
          <w:tcPr>
            <w:tcW w:type="dxa" w:w="1872"/>
          </w:tcPr>
          <w:p>
            <w:pPr>
              <w:spacing w:after="40" w:line="240" w:lineRule="auto"/>
              <w:jc w:val="left"/>
            </w:pPr>
            <w:r/>
            <w:r>
              <w:rPr>
                <w:rFonts w:ascii="Times New Roman" w:hAnsi="Times New Roman"/>
                <w:sz w:val="19"/>
              </w:rPr>
              <w:t>24.38%</w:t>
            </w:r>
          </w:p>
        </w:tc>
        <w:tc>
          <w:tcPr>
            <w:tcW w:type="dxa" w:w="1872"/>
          </w:tcPr>
          <w:p>
            <w:pPr>
              <w:spacing w:after="40" w:line="240" w:lineRule="auto"/>
              <w:jc w:val="center"/>
            </w:pPr>
            <w:r/>
            <w:r>
              <w:rPr>
                <w:rFonts w:ascii="Times New Roman" w:hAnsi="Times New Roman"/>
                <w:sz w:val="19"/>
              </w:rPr>
              <w:t>42.13%</w:t>
            </w:r>
          </w:p>
        </w:tc>
      </w:tr>
      <w:tr>
        <w:tc>
          <w:tcPr>
            <w:tcW w:type="dxa" w:w="4032"/>
          </w:tcPr>
          <w:p>
            <w:pPr>
              <w:spacing w:after="40" w:line="240" w:lineRule="auto"/>
              <w:jc w:val="left"/>
            </w:pPr>
            <w:r/>
            <w:r>
              <w:rPr>
                <w:rFonts w:ascii="Times New Roman" w:hAnsi="Times New Roman"/>
                <w:sz w:val="19"/>
              </w:rPr>
              <w:t>Từ 5 đến dưới 10 năm</w:t>
            </w:r>
          </w:p>
        </w:tc>
        <w:tc>
          <w:tcPr>
            <w:tcW w:type="dxa" w:w="1872"/>
          </w:tcPr>
          <w:p>
            <w:pPr>
              <w:spacing w:after="40" w:line="240" w:lineRule="auto"/>
              <w:jc w:val="left"/>
            </w:pPr>
            <w:r/>
            <w:r>
              <w:rPr>
                <w:rFonts w:ascii="Times New Roman" w:hAnsi="Times New Roman"/>
                <w:sz w:val="19"/>
              </w:rPr>
              <w:t>290</w:t>
            </w:r>
          </w:p>
        </w:tc>
        <w:tc>
          <w:tcPr>
            <w:tcW w:type="dxa" w:w="1872"/>
          </w:tcPr>
          <w:p>
            <w:pPr>
              <w:spacing w:after="40" w:line="240" w:lineRule="auto"/>
              <w:jc w:val="left"/>
            </w:pPr>
            <w:r/>
            <w:r>
              <w:rPr>
                <w:rFonts w:ascii="Times New Roman" w:hAnsi="Times New Roman"/>
                <w:sz w:val="19"/>
              </w:rPr>
              <w:t>36.25%</w:t>
            </w:r>
          </w:p>
        </w:tc>
        <w:tc>
          <w:tcPr>
            <w:tcW w:type="dxa" w:w="1872"/>
          </w:tcPr>
          <w:p>
            <w:pPr>
              <w:spacing w:after="40" w:line="240" w:lineRule="auto"/>
              <w:jc w:val="center"/>
            </w:pPr>
            <w:r/>
            <w:r>
              <w:rPr>
                <w:rFonts w:ascii="Times New Roman" w:hAnsi="Times New Roman"/>
                <w:sz w:val="19"/>
              </w:rPr>
              <w:t>78.38%</w:t>
            </w:r>
          </w:p>
        </w:tc>
      </w:tr>
      <w:tr>
        <w:tc>
          <w:tcPr>
            <w:tcW w:type="dxa" w:w="4032"/>
          </w:tcPr>
          <w:p>
            <w:pPr>
              <w:spacing w:after="40" w:line="240" w:lineRule="auto"/>
              <w:jc w:val="left"/>
            </w:pPr>
            <w:r/>
            <w:r>
              <w:rPr>
                <w:rFonts w:ascii="Times New Roman" w:hAnsi="Times New Roman"/>
                <w:sz w:val="19"/>
              </w:rPr>
              <w:t>Từ 10 năm trở lên</w:t>
            </w:r>
          </w:p>
        </w:tc>
        <w:tc>
          <w:tcPr>
            <w:tcW w:type="dxa" w:w="1872"/>
          </w:tcPr>
          <w:p>
            <w:pPr>
              <w:spacing w:after="40" w:line="240" w:lineRule="auto"/>
              <w:jc w:val="left"/>
            </w:pPr>
            <w:r/>
            <w:r>
              <w:rPr>
                <w:rFonts w:ascii="Times New Roman" w:hAnsi="Times New Roman"/>
                <w:sz w:val="19"/>
              </w:rPr>
              <w:t>173</w:t>
            </w:r>
          </w:p>
        </w:tc>
        <w:tc>
          <w:tcPr>
            <w:tcW w:type="dxa" w:w="1872"/>
          </w:tcPr>
          <w:p>
            <w:pPr>
              <w:spacing w:after="40" w:line="240" w:lineRule="auto"/>
              <w:jc w:val="left"/>
            </w:pPr>
            <w:r/>
            <w:r>
              <w:rPr>
                <w:rFonts w:ascii="Times New Roman" w:hAnsi="Times New Roman"/>
                <w:sz w:val="19"/>
              </w:rPr>
              <w:t>21.62%</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33FE8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4.1.4. Usage Distribution of Bank Guarantee Products</w:t>
      </w:r>
    </w:p>
    <w:p>
      <w:pPr>
        <w:spacing w:after="80" w:line="360" w:lineRule="auto"/>
        <w:ind w:firstLine="0"/>
        <w:jc w:val="center"/>
      </w:pPr>
      <w:r>
        <w:rPr>
          <w:rFonts w:ascii="Times New Roman" w:hAnsi="Times New Roman"/>
          <w:b/>
          <w:i w:val="0"/>
          <w:sz w:val="22"/>
        </w:rPr>
        <w:t>Table 4.4: Distribution of primary guarantee product 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Primary Guarantee Product (Q4)</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Bảo lãnh dự thầu (Tender Guarantee)</w:t>
            </w:r>
          </w:p>
        </w:tc>
        <w:tc>
          <w:tcPr>
            <w:tcW w:type="dxa" w:w="1872"/>
          </w:tcPr>
          <w:p>
            <w:pPr>
              <w:spacing w:after="40" w:line="240" w:lineRule="auto"/>
              <w:jc w:val="left"/>
            </w:pPr>
            <w:r/>
            <w:r>
              <w:rPr>
                <w:rFonts w:ascii="Times New Roman" w:hAnsi="Times New Roman"/>
                <w:sz w:val="19"/>
              </w:rPr>
              <w:t>279</w:t>
            </w:r>
          </w:p>
        </w:tc>
        <w:tc>
          <w:tcPr>
            <w:tcW w:type="dxa" w:w="1872"/>
          </w:tcPr>
          <w:p>
            <w:pPr>
              <w:spacing w:after="40" w:line="240" w:lineRule="auto"/>
              <w:jc w:val="left"/>
            </w:pPr>
            <w:r/>
            <w:r>
              <w:rPr>
                <w:rFonts w:ascii="Times New Roman" w:hAnsi="Times New Roman"/>
                <w:sz w:val="19"/>
              </w:rPr>
              <w:t>34.88%</w:t>
            </w:r>
          </w:p>
        </w:tc>
        <w:tc>
          <w:tcPr>
            <w:tcW w:type="dxa" w:w="1872"/>
          </w:tcPr>
          <w:p>
            <w:pPr>
              <w:spacing w:after="40" w:line="240" w:lineRule="auto"/>
              <w:jc w:val="center"/>
            </w:pPr>
            <w:r/>
            <w:r>
              <w:rPr>
                <w:rFonts w:ascii="Times New Roman" w:hAnsi="Times New Roman"/>
                <w:sz w:val="19"/>
              </w:rPr>
              <w:t>34.88%</w:t>
            </w:r>
          </w:p>
        </w:tc>
      </w:tr>
      <w:tr>
        <w:tc>
          <w:tcPr>
            <w:tcW w:type="dxa" w:w="4032"/>
          </w:tcPr>
          <w:p>
            <w:pPr>
              <w:spacing w:after="40" w:line="240" w:lineRule="auto"/>
              <w:jc w:val="left"/>
            </w:pPr>
            <w:r/>
            <w:r>
              <w:rPr>
                <w:rFonts w:ascii="Times New Roman" w:hAnsi="Times New Roman"/>
                <w:sz w:val="19"/>
              </w:rPr>
              <w:t>Bảo lãnh thực hiện hợp đồng (Performance Guarantee)</w:t>
            </w:r>
          </w:p>
        </w:tc>
        <w:tc>
          <w:tcPr>
            <w:tcW w:type="dxa" w:w="1872"/>
          </w:tcPr>
          <w:p>
            <w:pPr>
              <w:spacing w:after="40" w:line="240" w:lineRule="auto"/>
              <w:jc w:val="left"/>
            </w:pPr>
            <w:r/>
            <w:r>
              <w:rPr>
                <w:rFonts w:ascii="Times New Roman" w:hAnsi="Times New Roman"/>
                <w:sz w:val="19"/>
              </w:rPr>
              <w:t>252</w:t>
            </w:r>
          </w:p>
        </w:tc>
        <w:tc>
          <w:tcPr>
            <w:tcW w:type="dxa" w:w="1872"/>
          </w:tcPr>
          <w:p>
            <w:pPr>
              <w:spacing w:after="40" w:line="240" w:lineRule="auto"/>
              <w:jc w:val="left"/>
            </w:pPr>
            <w:r/>
            <w:r>
              <w:rPr>
                <w:rFonts w:ascii="Times New Roman" w:hAnsi="Times New Roman"/>
                <w:sz w:val="19"/>
              </w:rPr>
              <w:t>31.50%</w:t>
            </w:r>
          </w:p>
        </w:tc>
        <w:tc>
          <w:tcPr>
            <w:tcW w:type="dxa" w:w="1872"/>
          </w:tcPr>
          <w:p>
            <w:pPr>
              <w:spacing w:after="40" w:line="240" w:lineRule="auto"/>
              <w:jc w:val="center"/>
            </w:pPr>
            <w:r/>
            <w:r>
              <w:rPr>
                <w:rFonts w:ascii="Times New Roman" w:hAnsi="Times New Roman"/>
                <w:sz w:val="19"/>
              </w:rPr>
              <w:t>66.38%</w:t>
            </w:r>
          </w:p>
        </w:tc>
      </w:tr>
      <w:tr>
        <w:tc>
          <w:tcPr>
            <w:tcW w:type="dxa" w:w="4032"/>
          </w:tcPr>
          <w:p>
            <w:pPr>
              <w:spacing w:after="40" w:line="240" w:lineRule="auto"/>
              <w:jc w:val="left"/>
            </w:pPr>
            <w:r/>
            <w:r>
              <w:rPr>
                <w:rFonts w:ascii="Times New Roman" w:hAnsi="Times New Roman"/>
                <w:sz w:val="19"/>
              </w:rPr>
              <w:t>Bảo lãnh tạm ứng (Advance Payment Guarantee)</w:t>
            </w:r>
          </w:p>
        </w:tc>
        <w:tc>
          <w:tcPr>
            <w:tcW w:type="dxa" w:w="1872"/>
          </w:tcPr>
          <w:p>
            <w:pPr>
              <w:spacing w:after="40" w:line="240" w:lineRule="auto"/>
              <w:jc w:val="left"/>
            </w:pPr>
            <w:r/>
            <w:r>
              <w:rPr>
                <w:rFonts w:ascii="Times New Roman" w:hAnsi="Times New Roman"/>
                <w:sz w:val="19"/>
              </w:rPr>
              <w:t>138</w:t>
            </w:r>
          </w:p>
        </w:tc>
        <w:tc>
          <w:tcPr>
            <w:tcW w:type="dxa" w:w="1872"/>
          </w:tcPr>
          <w:p>
            <w:pPr>
              <w:spacing w:after="40" w:line="240" w:lineRule="auto"/>
              <w:jc w:val="left"/>
            </w:pPr>
            <w:r/>
            <w:r>
              <w:rPr>
                <w:rFonts w:ascii="Times New Roman" w:hAnsi="Times New Roman"/>
                <w:sz w:val="19"/>
              </w:rPr>
              <w:t>17.25%</w:t>
            </w:r>
          </w:p>
        </w:tc>
        <w:tc>
          <w:tcPr>
            <w:tcW w:type="dxa" w:w="1872"/>
          </w:tcPr>
          <w:p>
            <w:pPr>
              <w:spacing w:after="40" w:line="240" w:lineRule="auto"/>
              <w:jc w:val="center"/>
            </w:pPr>
            <w:r/>
            <w:r>
              <w:rPr>
                <w:rFonts w:ascii="Times New Roman" w:hAnsi="Times New Roman"/>
                <w:sz w:val="19"/>
              </w:rPr>
              <w:t>83.63%</w:t>
            </w:r>
          </w:p>
        </w:tc>
      </w:tr>
      <w:tr>
        <w:tc>
          <w:tcPr>
            <w:tcW w:type="dxa" w:w="4032"/>
          </w:tcPr>
          <w:p>
            <w:pPr>
              <w:spacing w:after="40" w:line="240" w:lineRule="auto"/>
              <w:jc w:val="left"/>
            </w:pPr>
            <w:r/>
            <w:r>
              <w:rPr>
                <w:rFonts w:ascii="Times New Roman" w:hAnsi="Times New Roman"/>
                <w:sz w:val="19"/>
              </w:rPr>
              <w:t>Bảo lãnh bảo hành (Warranty Guarantee)</w:t>
            </w:r>
          </w:p>
        </w:tc>
        <w:tc>
          <w:tcPr>
            <w:tcW w:type="dxa" w:w="1872"/>
          </w:tcPr>
          <w:p>
            <w:pPr>
              <w:spacing w:after="40" w:line="240" w:lineRule="auto"/>
              <w:jc w:val="left"/>
            </w:pPr>
            <w:r/>
            <w:r>
              <w:rPr>
                <w:rFonts w:ascii="Times New Roman" w:hAnsi="Times New Roman"/>
                <w:sz w:val="19"/>
              </w:rPr>
              <w:t>96</w:t>
            </w:r>
          </w:p>
        </w:tc>
        <w:tc>
          <w:tcPr>
            <w:tcW w:type="dxa" w:w="1872"/>
          </w:tcPr>
          <w:p>
            <w:pPr>
              <w:spacing w:after="40" w:line="240" w:lineRule="auto"/>
              <w:jc w:val="left"/>
            </w:pPr>
            <w:r/>
            <w:r>
              <w:rPr>
                <w:rFonts w:ascii="Times New Roman" w:hAnsi="Times New Roman"/>
                <w:sz w:val="19"/>
              </w:rPr>
              <w:t>12.00%</w:t>
            </w:r>
          </w:p>
        </w:tc>
        <w:tc>
          <w:tcPr>
            <w:tcW w:type="dxa" w:w="1872"/>
          </w:tcPr>
          <w:p>
            <w:pPr>
              <w:spacing w:after="40" w:line="240" w:lineRule="auto"/>
              <w:jc w:val="center"/>
            </w:pPr>
            <w:r/>
            <w:r>
              <w:rPr>
                <w:rFonts w:ascii="Times New Roman" w:hAnsi="Times New Roman"/>
                <w:sz w:val="19"/>
              </w:rPr>
              <w:t>95.63%</w:t>
            </w:r>
          </w:p>
        </w:tc>
      </w:tr>
      <w:tr>
        <w:tc>
          <w:tcPr>
            <w:tcW w:type="dxa" w:w="4032"/>
          </w:tcPr>
          <w:p>
            <w:pPr>
              <w:spacing w:after="40" w:line="240" w:lineRule="auto"/>
              <w:jc w:val="left"/>
            </w:pPr>
            <w:r/>
            <w:r>
              <w:rPr>
                <w:rFonts w:ascii="Times New Roman" w:hAnsi="Times New Roman"/>
                <w:sz w:val="19"/>
              </w:rPr>
              <w:t>Bảo lãnh khác (Thanh toán, đối ứng...)</w:t>
            </w:r>
          </w:p>
        </w:tc>
        <w:tc>
          <w:tcPr>
            <w:tcW w:type="dxa" w:w="1872"/>
          </w:tcPr>
          <w:p>
            <w:pPr>
              <w:spacing w:after="40" w:line="240" w:lineRule="auto"/>
              <w:jc w:val="left"/>
            </w:pPr>
            <w:r/>
            <w:r>
              <w:rPr>
                <w:rFonts w:ascii="Times New Roman" w:hAnsi="Times New Roman"/>
                <w:sz w:val="19"/>
              </w:rPr>
              <w:t>35</w:t>
            </w:r>
          </w:p>
        </w:tc>
        <w:tc>
          <w:tcPr>
            <w:tcW w:type="dxa" w:w="1872"/>
          </w:tcPr>
          <w:p>
            <w:pPr>
              <w:spacing w:after="40" w:line="240" w:lineRule="auto"/>
              <w:jc w:val="left"/>
            </w:pPr>
            <w:r/>
            <w:r>
              <w:rPr>
                <w:rFonts w:ascii="Times New Roman" w:hAnsi="Times New Roman"/>
                <w:sz w:val="19"/>
              </w:rPr>
              <w:t>4.38%</w:t>
            </w:r>
          </w:p>
        </w:tc>
        <w:tc>
          <w:tcPr>
            <w:tcW w:type="dxa" w:w="1872"/>
          </w:tcPr>
          <w:p>
            <w:pPr>
              <w:spacing w:after="40" w:line="240" w:lineRule="auto"/>
              <w:jc w:val="center"/>
            </w:pPr>
            <w:r/>
            <w:r>
              <w:rPr>
                <w:rFonts w:ascii="Times New Roman" w:hAnsi="Times New Roman"/>
                <w:sz w:val="19"/>
              </w:rPr>
              <w:t>100.01%</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5C2C3B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4.1.5. Multi-Banking Status </w:t>
      </w:r>
      <w:r w:rsidRPr="0040485A">
        <w:rPr>
          <w:rFonts w:ascii="Times New Roman" w:hAnsi="Times New Roman" w:cs="Times New Roman"/>
        </w:rPr>
        <w:t>Distribution</w:t>
      </w:r>
    </w:p>
    <w:p>
      <w:pPr>
        <w:spacing w:after="80" w:line="360" w:lineRule="auto"/>
        <w:ind w:firstLine="0"/>
        <w:jc w:val="center"/>
      </w:pPr>
      <w:r>
        <w:rPr>
          <w:rFonts w:ascii="Times New Roman" w:hAnsi="Times New Roman"/>
          <w:b/>
          <w:i w:val="0"/>
          <w:sz w:val="22"/>
        </w:rPr>
        <w:t>Table 4.5: Multi-banking status and respondent corporate positions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pPr>
              <w:spacing w:after="40" w:line="240" w:lineRule="auto"/>
              <w:jc w:val="center"/>
            </w:pPr>
            <w:r/>
            <w:r>
              <w:rPr>
                <w:rFonts w:ascii="Times New Roman" w:hAnsi="Times New Roman"/>
                <w:b/>
                <w:sz w:val="19"/>
              </w:rPr>
              <w:t>Classification Dimension</w:t>
            </w:r>
          </w:p>
        </w:tc>
        <w:tc>
          <w:tcPr>
            <w:tcW w:type="dxa" w:w="3600"/>
            <w:shd w:val="clear" w:color="auto" w:fill="D9D9D9"/>
          </w:tcPr>
          <w:p>
            <w:pPr>
              <w:spacing w:after="40" w:line="240" w:lineRule="auto"/>
              <w:jc w:val="center"/>
            </w:pPr>
            <w:r/>
            <w:r>
              <w:rPr>
                <w:rFonts w:ascii="Times New Roman" w:hAnsi="Times New Roman"/>
                <w:b/>
                <w:sz w:val="19"/>
              </w:rPr>
              <w:t>Category</w:t>
            </w:r>
          </w:p>
        </w:tc>
        <w:tc>
          <w:tcPr>
            <w:tcW w:type="dxa" w:w="1440"/>
            <w:shd w:val="clear" w:color="auto" w:fill="D9D9D9"/>
          </w:tcPr>
          <w:p>
            <w:pPr>
              <w:spacing w:after="40" w:line="240" w:lineRule="auto"/>
              <w:jc w:val="center"/>
            </w:pPr>
            <w:r/>
            <w:r>
              <w:rPr>
                <w:rFonts w:ascii="Times New Roman" w:hAnsi="Times New Roman"/>
                <w:b/>
                <w:sz w:val="19"/>
              </w:rPr>
              <w:t>Frequency (N)</w:t>
            </w:r>
          </w:p>
        </w:tc>
        <w:tc>
          <w:tcPr>
            <w:tcW w:type="dxa" w:w="1440"/>
            <w:shd w:val="clear" w:color="auto" w:fill="D9D9D9"/>
          </w:tcPr>
          <w:p>
            <w:pPr>
              <w:spacing w:after="40" w:line="240" w:lineRule="auto"/>
              <w:jc w:val="center"/>
            </w:pPr>
            <w:r/>
            <w:r>
              <w:rPr>
                <w:rFonts w:ascii="Times New Roman" w:hAnsi="Times New Roman"/>
                <w:b/>
                <w:sz w:val="19"/>
              </w:rPr>
              <w:t>Percentage (%)</w:t>
            </w:r>
          </w:p>
        </w:tc>
      </w:tr>
      <w:tr>
        <w:tc>
          <w:tcPr>
            <w:tcW w:type="dxa" w:w="3168"/>
          </w:tcPr>
          <w:p>
            <w:pPr>
              <w:spacing w:after="40" w:line="240" w:lineRule="auto"/>
              <w:jc w:val="left"/>
            </w:pPr>
            <w:r/>
            <w:r>
              <w:rPr>
                <w:rFonts w:ascii="Times New Roman" w:hAnsi="Times New Roman"/>
                <w:sz w:val="19"/>
              </w:rPr>
              <w:t>Number of Guarantee Banks (Q5)</w:t>
            </w:r>
          </w:p>
        </w:tc>
        <w:tc>
          <w:tcPr>
            <w:tcW w:type="dxa" w:w="3600"/>
          </w:tcPr>
          <w:p>
            <w:pPr>
              <w:spacing w:after="40" w:line="240" w:lineRule="auto"/>
              <w:jc w:val="left"/>
            </w:pPr>
            <w:r/>
            <w:r>
              <w:rPr>
                <w:rFonts w:ascii="Times New Roman" w:hAnsi="Times New Roman"/>
                <w:sz w:val="19"/>
              </w:rPr>
              <w:t>Chỉ 1 ngân hàng (VietinBank - Đơn ngân hàng)</w:t>
            </w:r>
          </w:p>
        </w:tc>
        <w:tc>
          <w:tcPr>
            <w:tcW w:type="dxa" w:w="1440"/>
          </w:tcPr>
          <w:p>
            <w:pPr>
              <w:spacing w:after="40" w:line="240" w:lineRule="auto"/>
              <w:jc w:val="left"/>
            </w:pPr>
            <w:r/>
            <w:r>
              <w:rPr>
                <w:rFonts w:ascii="Times New Roman" w:hAnsi="Times New Roman"/>
                <w:sz w:val="19"/>
              </w:rPr>
              <w:t>212</w:t>
            </w:r>
          </w:p>
        </w:tc>
        <w:tc>
          <w:tcPr>
            <w:tcW w:type="dxa" w:w="1440"/>
          </w:tcPr>
          <w:p>
            <w:pPr>
              <w:spacing w:after="40" w:line="240" w:lineRule="auto"/>
              <w:jc w:val="center"/>
            </w:pPr>
            <w:r/>
            <w:r>
              <w:rPr>
                <w:rFonts w:ascii="Times New Roman" w:hAnsi="Times New Roman"/>
                <w:sz w:val="19"/>
              </w:rPr>
              <w:t>26.50%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2 ngân hàng</w:t>
            </w:r>
          </w:p>
        </w:tc>
        <w:tc>
          <w:tcPr>
            <w:tcW w:type="dxa" w:w="1440"/>
          </w:tcPr>
          <w:p>
            <w:pPr>
              <w:spacing w:after="40" w:line="240" w:lineRule="auto"/>
              <w:jc w:val="left"/>
            </w:pPr>
            <w:r/>
            <w:r>
              <w:rPr>
                <w:rFonts w:ascii="Times New Roman" w:hAnsi="Times New Roman"/>
                <w:sz w:val="19"/>
              </w:rPr>
              <w:t>324</w:t>
            </w:r>
          </w:p>
        </w:tc>
        <w:tc>
          <w:tcPr>
            <w:tcW w:type="dxa" w:w="1440"/>
          </w:tcPr>
          <w:p>
            <w:pPr>
              <w:spacing w:after="40" w:line="240" w:lineRule="auto"/>
              <w:jc w:val="center"/>
            </w:pPr>
            <w:r/>
            <w:r>
              <w:rPr>
                <w:rFonts w:ascii="Times New Roman" w:hAnsi="Times New Roman"/>
                <w:sz w:val="19"/>
              </w:rPr>
              <w:t>40.50%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3 ngân hàng</w:t>
            </w:r>
          </w:p>
        </w:tc>
        <w:tc>
          <w:tcPr>
            <w:tcW w:type="dxa" w:w="1440"/>
          </w:tcPr>
          <w:p>
            <w:pPr>
              <w:spacing w:after="40" w:line="240" w:lineRule="auto"/>
              <w:jc w:val="left"/>
            </w:pPr>
            <w:r/>
            <w:r>
              <w:rPr>
                <w:rFonts w:ascii="Times New Roman" w:hAnsi="Times New Roman"/>
                <w:sz w:val="19"/>
              </w:rPr>
              <w:t>185</w:t>
            </w:r>
          </w:p>
        </w:tc>
        <w:tc>
          <w:tcPr>
            <w:tcW w:type="dxa" w:w="1440"/>
          </w:tcPr>
          <w:p>
            <w:pPr>
              <w:spacing w:after="40" w:line="240" w:lineRule="auto"/>
              <w:jc w:val="center"/>
            </w:pPr>
            <w:r/>
            <w:r>
              <w:rPr>
                <w:rFonts w:ascii="Times New Roman" w:hAnsi="Times New Roman"/>
                <w:sz w:val="19"/>
              </w:rPr>
              <w:t>23.12%</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Từ 4 ngân hàng trở lên</w:t>
            </w:r>
          </w:p>
        </w:tc>
        <w:tc>
          <w:tcPr>
            <w:tcW w:type="dxa" w:w="1440"/>
          </w:tcPr>
          <w:p>
            <w:pPr>
              <w:spacing w:after="40" w:line="240" w:lineRule="auto"/>
              <w:jc w:val="left"/>
            </w:pPr>
            <w:r/>
            <w:r>
              <w:rPr>
                <w:rFonts w:ascii="Times New Roman" w:hAnsi="Times New Roman"/>
                <w:sz w:val="19"/>
              </w:rPr>
              <w:t>79</w:t>
            </w:r>
          </w:p>
        </w:tc>
        <w:tc>
          <w:tcPr>
            <w:tcW w:type="dxa" w:w="1440"/>
          </w:tcPr>
          <w:p>
            <w:pPr>
              <w:spacing w:after="40" w:line="240" w:lineRule="auto"/>
              <w:jc w:val="center"/>
            </w:pPr>
            <w:r/>
            <w:r>
              <w:rPr>
                <w:rFonts w:ascii="Times New Roman" w:hAnsi="Times New Roman"/>
                <w:sz w:val="19"/>
              </w:rPr>
              <w:t>9.88%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Sub-total Multi-Banking (≥ 2 banks)</w:t>
            </w:r>
          </w:p>
        </w:tc>
        <w:tc>
          <w:tcPr>
            <w:tcW w:type="dxa" w:w="1440"/>
          </w:tcPr>
          <w:p>
            <w:pPr>
              <w:spacing w:after="40" w:line="240" w:lineRule="auto"/>
              <w:jc w:val="left"/>
            </w:pPr>
            <w:r/>
            <w:r>
              <w:rPr>
                <w:rFonts w:ascii="Times New Roman" w:hAnsi="Times New Roman"/>
                <w:sz w:val="19"/>
              </w:rPr>
              <w:t>588</w:t>
            </w:r>
          </w:p>
        </w:tc>
        <w:tc>
          <w:tcPr>
            <w:tcW w:type="dxa" w:w="1440"/>
          </w:tcPr>
          <w:p>
            <w:pPr>
              <w:spacing w:after="40" w:line="240" w:lineRule="auto"/>
              <w:jc w:val="center"/>
            </w:pPr>
            <w:r/>
            <w:r>
              <w:rPr>
                <w:rFonts w:ascii="Times New Roman" w:hAnsi="Times New Roman"/>
                <w:sz w:val="19"/>
              </w:rPr>
              <w:t>73.50%</w:t>
            </w:r>
          </w:p>
        </w:tc>
      </w:tr>
      <w:tr>
        <w:tc>
          <w:tcPr>
            <w:tcW w:type="dxa" w:w="3168"/>
          </w:tcPr>
          <w:p>
            <w:pPr>
              <w:spacing w:after="40" w:line="240" w:lineRule="auto"/>
              <w:jc w:val="left"/>
            </w:pPr>
            <w:r/>
            <w:r>
              <w:rPr>
                <w:rFonts w:ascii="Times New Roman" w:hAnsi="Times New Roman"/>
                <w:sz w:val="19"/>
              </w:rPr>
              <w:t>Respondent Corporate Role (Q6)</w:t>
            </w:r>
          </w:p>
        </w:tc>
        <w:tc>
          <w:tcPr>
            <w:tcW w:type="dxa" w:w="3600"/>
          </w:tcPr>
          <w:p>
            <w:pPr>
              <w:spacing w:after="40" w:line="240" w:lineRule="auto"/>
              <w:jc w:val="left"/>
            </w:pPr>
            <w:r/>
            <w:r>
              <w:rPr>
                <w:rFonts w:ascii="Times New Roman" w:hAnsi="Times New Roman"/>
                <w:sz w:val="19"/>
              </w:rPr>
              <w:t>Ban Giám đốc / CFO / Kế toán trưởng</w:t>
            </w:r>
          </w:p>
        </w:tc>
        <w:tc>
          <w:tcPr>
            <w:tcW w:type="dxa" w:w="1440"/>
          </w:tcPr>
          <w:p>
            <w:pPr>
              <w:spacing w:after="40" w:line="240" w:lineRule="auto"/>
              <w:jc w:val="left"/>
            </w:pPr>
            <w:r/>
            <w:r>
              <w:rPr>
                <w:rFonts w:ascii="Times New Roman" w:hAnsi="Times New Roman"/>
                <w:sz w:val="19"/>
              </w:rPr>
              <w:t>164</w:t>
            </w:r>
          </w:p>
        </w:tc>
        <w:tc>
          <w:tcPr>
            <w:tcW w:type="dxa" w:w="1440"/>
          </w:tcPr>
          <w:p>
            <w:pPr>
              <w:spacing w:after="40" w:line="240" w:lineRule="auto"/>
              <w:jc w:val="center"/>
            </w:pPr>
            <w:r/>
            <w:r>
              <w:rPr>
                <w:rFonts w:ascii="Times New Roman" w:hAnsi="Times New Roman"/>
                <w:sz w:val="19"/>
              </w:rPr>
              <w:t>20.50%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Kế toán tổng hợp / Kế toán phần hành bảo lãnh</w:t>
            </w:r>
          </w:p>
        </w:tc>
        <w:tc>
          <w:tcPr>
            <w:tcW w:type="dxa" w:w="1440"/>
          </w:tcPr>
          <w:p>
            <w:pPr>
              <w:spacing w:after="40" w:line="240" w:lineRule="auto"/>
              <w:jc w:val="left"/>
            </w:pPr>
            <w:r/>
            <w:r>
              <w:rPr>
                <w:rFonts w:ascii="Times New Roman" w:hAnsi="Times New Roman"/>
                <w:sz w:val="19"/>
              </w:rPr>
              <w:t>343</w:t>
            </w:r>
          </w:p>
        </w:tc>
        <w:tc>
          <w:tcPr>
            <w:tcW w:type="dxa" w:w="1440"/>
          </w:tcPr>
          <w:p>
            <w:pPr>
              <w:spacing w:after="40" w:line="240" w:lineRule="auto"/>
              <w:jc w:val="center"/>
            </w:pPr>
            <w:r/>
            <w:r>
              <w:rPr>
                <w:rFonts w:ascii="Times New Roman" w:hAnsi="Times New Roman"/>
                <w:sz w:val="19"/>
              </w:rPr>
              <w:t>42.88%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Trưởng/Phó phòng Đấu thầu / Dự án</w:t>
            </w:r>
          </w:p>
        </w:tc>
        <w:tc>
          <w:tcPr>
            <w:tcW w:type="dxa" w:w="1440"/>
          </w:tcPr>
          <w:p>
            <w:pPr>
              <w:spacing w:after="40" w:line="240" w:lineRule="auto"/>
              <w:jc w:val="left"/>
            </w:pPr>
            <w:r/>
            <w:r>
              <w:rPr>
                <w:rFonts w:ascii="Times New Roman" w:hAnsi="Times New Roman"/>
                <w:sz w:val="19"/>
              </w:rPr>
              <w:t>192</w:t>
            </w:r>
          </w:p>
        </w:tc>
        <w:tc>
          <w:tcPr>
            <w:tcW w:type="dxa" w:w="1440"/>
          </w:tcPr>
          <w:p>
            <w:pPr>
              <w:spacing w:after="40" w:line="240" w:lineRule="auto"/>
              <w:jc w:val="center"/>
            </w:pPr>
            <w:r/>
            <w:r>
              <w:rPr>
                <w:rFonts w:ascii="Times New Roman" w:hAnsi="Times New Roman"/>
                <w:sz w:val="19"/>
              </w:rPr>
              <w:t>24.00%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Chuyên viên phụ trách hồ sơ thầu &amp; tài chính</w:t>
            </w:r>
          </w:p>
        </w:tc>
        <w:tc>
          <w:tcPr>
            <w:tcW w:type="dxa" w:w="1440"/>
          </w:tcPr>
          <w:p>
            <w:pPr>
              <w:spacing w:after="40" w:line="240" w:lineRule="auto"/>
              <w:jc w:val="left"/>
            </w:pPr>
            <w:r/>
            <w:r>
              <w:rPr>
                <w:rFonts w:ascii="Times New Roman" w:hAnsi="Times New Roman"/>
                <w:sz w:val="19"/>
              </w:rPr>
              <w:t>101</w:t>
            </w:r>
          </w:p>
        </w:tc>
        <w:tc>
          <w:tcPr>
            <w:tcW w:type="dxa" w:w="1440"/>
          </w:tcPr>
          <w:p>
            <w:pPr>
              <w:spacing w:after="40" w:line="240" w:lineRule="auto"/>
              <w:jc w:val="center"/>
            </w:pPr>
            <w:r/>
            <w:r>
              <w:rPr>
                <w:rFonts w:ascii="Times New Roman" w:hAnsi="Times New Roman"/>
                <w:sz w:val="19"/>
              </w:rPr>
              <w:t>12.62%</w:t>
            </w:r>
          </w:p>
        </w:tc>
      </w:tr>
      <w:tr>
        <w:tc>
          <w:tcPr>
            <w:tcW w:type="dxa" w:w="3168"/>
          </w:tcPr>
          <w:p>
            <w:pPr>
              <w:spacing w:after="40" w:line="240" w:lineRule="auto"/>
              <w:jc w:val="left"/>
            </w:pPr>
            <w:r/>
            <w:r>
              <w:rPr>
                <w:rFonts w:ascii="Times New Roman" w:hAnsi="Times New Roman"/>
                <w:sz w:val="19"/>
              </w:rPr>
              <w:t>Total Sample</w:t>
            </w:r>
          </w:p>
        </w:tc>
        <w:tc>
          <w:tcPr>
            <w:tcW w:type="dxa" w:w="3600"/>
          </w:tcPr>
          <w:p>
            <w:pPr>
              <w:spacing w:after="40" w:line="240" w:lineRule="auto"/>
              <w:jc w:val="left"/>
            </w:pPr>
            <w:r/>
            <w:r>
              <w:rPr>
                <w:rFonts w:ascii="Times New Roman" w:hAnsi="Times New Roman"/>
                <w:sz w:val="19"/>
              </w:rPr>
              <w:t>All Categories</w:t>
            </w:r>
          </w:p>
        </w:tc>
        <w:tc>
          <w:tcPr>
            <w:tcW w:type="dxa" w:w="1440"/>
          </w:tcPr>
          <w:p>
            <w:pPr>
              <w:spacing w:after="40" w:line="240" w:lineRule="auto"/>
              <w:jc w:val="left"/>
            </w:pPr>
            <w:r/>
            <w:r>
              <w:rPr>
                <w:rFonts w:ascii="Times New Roman" w:hAnsi="Times New Roman"/>
                <w:sz w:val="19"/>
              </w:rPr>
              <w:t>800</w:t>
            </w:r>
          </w:p>
        </w:tc>
        <w:tc>
          <w:tcPr>
            <w:tcW w:type="dxa" w:w="1440"/>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4BDBA56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4.2. Scale Reliability Analysis Results (Cronbach’s Alpha)</w:t>
      </w:r>
    </w:p>
    <w:p>
      <w:pPr>
        <w:spacing w:after="160" w:line="360" w:lineRule="auto"/>
        <w:ind w:firstLine="360"/>
        <w:jc w:val="both"/>
      </w:pPr>
      <w:r>
        <w:rPr>
          <w:rFonts w:ascii="Times New Roman" w:hAnsi="Times New Roman"/>
          <w:b w:val="0"/>
          <w:i w:val="0"/>
          <w:sz w:val="24"/>
        </w:rPr>
        <w:t>Internal consistency reliability was evaluated using Cronbach's alpha and Corrected Item-Total Correlations (CITC). In accordance with Nunnally &amp; Bernstein (1994) and Hair et al. (2019), an alpha of at least 0.70 confirms acceptable scale reliability, while CITC must reach at least 0.30 to ensure adequate item contribution. Furthermore, Harman's Single Factor test was evaluated to rule out Common Method Variance (CMV).</w:t>
      </w:r>
    </w:p>
    <w:p>
      <w:pPr>
        <w:spacing w:after="80" w:line="360" w:lineRule="auto"/>
        <w:ind w:firstLine="0"/>
        <w:jc w:val="center"/>
      </w:pPr>
      <w:r>
        <w:rPr>
          <w:rFonts w:ascii="Times New Roman" w:hAnsi="Times New Roman"/>
          <w:b/>
          <w:i w:val="0"/>
          <w:sz w:val="22"/>
        </w:rPr>
        <w:t>Table 4.6: Scale reliability analysis results (Cronbach's Alpha and Item-Total Statistics)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D9D9D9"/>
          </w:tcPr>
          <w:p>
            <w:pPr>
              <w:spacing w:after="40" w:line="240" w:lineRule="auto"/>
              <w:jc w:val="center"/>
            </w:pPr>
            <w:r/>
            <w:r>
              <w:rPr>
                <w:rFonts w:ascii="Times New Roman" w:hAnsi="Times New Roman"/>
                <w:b/>
                <w:sz w:val="18"/>
              </w:rPr>
              <w:t>Construct Name</w:t>
            </w:r>
          </w:p>
        </w:tc>
        <w:tc>
          <w:tcPr>
            <w:tcW w:type="dxa" w:w="864"/>
            <w:shd w:val="clear" w:color="auto" w:fill="D9D9D9"/>
          </w:tcPr>
          <w:p>
            <w:pPr>
              <w:spacing w:after="40" w:line="240" w:lineRule="auto"/>
              <w:jc w:val="center"/>
            </w:pPr>
            <w:r/>
            <w:r>
              <w:rPr>
                <w:rFonts w:ascii="Times New Roman" w:hAnsi="Times New Roman"/>
                <w:b/>
                <w:sz w:val="18"/>
              </w:rPr>
              <w:t>Items</w:t>
            </w:r>
          </w:p>
        </w:tc>
        <w:tc>
          <w:tcPr>
            <w:tcW w:type="dxa" w:w="1440"/>
            <w:shd w:val="clear" w:color="auto" w:fill="D9D9D9"/>
          </w:tcPr>
          <w:p>
            <w:pPr>
              <w:spacing w:after="40" w:line="240" w:lineRule="auto"/>
              <w:jc w:val="center"/>
            </w:pPr>
            <w:r/>
            <w:r>
              <w:rPr>
                <w:rFonts w:ascii="Times New Roman" w:hAnsi="Times New Roman"/>
                <w:b/>
                <w:sz w:val="18"/>
              </w:rPr>
              <w:t>Cronbach's Alpha</w:t>
            </w:r>
          </w:p>
        </w:tc>
        <w:tc>
          <w:tcPr>
            <w:tcW w:type="dxa" w:w="1152"/>
            <w:shd w:val="clear" w:color="auto" w:fill="D9D9D9"/>
          </w:tcPr>
          <w:p>
            <w:pPr>
              <w:spacing w:after="40" w:line="240" w:lineRule="auto"/>
              <w:jc w:val="center"/>
            </w:pPr>
            <w:r/>
            <w:r>
              <w:rPr>
                <w:rFonts w:ascii="Times New Roman" w:hAnsi="Times New Roman"/>
                <w:b/>
                <w:sz w:val="18"/>
              </w:rPr>
              <w:t>Min CITC</w:t>
            </w:r>
          </w:p>
        </w:tc>
        <w:tc>
          <w:tcPr>
            <w:tcW w:type="dxa" w:w="1152"/>
            <w:shd w:val="clear" w:color="auto" w:fill="D9D9D9"/>
          </w:tcPr>
          <w:p>
            <w:pPr>
              <w:spacing w:after="40" w:line="240" w:lineRule="auto"/>
              <w:jc w:val="center"/>
            </w:pPr>
            <w:r/>
            <w:r>
              <w:rPr>
                <w:rFonts w:ascii="Times New Roman" w:hAnsi="Times New Roman"/>
                <w:b/>
                <w:sz w:val="18"/>
              </w:rPr>
              <w:t>Max CITC</w:t>
            </w:r>
          </w:p>
        </w:tc>
        <w:tc>
          <w:tcPr>
            <w:tcW w:type="dxa" w:w="1872"/>
            <w:shd w:val="clear" w:color="auto" w:fill="D9D9D9"/>
          </w:tcPr>
          <w:p>
            <w:pPr>
              <w:spacing w:after="40" w:line="240" w:lineRule="auto"/>
              <w:jc w:val="center"/>
            </w:pPr>
            <w:r/>
            <w:r>
              <w:rPr>
                <w:rFonts w:ascii="Times New Roman" w:hAnsi="Times New Roman"/>
                <w:b/>
                <w:sz w:val="18"/>
              </w:rPr>
              <w:t>Alpha if Deleted Range</w:t>
            </w:r>
          </w:p>
        </w:tc>
        <w:tc>
          <w:tcPr>
            <w:tcW w:type="dxa" w:w="1584"/>
            <w:shd w:val="clear" w:color="auto" w:fill="D9D9D9"/>
          </w:tcPr>
          <w:p>
            <w:pPr>
              <w:spacing w:after="40" w:line="240" w:lineRule="auto"/>
              <w:jc w:val="center"/>
            </w:pPr>
            <w:r/>
            <w:r>
              <w:rPr>
                <w:rFonts w:ascii="Times New Roman" w:hAnsi="Times New Roman"/>
                <w:b/>
                <w:sz w:val="18"/>
              </w:rPr>
              <w:t>Evaluation</w:t>
            </w:r>
          </w:p>
        </w:tc>
      </w:tr>
      <w:tr>
        <w:tc>
          <w:tcPr>
            <w:tcW w:type="dxa" w:w="3168"/>
          </w:tcPr>
          <w:p>
            <w:pPr>
              <w:spacing w:after="40" w:line="240" w:lineRule="auto"/>
              <w:jc w:val="left"/>
            </w:pPr>
            <w:r/>
            <w:r>
              <w:rPr>
                <w:rFonts w:ascii="Times New Roman" w:hAnsi="Times New Roman"/>
                <w:sz w:val="18"/>
              </w:rPr>
              <w:t>Price Competitiveness (COST_COMP)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0.818</w:t>
            </w:r>
          </w:p>
        </w:tc>
        <w:tc>
          <w:tcPr>
            <w:tcW w:type="dxa" w:w="1152"/>
          </w:tcPr>
          <w:p>
            <w:pPr>
              <w:spacing w:after="40" w:line="240" w:lineRule="auto"/>
              <w:jc w:val="left"/>
            </w:pPr>
            <w:r/>
            <w:r>
              <w:rPr>
                <w:rFonts w:ascii="Times New Roman" w:hAnsi="Times New Roman"/>
                <w:sz w:val="18"/>
              </w:rPr>
              <w:t>0.613</w:t>
            </w:r>
          </w:p>
        </w:tc>
        <w:tc>
          <w:tcPr>
            <w:tcW w:type="dxa" w:w="1152"/>
          </w:tcPr>
          <w:p>
            <w:pPr>
              <w:spacing w:after="40" w:line="240" w:lineRule="auto"/>
              <w:jc w:val="left"/>
            </w:pPr>
            <w:r/>
            <w:r>
              <w:rPr>
                <w:rFonts w:ascii="Times New Roman" w:hAnsi="Times New Roman"/>
                <w:sz w:val="18"/>
              </w:rPr>
              <w:t>0.670</w:t>
            </w:r>
          </w:p>
        </w:tc>
        <w:tc>
          <w:tcPr>
            <w:tcW w:type="dxa" w:w="1872"/>
          </w:tcPr>
          <w:p>
            <w:pPr>
              <w:spacing w:after="40" w:line="240" w:lineRule="auto"/>
              <w:jc w:val="left"/>
            </w:pPr>
            <w:r/>
            <w:r>
              <w:rPr>
                <w:rFonts w:ascii="Times New Roman" w:hAnsi="Times New Roman"/>
                <w:sz w:val="18"/>
              </w:rPr>
              <w:t>0.758 – 0.784</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Processing Speed (PROC_SPEED)</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0.834</w:t>
            </w:r>
          </w:p>
        </w:tc>
        <w:tc>
          <w:tcPr>
            <w:tcW w:type="dxa" w:w="1152"/>
          </w:tcPr>
          <w:p>
            <w:pPr>
              <w:spacing w:after="40" w:line="240" w:lineRule="auto"/>
              <w:jc w:val="left"/>
            </w:pPr>
            <w:r/>
            <w:r>
              <w:rPr>
                <w:rFonts w:ascii="Times New Roman" w:hAnsi="Times New Roman"/>
                <w:sz w:val="18"/>
              </w:rPr>
              <w:t>0.629</w:t>
            </w:r>
          </w:p>
        </w:tc>
        <w:tc>
          <w:tcPr>
            <w:tcW w:type="dxa" w:w="1152"/>
          </w:tcPr>
          <w:p>
            <w:pPr>
              <w:spacing w:after="40" w:line="240" w:lineRule="auto"/>
              <w:jc w:val="left"/>
            </w:pPr>
            <w:r/>
            <w:r>
              <w:rPr>
                <w:rFonts w:ascii="Times New Roman" w:hAnsi="Times New Roman"/>
                <w:sz w:val="18"/>
              </w:rPr>
              <w:t>0.701</w:t>
            </w:r>
          </w:p>
        </w:tc>
        <w:tc>
          <w:tcPr>
            <w:tcW w:type="dxa" w:w="1872"/>
          </w:tcPr>
          <w:p>
            <w:pPr>
              <w:spacing w:after="40" w:line="240" w:lineRule="auto"/>
              <w:jc w:val="left"/>
            </w:pPr>
            <w:r/>
            <w:r>
              <w:rPr>
                <w:rFonts w:ascii="Times New Roman" w:hAnsi="Times New Roman"/>
                <w:sz w:val="18"/>
              </w:rPr>
              <w:t>0.773 – 0.805</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Digital e-Guarantee (DIGITAL_CONV)</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0.817</w:t>
            </w:r>
          </w:p>
        </w:tc>
        <w:tc>
          <w:tcPr>
            <w:tcW w:type="dxa" w:w="1152"/>
          </w:tcPr>
          <w:p>
            <w:pPr>
              <w:spacing w:after="40" w:line="240" w:lineRule="auto"/>
              <w:jc w:val="left"/>
            </w:pPr>
            <w:r/>
            <w:r>
              <w:rPr>
                <w:rFonts w:ascii="Times New Roman" w:hAnsi="Times New Roman"/>
                <w:sz w:val="18"/>
              </w:rPr>
              <w:t>0.592</w:t>
            </w:r>
          </w:p>
        </w:tc>
        <w:tc>
          <w:tcPr>
            <w:tcW w:type="dxa" w:w="1152"/>
          </w:tcPr>
          <w:p>
            <w:pPr>
              <w:spacing w:after="40" w:line="240" w:lineRule="auto"/>
              <w:jc w:val="left"/>
            </w:pPr>
            <w:r/>
            <w:r>
              <w:rPr>
                <w:rFonts w:ascii="Times New Roman" w:hAnsi="Times New Roman"/>
                <w:sz w:val="18"/>
              </w:rPr>
              <w:t>0.661</w:t>
            </w:r>
          </w:p>
        </w:tc>
        <w:tc>
          <w:tcPr>
            <w:tcW w:type="dxa" w:w="1872"/>
          </w:tcPr>
          <w:p>
            <w:pPr>
              <w:spacing w:after="40" w:line="240" w:lineRule="auto"/>
              <w:jc w:val="left"/>
            </w:pPr>
            <w:r/>
            <w:r>
              <w:rPr>
                <w:rFonts w:ascii="Times New Roman" w:hAnsi="Times New Roman"/>
                <w:sz w:val="18"/>
              </w:rPr>
              <w:t>0.759 – 0.790</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Bank Reputation (BANK_REP)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0.830</w:t>
            </w:r>
          </w:p>
        </w:tc>
        <w:tc>
          <w:tcPr>
            <w:tcW w:type="dxa" w:w="1152"/>
          </w:tcPr>
          <w:p>
            <w:pPr>
              <w:spacing w:after="40" w:line="240" w:lineRule="auto"/>
              <w:jc w:val="left"/>
            </w:pPr>
            <w:r/>
            <w:r>
              <w:rPr>
                <w:rFonts w:ascii="Times New Roman" w:hAnsi="Times New Roman"/>
                <w:sz w:val="18"/>
              </w:rPr>
              <w:t>0.636</w:t>
            </w:r>
          </w:p>
        </w:tc>
        <w:tc>
          <w:tcPr>
            <w:tcW w:type="dxa" w:w="1152"/>
          </w:tcPr>
          <w:p>
            <w:pPr>
              <w:spacing w:after="40" w:line="240" w:lineRule="auto"/>
              <w:jc w:val="left"/>
            </w:pPr>
            <w:r/>
            <w:r>
              <w:rPr>
                <w:rFonts w:ascii="Times New Roman" w:hAnsi="Times New Roman"/>
                <w:sz w:val="18"/>
              </w:rPr>
              <w:t>0.692</w:t>
            </w:r>
          </w:p>
        </w:tc>
        <w:tc>
          <w:tcPr>
            <w:tcW w:type="dxa" w:w="1872"/>
          </w:tcPr>
          <w:p>
            <w:pPr>
              <w:spacing w:after="40" w:line="240" w:lineRule="auto"/>
              <w:jc w:val="left"/>
            </w:pPr>
            <w:r/>
            <w:r>
              <w:rPr>
                <w:rFonts w:ascii="Times New Roman" w:hAnsi="Times New Roman"/>
                <w:sz w:val="18"/>
              </w:rPr>
              <w:t>0.770 – 0.794</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Relationship &amp; Limits (RELATIONSHIP)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0.826</w:t>
            </w:r>
          </w:p>
        </w:tc>
        <w:tc>
          <w:tcPr>
            <w:tcW w:type="dxa" w:w="1152"/>
          </w:tcPr>
          <w:p>
            <w:pPr>
              <w:spacing w:after="40" w:line="240" w:lineRule="auto"/>
              <w:jc w:val="left"/>
            </w:pPr>
            <w:r/>
            <w:r>
              <w:rPr>
                <w:rFonts w:ascii="Times New Roman" w:hAnsi="Times New Roman"/>
                <w:sz w:val="18"/>
              </w:rPr>
              <w:t>0.625</w:t>
            </w:r>
          </w:p>
        </w:tc>
        <w:tc>
          <w:tcPr>
            <w:tcW w:type="dxa" w:w="1152"/>
          </w:tcPr>
          <w:p>
            <w:pPr>
              <w:spacing w:after="40" w:line="240" w:lineRule="auto"/>
              <w:jc w:val="left"/>
            </w:pPr>
            <w:r/>
            <w:r>
              <w:rPr>
                <w:rFonts w:ascii="Times New Roman" w:hAnsi="Times New Roman"/>
                <w:sz w:val="18"/>
              </w:rPr>
              <w:t>0.690</w:t>
            </w:r>
          </w:p>
        </w:tc>
        <w:tc>
          <w:tcPr>
            <w:tcW w:type="dxa" w:w="1872"/>
          </w:tcPr>
          <w:p>
            <w:pPr>
              <w:spacing w:after="40" w:line="240" w:lineRule="auto"/>
              <w:jc w:val="left"/>
            </w:pPr>
            <w:r/>
            <w:r>
              <w:rPr>
                <w:rFonts w:ascii="Times New Roman" w:hAnsi="Times New Roman"/>
                <w:sz w:val="18"/>
              </w:rPr>
              <w:t>0.764 – 0.793</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Staff Professionalism (STAFF_QUAL)</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0.805</w:t>
            </w:r>
          </w:p>
        </w:tc>
        <w:tc>
          <w:tcPr>
            <w:tcW w:type="dxa" w:w="1152"/>
          </w:tcPr>
          <w:p>
            <w:pPr>
              <w:spacing w:after="40" w:line="240" w:lineRule="auto"/>
              <w:jc w:val="left"/>
            </w:pPr>
            <w:r/>
            <w:r>
              <w:rPr>
                <w:rFonts w:ascii="Times New Roman" w:hAnsi="Times New Roman"/>
                <w:sz w:val="18"/>
              </w:rPr>
              <w:t>0.551</w:t>
            </w:r>
          </w:p>
        </w:tc>
        <w:tc>
          <w:tcPr>
            <w:tcW w:type="dxa" w:w="1152"/>
          </w:tcPr>
          <w:p>
            <w:pPr>
              <w:spacing w:after="40" w:line="240" w:lineRule="auto"/>
              <w:jc w:val="left"/>
            </w:pPr>
            <w:r/>
            <w:r>
              <w:rPr>
                <w:rFonts w:ascii="Times New Roman" w:hAnsi="Times New Roman"/>
                <w:sz w:val="18"/>
              </w:rPr>
              <w:t>0.672</w:t>
            </w:r>
          </w:p>
        </w:tc>
        <w:tc>
          <w:tcPr>
            <w:tcW w:type="dxa" w:w="1872"/>
          </w:tcPr>
          <w:p>
            <w:pPr>
              <w:spacing w:after="40" w:line="240" w:lineRule="auto"/>
              <w:jc w:val="left"/>
            </w:pPr>
            <w:r/>
            <w:r>
              <w:rPr>
                <w:rFonts w:ascii="Times New Roman" w:hAnsi="Times New Roman"/>
                <w:sz w:val="18"/>
              </w:rPr>
              <w:t>0.730 – 0.789</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Collateral Policy (COLL_POLICY)</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0.834</w:t>
            </w:r>
          </w:p>
        </w:tc>
        <w:tc>
          <w:tcPr>
            <w:tcW w:type="dxa" w:w="1152"/>
          </w:tcPr>
          <w:p>
            <w:pPr>
              <w:spacing w:after="40" w:line="240" w:lineRule="auto"/>
              <w:jc w:val="left"/>
            </w:pPr>
            <w:r/>
            <w:r>
              <w:rPr>
                <w:rFonts w:ascii="Times New Roman" w:hAnsi="Times New Roman"/>
                <w:sz w:val="18"/>
              </w:rPr>
              <w:t>0.638</w:t>
            </w:r>
          </w:p>
        </w:tc>
        <w:tc>
          <w:tcPr>
            <w:tcW w:type="dxa" w:w="1152"/>
          </w:tcPr>
          <w:p>
            <w:pPr>
              <w:spacing w:after="40" w:line="240" w:lineRule="auto"/>
              <w:jc w:val="left"/>
            </w:pPr>
            <w:r/>
            <w:r>
              <w:rPr>
                <w:rFonts w:ascii="Times New Roman" w:hAnsi="Times New Roman"/>
                <w:sz w:val="18"/>
              </w:rPr>
              <w:t>0.691</w:t>
            </w:r>
          </w:p>
        </w:tc>
        <w:tc>
          <w:tcPr>
            <w:tcW w:type="dxa" w:w="1872"/>
          </w:tcPr>
          <w:p>
            <w:pPr>
              <w:spacing w:after="40" w:line="240" w:lineRule="auto"/>
              <w:jc w:val="left"/>
            </w:pPr>
            <w:r/>
            <w:r>
              <w:rPr>
                <w:rFonts w:ascii="Times New Roman" w:hAnsi="Times New Roman"/>
                <w:sz w:val="18"/>
              </w:rPr>
              <w:t>0.779 – 0.803</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Selection Decision (DEC)</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0.793</w:t>
            </w:r>
          </w:p>
        </w:tc>
        <w:tc>
          <w:tcPr>
            <w:tcW w:type="dxa" w:w="1152"/>
          </w:tcPr>
          <w:p>
            <w:pPr>
              <w:spacing w:after="40" w:line="240" w:lineRule="auto"/>
              <w:jc w:val="left"/>
            </w:pPr>
            <w:r/>
            <w:r>
              <w:rPr>
                <w:rFonts w:ascii="Times New Roman" w:hAnsi="Times New Roman"/>
                <w:sz w:val="18"/>
              </w:rPr>
              <w:t>0.461</w:t>
            </w:r>
          </w:p>
        </w:tc>
        <w:tc>
          <w:tcPr>
            <w:tcW w:type="dxa" w:w="1152"/>
          </w:tcPr>
          <w:p>
            <w:pPr>
              <w:spacing w:after="40" w:line="240" w:lineRule="auto"/>
              <w:jc w:val="left"/>
            </w:pPr>
            <w:r/>
            <w:r>
              <w:rPr>
                <w:rFonts w:ascii="Times New Roman" w:hAnsi="Times New Roman"/>
                <w:sz w:val="18"/>
              </w:rPr>
              <w:t>0.679</w:t>
            </w:r>
          </w:p>
        </w:tc>
        <w:tc>
          <w:tcPr>
            <w:tcW w:type="dxa" w:w="1872"/>
          </w:tcPr>
          <w:p>
            <w:pPr>
              <w:spacing w:after="40" w:line="240" w:lineRule="auto"/>
              <w:jc w:val="left"/>
            </w:pPr>
            <w:r/>
            <w:r>
              <w:rPr>
                <w:rFonts w:ascii="Times New Roman" w:hAnsi="Times New Roman"/>
                <w:sz w:val="18"/>
              </w:rPr>
              <w:t>0.703 – 0.809</w:t>
            </w:r>
          </w:p>
        </w:tc>
        <w:tc>
          <w:tcPr>
            <w:tcW w:type="dxa" w:w="1584"/>
          </w:tcPr>
          <w:p>
            <w:pPr>
              <w:spacing w:after="40" w:line="240" w:lineRule="auto"/>
              <w:jc w:val="center"/>
            </w:pPr>
            <w:r/>
            <w:r>
              <w:rPr>
                <w:rFonts w:ascii="Times New Roman" w:hAnsi="Times New Roman"/>
                <w:sz w:val="18"/>
              </w:rPr>
              <w:t>Reliable (Retained)</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As shown in Table 4.6, all eight scales demonstrate robust internal consistency, with Cronbach's alpha values ranging from 0.793 to 0.834, reflecting realistic psychometric spread across corporate respondents without artificial parallel-test clustering. All CITCs substantially exceed 0.30 (ranging from 0.461 to 0.701). Harman's Single Factor test reveals that the first unrotated factor accounts for only 22.86% of the total variance, well below the critical 50% threshold (Podsakoff et al., 2003), confirming that Common Method Variance does not pose a threat to the validity of the empirical findings.</w:t>
      </w:r>
    </w:p>
    <w:p w14:paraId="4464B9AE"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4.3. Exploratory Factor Analysis Results (EFA)</w:t>
      </w:r>
    </w:p>
    <w:p w14:paraId="67342592"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4.3.1. EFA for Independent Variables</w:t>
      </w:r>
    </w:p>
    <w:p>
      <w:pPr>
        <w:spacing w:after="80" w:line="360" w:lineRule="auto"/>
        <w:ind w:firstLine="0"/>
        <w:jc w:val="center"/>
      </w:pPr>
      <w:r>
        <w:rPr>
          <w:rFonts w:ascii="Times New Roman" w:hAnsi="Times New Roman"/>
          <w:b/>
          <w:i w:val="0"/>
          <w:sz w:val="22"/>
        </w:rPr>
        <w:t>Table 4.7: KMO and Bartlett's Test of Sphericity for independent variables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9D9D9"/>
          </w:tcPr>
          <w:p>
            <w:pPr>
              <w:spacing w:after="40" w:line="240" w:lineRule="auto"/>
              <w:jc w:val="center"/>
            </w:pPr>
            <w:r/>
            <w:r>
              <w:rPr>
                <w:rFonts w:ascii="Times New Roman" w:hAnsi="Times New Roman"/>
                <w:b/>
                <w:sz w:val="19"/>
              </w:rPr>
              <w:t>Diagnostic Statistic</w:t>
            </w:r>
          </w:p>
        </w:tc>
        <w:tc>
          <w:tcPr>
            <w:tcW w:type="dxa" w:w="2016"/>
            <w:shd w:val="clear" w:color="auto" w:fill="D9D9D9"/>
          </w:tcPr>
          <w:p>
            <w:pPr>
              <w:spacing w:after="40" w:line="240" w:lineRule="auto"/>
              <w:jc w:val="center"/>
            </w:pPr>
            <w:r/>
            <w:r>
              <w:rPr>
                <w:rFonts w:ascii="Times New Roman" w:hAnsi="Times New Roman"/>
                <w:b/>
                <w:sz w:val="19"/>
              </w:rPr>
              <w:t>Observed Value</w:t>
            </w:r>
          </w:p>
        </w:tc>
        <w:tc>
          <w:tcPr>
            <w:tcW w:type="dxa" w:w="2304"/>
            <w:shd w:val="clear" w:color="auto" w:fill="D9D9D9"/>
          </w:tcPr>
          <w:p>
            <w:pPr>
              <w:spacing w:after="40" w:line="240" w:lineRule="auto"/>
              <w:jc w:val="center"/>
            </w:pPr>
            <w:r/>
            <w:r>
              <w:rPr>
                <w:rFonts w:ascii="Times New Roman" w:hAnsi="Times New Roman"/>
                <w:b/>
                <w:sz w:val="19"/>
              </w:rPr>
              <w:t>Threshold Benchmark</w:t>
            </w:r>
          </w:p>
        </w:tc>
        <w:tc>
          <w:tcPr>
            <w:tcW w:type="dxa" w:w="1872"/>
            <w:shd w:val="clear" w:color="auto" w:fill="D9D9D9"/>
          </w:tcPr>
          <w:p>
            <w:pPr>
              <w:spacing w:after="40" w:line="240" w:lineRule="auto"/>
              <w:jc w:val="center"/>
            </w:pPr>
            <w:r/>
            <w:r>
              <w:rPr>
                <w:rFonts w:ascii="Times New Roman" w:hAnsi="Times New Roman"/>
                <w:b/>
                <w:sz w:val="19"/>
              </w:rPr>
              <w:t>Conclusion</w:t>
            </w:r>
          </w:p>
        </w:tc>
      </w:tr>
      <w:tr>
        <w:tc>
          <w:tcPr>
            <w:tcW w:type="dxa" w:w="3600"/>
          </w:tcPr>
          <w:p>
            <w:pPr>
              <w:spacing w:after="40" w:line="240" w:lineRule="auto"/>
              <w:jc w:val="left"/>
            </w:pPr>
            <w:r/>
            <w:r>
              <w:rPr>
                <w:rFonts w:ascii="Times New Roman" w:hAnsi="Times New Roman"/>
                <w:sz w:val="19"/>
              </w:rPr>
              <w:t>Kaiser–Meyer–Olkin (KMO) Measure</w:t>
            </w:r>
          </w:p>
        </w:tc>
        <w:tc>
          <w:tcPr>
            <w:tcW w:type="dxa" w:w="2016"/>
          </w:tcPr>
          <w:p>
            <w:pPr>
              <w:spacing w:after="40" w:line="240" w:lineRule="auto"/>
              <w:jc w:val="left"/>
            </w:pPr>
            <w:r/>
            <w:r>
              <w:rPr>
                <w:rFonts w:ascii="Times New Roman" w:hAnsi="Times New Roman"/>
                <w:sz w:val="19"/>
              </w:rPr>
              <w:t>0.872</w:t>
            </w:r>
          </w:p>
        </w:tc>
        <w:tc>
          <w:tcPr>
            <w:tcW w:type="dxa" w:w="2304"/>
          </w:tcPr>
          <w:p>
            <w:pPr>
              <w:spacing w:after="40" w:line="240" w:lineRule="auto"/>
              <w:jc w:val="left"/>
            </w:pPr>
            <w:r/>
            <w:r>
              <w:rPr>
                <w:rFonts w:ascii="Times New Roman" w:hAnsi="Times New Roman"/>
                <w:sz w:val="19"/>
              </w:rPr>
              <w:t>≥ 0.50 (≥ 0.80 meritorious)</w:t>
            </w:r>
          </w:p>
        </w:tc>
        <w:tc>
          <w:tcPr>
            <w:tcW w:type="dxa" w:w="1872"/>
          </w:tcPr>
          <w:p>
            <w:pPr>
              <w:spacing w:after="40" w:line="240" w:lineRule="auto"/>
              <w:jc w:val="center"/>
            </w:pPr>
            <w:r/>
            <w:r>
              <w:rPr>
                <w:rFonts w:ascii="Times New Roman" w:hAnsi="Times New Roman"/>
                <w:sz w:val="19"/>
              </w:rPr>
              <w:t>Meritorious Sampling Adequacy</w:t>
            </w:r>
          </w:p>
        </w:tc>
      </w:tr>
      <w:tr>
        <w:tc>
          <w:tcPr>
            <w:tcW w:type="dxa" w:w="3600"/>
          </w:tcPr>
          <w:p>
            <w:pPr>
              <w:spacing w:after="40" w:line="240" w:lineRule="auto"/>
              <w:jc w:val="left"/>
            </w:pPr>
            <w:r/>
            <w:r>
              <w:rPr>
                <w:rFonts w:ascii="Times New Roman" w:hAnsi="Times New Roman"/>
                <w:sz w:val="19"/>
              </w:rPr>
              <w:t>Bartlett's Test of Sphericity Approx. Chi-Square</w:t>
            </w:r>
          </w:p>
        </w:tc>
        <w:tc>
          <w:tcPr>
            <w:tcW w:type="dxa" w:w="2016"/>
          </w:tcPr>
          <w:p>
            <w:pPr>
              <w:spacing w:after="40" w:line="240" w:lineRule="auto"/>
              <w:jc w:val="left"/>
            </w:pPr>
            <w:r/>
            <w:r>
              <w:rPr>
                <w:rFonts w:ascii="Times New Roman" w:hAnsi="Times New Roman"/>
                <w:sz w:val="19"/>
              </w:rPr>
              <w:t>8,609.17</w:t>
            </w:r>
          </w:p>
        </w:tc>
        <w:tc>
          <w:tcPr>
            <w:tcW w:type="dxa" w:w="2304"/>
          </w:tcPr>
          <w:p>
            <w:pPr>
              <w:spacing w:after="40" w:line="240" w:lineRule="auto"/>
              <w:jc w:val="left"/>
            </w:pPr>
            <w:r/>
            <w:r>
              <w:rPr>
                <w:rFonts w:ascii="Times New Roman" w:hAnsi="Times New Roman"/>
                <w:sz w:val="19"/>
              </w:rPr>
              <w:t>Large and statistically significant</w:t>
            </w:r>
          </w:p>
        </w:tc>
        <w:tc>
          <w:tcPr>
            <w:tcW w:type="dxa" w:w="1872"/>
          </w:tcPr>
          <w:p>
            <w:pPr>
              <w:spacing w:after="40" w:line="240" w:lineRule="auto"/>
              <w:jc w:val="center"/>
            </w:pPr>
            <w:r/>
            <w:r>
              <w:rPr>
                <w:rFonts w:ascii="Times New Roman" w:hAnsi="Times New Roman"/>
                <w:sz w:val="19"/>
              </w:rPr>
              <w:t>Statistically Significant</w:t>
            </w:r>
          </w:p>
        </w:tc>
      </w:tr>
      <w:tr>
        <w:tc>
          <w:tcPr>
            <w:tcW w:type="dxa" w:w="3600"/>
          </w:tcPr>
          <w:p>
            <w:pPr>
              <w:spacing w:after="40" w:line="240" w:lineRule="auto"/>
              <w:jc w:val="left"/>
            </w:pPr>
            <w:r/>
            <w:r>
              <w:rPr>
                <w:rFonts w:ascii="Times New Roman" w:hAnsi="Times New Roman"/>
                <w:sz w:val="19"/>
              </w:rPr>
              <w:t>Degrees of Freedom (df)</w:t>
            </w:r>
          </w:p>
        </w:tc>
        <w:tc>
          <w:tcPr>
            <w:tcW w:type="dxa" w:w="2016"/>
          </w:tcPr>
          <w:p>
            <w:pPr>
              <w:spacing w:after="40" w:line="240" w:lineRule="auto"/>
              <w:jc w:val="left"/>
            </w:pPr>
            <w:r/>
            <w:r>
              <w:rPr>
                <w:rFonts w:ascii="Times New Roman" w:hAnsi="Times New Roman"/>
                <w:sz w:val="19"/>
              </w:rPr>
              <w:t>378</w:t>
            </w:r>
          </w:p>
        </w:tc>
        <w:tc>
          <w:tcPr>
            <w:tcW w:type="dxa" w:w="2304"/>
          </w:tcPr>
          <w:p>
            <w:pPr>
              <w:spacing w:after="40" w:line="240" w:lineRule="auto"/>
              <w:jc w:val="left"/>
            </w:pPr>
            <w:r/>
            <w:r>
              <w:rPr>
                <w:rFonts w:ascii="Times New Roman" w:hAnsi="Times New Roman"/>
                <w:sz w:val="19"/>
              </w:rPr>
              <w:t>—</w:t>
            </w:r>
          </w:p>
        </w:tc>
        <w:tc>
          <w:tcPr>
            <w:tcW w:type="dxa" w:w="1872"/>
          </w:tcPr>
          <w:p>
            <w:pPr>
              <w:spacing w:after="40" w:line="240" w:lineRule="auto"/>
              <w:jc w:val="center"/>
            </w:pPr>
            <w:r/>
            <w:r>
              <w:rPr>
                <w:rFonts w:ascii="Times New Roman" w:hAnsi="Times New Roman"/>
                <w:sz w:val="19"/>
              </w:rPr>
              <w:t>—</w:t>
            </w:r>
          </w:p>
        </w:tc>
      </w:tr>
      <w:tr>
        <w:tc>
          <w:tcPr>
            <w:tcW w:type="dxa" w:w="3600"/>
          </w:tcPr>
          <w:p>
            <w:pPr>
              <w:spacing w:after="40" w:line="240" w:lineRule="auto"/>
              <w:jc w:val="left"/>
            </w:pPr>
            <w:r/>
            <w:r>
              <w:rPr>
                <w:rFonts w:ascii="Times New Roman" w:hAnsi="Times New Roman"/>
                <w:sz w:val="19"/>
              </w:rPr>
              <w:t>p-value (Significance)</w:t>
            </w:r>
          </w:p>
        </w:tc>
        <w:tc>
          <w:tcPr>
            <w:tcW w:type="dxa" w:w="2016"/>
          </w:tcPr>
          <w:p>
            <w:pPr>
              <w:spacing w:after="40" w:line="240" w:lineRule="auto"/>
              <w:jc w:val="left"/>
            </w:pPr>
            <w:r/>
            <w:r>
              <w:rPr>
                <w:rFonts w:ascii="Times New Roman" w:hAnsi="Times New Roman"/>
                <w:sz w:val="19"/>
              </w:rPr>
              <w:t>&lt; 0.001</w:t>
            </w:r>
          </w:p>
        </w:tc>
        <w:tc>
          <w:tcPr>
            <w:tcW w:type="dxa" w:w="2304"/>
          </w:tcPr>
          <w:p>
            <w:pPr>
              <w:spacing w:after="40" w:line="240" w:lineRule="auto"/>
              <w:jc w:val="left"/>
            </w:pPr>
            <w:r/>
            <w:r>
              <w:rPr>
                <w:rFonts w:ascii="Times New Roman" w:hAnsi="Times New Roman"/>
                <w:sz w:val="19"/>
              </w:rPr>
              <w:t>p &lt; 0.05</w:t>
            </w:r>
          </w:p>
        </w:tc>
        <w:tc>
          <w:tcPr>
            <w:tcW w:type="dxa" w:w="1872"/>
          </w:tcPr>
          <w:p>
            <w:pPr>
              <w:spacing w:after="40" w:line="240" w:lineRule="auto"/>
              <w:jc w:val="center"/>
            </w:pPr>
            <w:r/>
            <w:r>
              <w:rPr>
                <w:rFonts w:ascii="Times New Roman" w:hAnsi="Times New Roman"/>
                <w:sz w:val="19"/>
              </w:rPr>
              <w:t>Factorable Correlation Matrix</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80" w:line="360" w:lineRule="auto"/>
        <w:ind w:firstLine="0"/>
        <w:jc w:val="center"/>
      </w:pPr>
      <w:r>
        <w:rPr>
          <w:rFonts w:ascii="Times New Roman" w:hAnsi="Times New Roman"/>
          <w:b/>
          <w:i w:val="0"/>
          <w:sz w:val="22"/>
        </w:rPr>
        <w:t>Table 4.8: Rotated Component Matrix and Variance Explained (28 Independent Items, Varimax Rotation)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val="clear" w:color="auto" w:fill="D9D9D9"/>
          </w:tcPr>
          <w:p>
            <w:pPr>
              <w:spacing w:after="40" w:line="240" w:lineRule="auto"/>
              <w:jc w:val="center"/>
            </w:pPr>
            <w:r/>
            <w:r>
              <w:rPr>
                <w:rFonts w:ascii="Times New Roman" w:hAnsi="Times New Roman"/>
                <w:b/>
                <w:sz w:val="17"/>
              </w:rPr>
              <w:t>Item Code</w:t>
            </w:r>
          </w:p>
        </w:tc>
        <w:tc>
          <w:tcPr>
            <w:tcW w:type="dxa" w:w="1152"/>
            <w:shd w:val="clear" w:color="auto" w:fill="D9D9D9"/>
          </w:tcPr>
          <w:p>
            <w:pPr>
              <w:spacing w:after="40" w:line="240" w:lineRule="auto"/>
              <w:jc w:val="center"/>
            </w:pPr>
            <w:r/>
            <w:r>
              <w:rPr>
                <w:rFonts w:ascii="Times New Roman" w:hAnsi="Times New Roman"/>
                <w:b/>
                <w:sz w:val="17"/>
              </w:rPr>
              <w:t>F1: COST</w:t>
            </w:r>
          </w:p>
        </w:tc>
        <w:tc>
          <w:tcPr>
            <w:tcW w:type="dxa" w:w="1152"/>
            <w:shd w:val="clear" w:color="auto" w:fill="D9D9D9"/>
          </w:tcPr>
          <w:p>
            <w:pPr>
              <w:spacing w:after="40" w:line="240" w:lineRule="auto"/>
              <w:jc w:val="center"/>
            </w:pPr>
            <w:r/>
            <w:r>
              <w:rPr>
                <w:rFonts w:ascii="Times New Roman" w:hAnsi="Times New Roman"/>
                <w:b/>
                <w:sz w:val="17"/>
              </w:rPr>
              <w:t>F2: SPEED</w:t>
            </w:r>
          </w:p>
        </w:tc>
        <w:tc>
          <w:tcPr>
            <w:tcW w:type="dxa" w:w="1152"/>
            <w:shd w:val="clear" w:color="auto" w:fill="D9D9D9"/>
          </w:tcPr>
          <w:p>
            <w:pPr>
              <w:spacing w:after="40" w:line="240" w:lineRule="auto"/>
              <w:jc w:val="center"/>
            </w:pPr>
            <w:r/>
            <w:r>
              <w:rPr>
                <w:rFonts w:ascii="Times New Roman" w:hAnsi="Times New Roman"/>
                <w:b/>
                <w:sz w:val="17"/>
              </w:rPr>
              <w:t>F3: DIGI</w:t>
            </w:r>
          </w:p>
        </w:tc>
        <w:tc>
          <w:tcPr>
            <w:tcW w:type="dxa" w:w="1152"/>
            <w:shd w:val="clear" w:color="auto" w:fill="D9D9D9"/>
          </w:tcPr>
          <w:p>
            <w:pPr>
              <w:spacing w:after="40" w:line="240" w:lineRule="auto"/>
              <w:jc w:val="center"/>
            </w:pPr>
            <w:r/>
            <w:r>
              <w:rPr>
                <w:rFonts w:ascii="Times New Roman" w:hAnsi="Times New Roman"/>
                <w:b/>
                <w:sz w:val="17"/>
              </w:rPr>
              <w:t>F4: REPU</w:t>
            </w:r>
          </w:p>
        </w:tc>
        <w:tc>
          <w:tcPr>
            <w:tcW w:type="dxa" w:w="1152"/>
            <w:shd w:val="clear" w:color="auto" w:fill="D9D9D9"/>
          </w:tcPr>
          <w:p>
            <w:pPr>
              <w:spacing w:after="40" w:line="240" w:lineRule="auto"/>
              <w:jc w:val="center"/>
            </w:pPr>
            <w:r/>
            <w:r>
              <w:rPr>
                <w:rFonts w:ascii="Times New Roman" w:hAnsi="Times New Roman"/>
                <w:b/>
                <w:sz w:val="17"/>
              </w:rPr>
              <w:t>F5: RELA</w:t>
            </w:r>
          </w:p>
        </w:tc>
        <w:tc>
          <w:tcPr>
            <w:tcW w:type="dxa" w:w="1152"/>
            <w:shd w:val="clear" w:color="auto" w:fill="D9D9D9"/>
          </w:tcPr>
          <w:p>
            <w:pPr>
              <w:spacing w:after="40" w:line="240" w:lineRule="auto"/>
              <w:jc w:val="center"/>
            </w:pPr>
            <w:r/>
            <w:r>
              <w:rPr>
                <w:rFonts w:ascii="Times New Roman" w:hAnsi="Times New Roman"/>
                <w:b/>
                <w:sz w:val="17"/>
              </w:rPr>
              <w:t>F6: STAFF</w:t>
            </w:r>
          </w:p>
        </w:tc>
        <w:tc>
          <w:tcPr>
            <w:tcW w:type="dxa" w:w="1152"/>
            <w:shd w:val="clear" w:color="auto" w:fill="D9D9D9"/>
          </w:tcPr>
          <w:p>
            <w:pPr>
              <w:spacing w:after="40" w:line="240" w:lineRule="auto"/>
              <w:jc w:val="center"/>
            </w:pPr>
            <w:r/>
            <w:r>
              <w:rPr>
                <w:rFonts w:ascii="Times New Roman" w:hAnsi="Times New Roman"/>
                <w:b/>
                <w:sz w:val="17"/>
              </w:rPr>
              <w:t>F7: COLL</w:t>
            </w:r>
          </w:p>
        </w:tc>
      </w:tr>
      <w:tr>
        <w:tc>
          <w:tcPr>
            <w:tcW w:type="dxa" w:w="1584"/>
          </w:tcPr>
          <w:p>
            <w:pPr>
              <w:spacing w:after="40" w:line="240" w:lineRule="auto"/>
              <w:jc w:val="left"/>
            </w:pPr>
            <w:r/>
            <w:r>
              <w:rPr>
                <w:rFonts w:ascii="Times New Roman" w:hAnsi="Times New Roman"/>
                <w:sz w:val="17"/>
              </w:rPr>
              <w:t>COMP1</w:t>
            </w:r>
          </w:p>
        </w:tc>
        <w:tc>
          <w:tcPr>
            <w:tcW w:type="dxa" w:w="1152"/>
          </w:tcPr>
          <w:p>
            <w:pPr>
              <w:spacing w:after="40" w:line="240" w:lineRule="auto"/>
              <w:jc w:val="left"/>
            </w:pPr>
            <w:r/>
            <w:r>
              <w:rPr>
                <w:rFonts w:ascii="Times New Roman" w:hAnsi="Times New Roman"/>
                <w:sz w:val="17"/>
              </w:rPr>
              <w:t>0.793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COMP2</w:t>
            </w:r>
          </w:p>
        </w:tc>
        <w:tc>
          <w:tcPr>
            <w:tcW w:type="dxa" w:w="1152"/>
          </w:tcPr>
          <w:p>
            <w:pPr>
              <w:spacing w:after="40" w:line="240" w:lineRule="auto"/>
              <w:jc w:val="left"/>
            </w:pPr>
            <w:r/>
            <w:r>
              <w:rPr>
                <w:rFonts w:ascii="Times New Roman" w:hAnsi="Times New Roman"/>
                <w:sz w:val="17"/>
              </w:rPr>
              <w:t>0.777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COMP3</w:t>
            </w:r>
          </w:p>
        </w:tc>
        <w:tc>
          <w:tcPr>
            <w:tcW w:type="dxa" w:w="1152"/>
          </w:tcPr>
          <w:p>
            <w:pPr>
              <w:spacing w:after="40" w:line="240" w:lineRule="auto"/>
              <w:jc w:val="left"/>
            </w:pPr>
            <w:r/>
            <w:r>
              <w:rPr>
                <w:rFonts w:ascii="Times New Roman" w:hAnsi="Times New Roman"/>
                <w:sz w:val="17"/>
              </w:rPr>
              <w:t>0.748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COMP4</w:t>
            </w:r>
          </w:p>
        </w:tc>
        <w:tc>
          <w:tcPr>
            <w:tcW w:type="dxa" w:w="1152"/>
          </w:tcPr>
          <w:p>
            <w:pPr>
              <w:spacing w:after="40" w:line="240" w:lineRule="auto"/>
              <w:jc w:val="left"/>
            </w:pPr>
            <w:r/>
            <w:r>
              <w:rPr>
                <w:rFonts w:ascii="Times New Roman" w:hAnsi="Times New Roman"/>
                <w:sz w:val="17"/>
              </w:rPr>
              <w:t>0.783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0.790</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0.789</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0.740</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0.801</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0.802</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0.719</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0.772</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0.806</w:t>
            </w:r>
          </w:p>
        </w:tc>
      </w:tr>
      <w:tr>
        <w:tc>
          <w:tcPr>
            <w:tcW w:type="dxa" w:w="1584"/>
          </w:tcPr>
          <w:p>
            <w:pPr>
              <w:spacing w:after="40" w:line="240" w:lineRule="auto"/>
              <w:jc w:val="left"/>
            </w:pPr>
            <w:r/>
            <w:r>
              <w:rPr>
                <w:rFonts w:ascii="Times New Roman" w:hAnsi="Times New Roman"/>
                <w:sz w:val="17"/>
              </w:rPr>
              <w:t>COLL2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0.793</w:t>
            </w:r>
          </w:p>
        </w:tc>
      </w:tr>
      <w:tr>
        <w:tc>
          <w:tcPr>
            <w:tcW w:type="dxa" w:w="1584"/>
          </w:tcPr>
          <w:p>
            <w:pPr>
              <w:spacing w:after="40" w:line="240" w:lineRule="auto"/>
              <w:jc w:val="left"/>
            </w:pPr>
            <w:r/>
            <w:r>
              <w:rPr>
                <w:rFonts w:ascii="Times New Roman" w:hAnsi="Times New Roman"/>
                <w:sz w:val="17"/>
              </w:rPr>
              <w:t>COLL3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0.793</w:t>
            </w:r>
          </w:p>
        </w:tc>
      </w:tr>
      <w:tr>
        <w:tc>
          <w:tcPr>
            <w:tcW w:type="dxa" w:w="1584"/>
          </w:tcPr>
          <w:p>
            <w:pPr>
              <w:spacing w:after="40" w:line="240" w:lineRule="auto"/>
              <w:jc w:val="left"/>
            </w:pPr>
            <w:r/>
            <w:r>
              <w:rPr>
                <w:rFonts w:ascii="Times New Roman" w:hAnsi="Times New Roman"/>
                <w:sz w:val="17"/>
              </w:rPr>
              <w:t>COLL4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0.794</w:t>
            </w:r>
          </w:p>
        </w:tc>
      </w:tr>
      <w:tr>
        <w:tc>
          <w:tcPr>
            <w:tcW w:type="dxa" w:w="1584"/>
          </w:tcPr>
          <w:p>
            <w:pPr>
              <w:spacing w:after="40" w:line="240" w:lineRule="auto"/>
              <w:jc w:val="left"/>
            </w:pPr>
            <w:r/>
            <w:r>
              <w:rPr>
                <w:rFonts w:ascii="Times New Roman" w:hAnsi="Times New Roman"/>
                <w:sz w:val="17"/>
              </w:rPr>
              <w:t>Eigenvalues</w:t>
            </w:r>
          </w:p>
        </w:tc>
        <w:tc>
          <w:tcPr>
            <w:tcW w:type="dxa" w:w="1152"/>
          </w:tcPr>
          <w:p>
            <w:pPr>
              <w:spacing w:after="40" w:line="240" w:lineRule="auto"/>
              <w:jc w:val="left"/>
            </w:pPr>
            <w:r/>
            <w:r>
              <w:rPr>
                <w:rFonts w:ascii="Times New Roman" w:hAnsi="Times New Roman"/>
                <w:sz w:val="17"/>
              </w:rPr>
              <w:t>6.400</w:t>
            </w:r>
          </w:p>
        </w:tc>
        <w:tc>
          <w:tcPr>
            <w:tcW w:type="dxa" w:w="1152"/>
          </w:tcPr>
          <w:p>
            <w:pPr>
              <w:spacing w:after="40" w:line="240" w:lineRule="auto"/>
              <w:jc w:val="left"/>
            </w:pPr>
            <w:r/>
            <w:r>
              <w:rPr>
                <w:rFonts w:ascii="Times New Roman" w:hAnsi="Times New Roman"/>
                <w:sz w:val="17"/>
              </w:rPr>
              <w:t>2.442</w:t>
            </w:r>
          </w:p>
        </w:tc>
        <w:tc>
          <w:tcPr>
            <w:tcW w:type="dxa" w:w="1152"/>
          </w:tcPr>
          <w:p>
            <w:pPr>
              <w:spacing w:after="40" w:line="240" w:lineRule="auto"/>
              <w:jc w:val="left"/>
            </w:pPr>
            <w:r/>
            <w:r>
              <w:rPr>
                <w:rFonts w:ascii="Times New Roman" w:hAnsi="Times New Roman"/>
                <w:sz w:val="17"/>
              </w:rPr>
              <w:t>2.281</w:t>
            </w:r>
          </w:p>
        </w:tc>
        <w:tc>
          <w:tcPr>
            <w:tcW w:type="dxa" w:w="1152"/>
          </w:tcPr>
          <w:p>
            <w:pPr>
              <w:spacing w:after="40" w:line="240" w:lineRule="auto"/>
              <w:jc w:val="left"/>
            </w:pPr>
            <w:r/>
            <w:r>
              <w:rPr>
                <w:rFonts w:ascii="Times New Roman" w:hAnsi="Times New Roman"/>
                <w:sz w:val="17"/>
              </w:rPr>
              <w:t>1.985</w:t>
            </w:r>
          </w:p>
        </w:tc>
        <w:tc>
          <w:tcPr>
            <w:tcW w:type="dxa" w:w="1152"/>
          </w:tcPr>
          <w:p>
            <w:pPr>
              <w:spacing w:after="40" w:line="240" w:lineRule="auto"/>
              <w:jc w:val="left"/>
            </w:pPr>
            <w:r/>
            <w:r>
              <w:rPr>
                <w:rFonts w:ascii="Times New Roman" w:hAnsi="Times New Roman"/>
                <w:sz w:val="17"/>
              </w:rPr>
              <w:t>1.841</w:t>
            </w:r>
          </w:p>
        </w:tc>
        <w:tc>
          <w:tcPr>
            <w:tcW w:type="dxa" w:w="1152"/>
          </w:tcPr>
          <w:p>
            <w:pPr>
              <w:spacing w:after="40" w:line="240" w:lineRule="auto"/>
              <w:jc w:val="left"/>
            </w:pPr>
            <w:r/>
            <w:r>
              <w:rPr>
                <w:rFonts w:ascii="Times New Roman" w:hAnsi="Times New Roman"/>
                <w:sz w:val="17"/>
              </w:rPr>
              <w:t>1.791</w:t>
            </w:r>
          </w:p>
        </w:tc>
        <w:tc>
          <w:tcPr>
            <w:tcW w:type="dxa" w:w="1152"/>
          </w:tcPr>
          <w:p>
            <w:pPr>
              <w:spacing w:after="40" w:line="240" w:lineRule="auto"/>
              <w:jc w:val="center"/>
            </w:pPr>
            <w:r/>
            <w:r>
              <w:rPr>
                <w:rFonts w:ascii="Times New Roman" w:hAnsi="Times New Roman"/>
                <w:sz w:val="17"/>
              </w:rPr>
              <w:t>1.697</w:t>
            </w:r>
          </w:p>
        </w:tc>
      </w:tr>
      <w:tr>
        <w:tc>
          <w:tcPr>
            <w:tcW w:type="dxa" w:w="1584"/>
          </w:tcPr>
          <w:p>
            <w:pPr>
              <w:spacing w:after="40" w:line="240" w:lineRule="auto"/>
              <w:jc w:val="left"/>
            </w:pPr>
            <w:r/>
            <w:r>
              <w:rPr>
                <w:rFonts w:ascii="Times New Roman" w:hAnsi="Times New Roman"/>
                <w:sz w:val="17"/>
              </w:rPr>
              <w:t>% Variance</w:t>
            </w:r>
          </w:p>
        </w:tc>
        <w:tc>
          <w:tcPr>
            <w:tcW w:type="dxa" w:w="1152"/>
          </w:tcPr>
          <w:p>
            <w:pPr>
              <w:spacing w:after="40" w:line="240" w:lineRule="auto"/>
              <w:jc w:val="left"/>
            </w:pPr>
            <w:r/>
            <w:r>
              <w:rPr>
                <w:rFonts w:ascii="Times New Roman" w:hAnsi="Times New Roman"/>
                <w:sz w:val="17"/>
              </w:rPr>
              <w:t>22.86%</w:t>
            </w:r>
          </w:p>
        </w:tc>
        <w:tc>
          <w:tcPr>
            <w:tcW w:type="dxa" w:w="1152"/>
          </w:tcPr>
          <w:p>
            <w:pPr>
              <w:spacing w:after="40" w:line="240" w:lineRule="auto"/>
              <w:jc w:val="left"/>
            </w:pPr>
            <w:r/>
            <w:r>
              <w:rPr>
                <w:rFonts w:ascii="Times New Roman" w:hAnsi="Times New Roman"/>
                <w:sz w:val="17"/>
              </w:rPr>
              <w:t>8.72%</w:t>
            </w:r>
          </w:p>
        </w:tc>
        <w:tc>
          <w:tcPr>
            <w:tcW w:type="dxa" w:w="1152"/>
          </w:tcPr>
          <w:p>
            <w:pPr>
              <w:spacing w:after="40" w:line="240" w:lineRule="auto"/>
              <w:jc w:val="left"/>
            </w:pPr>
            <w:r/>
            <w:r>
              <w:rPr>
                <w:rFonts w:ascii="Times New Roman" w:hAnsi="Times New Roman"/>
                <w:sz w:val="17"/>
              </w:rPr>
              <w:t>8.15%</w:t>
            </w:r>
          </w:p>
        </w:tc>
        <w:tc>
          <w:tcPr>
            <w:tcW w:type="dxa" w:w="1152"/>
          </w:tcPr>
          <w:p>
            <w:pPr>
              <w:spacing w:after="40" w:line="240" w:lineRule="auto"/>
              <w:jc w:val="left"/>
            </w:pPr>
            <w:r/>
            <w:r>
              <w:rPr>
                <w:rFonts w:ascii="Times New Roman" w:hAnsi="Times New Roman"/>
                <w:sz w:val="17"/>
              </w:rPr>
              <w:t>7.09%</w:t>
            </w:r>
          </w:p>
        </w:tc>
        <w:tc>
          <w:tcPr>
            <w:tcW w:type="dxa" w:w="1152"/>
          </w:tcPr>
          <w:p>
            <w:pPr>
              <w:spacing w:after="40" w:line="240" w:lineRule="auto"/>
              <w:jc w:val="left"/>
            </w:pPr>
            <w:r/>
            <w:r>
              <w:rPr>
                <w:rFonts w:ascii="Times New Roman" w:hAnsi="Times New Roman"/>
                <w:sz w:val="17"/>
              </w:rPr>
              <w:t>6.57%</w:t>
            </w:r>
          </w:p>
        </w:tc>
        <w:tc>
          <w:tcPr>
            <w:tcW w:type="dxa" w:w="1152"/>
          </w:tcPr>
          <w:p>
            <w:pPr>
              <w:spacing w:after="40" w:line="240" w:lineRule="auto"/>
              <w:jc w:val="left"/>
            </w:pPr>
            <w:r/>
            <w:r>
              <w:rPr>
                <w:rFonts w:ascii="Times New Roman" w:hAnsi="Times New Roman"/>
                <w:sz w:val="17"/>
              </w:rPr>
              <w:t>6.40%</w:t>
            </w:r>
          </w:p>
        </w:tc>
        <w:tc>
          <w:tcPr>
            <w:tcW w:type="dxa" w:w="1152"/>
          </w:tcPr>
          <w:p>
            <w:pPr>
              <w:spacing w:after="40" w:line="240" w:lineRule="auto"/>
              <w:jc w:val="center"/>
            </w:pPr>
            <w:r/>
            <w:r>
              <w:rPr>
                <w:rFonts w:ascii="Times New Roman" w:hAnsi="Times New Roman"/>
                <w:sz w:val="17"/>
              </w:rPr>
              <w:t>6.06%</w:t>
            </w:r>
          </w:p>
        </w:tc>
      </w:tr>
      <w:tr>
        <w:tc>
          <w:tcPr>
            <w:tcW w:type="dxa" w:w="1584"/>
          </w:tcPr>
          <w:p>
            <w:pPr>
              <w:spacing w:after="40" w:line="240" w:lineRule="auto"/>
              <w:jc w:val="left"/>
            </w:pPr>
            <w:r/>
            <w:r>
              <w:rPr>
                <w:rFonts w:ascii="Times New Roman" w:hAnsi="Times New Roman"/>
                <w:sz w:val="17"/>
              </w:rPr>
              <w:t>Cumulative %</w:t>
            </w:r>
          </w:p>
        </w:tc>
        <w:tc>
          <w:tcPr>
            <w:tcW w:type="dxa" w:w="1152"/>
          </w:tcPr>
          <w:p>
            <w:pPr>
              <w:spacing w:after="40" w:line="240" w:lineRule="auto"/>
              <w:jc w:val="left"/>
            </w:pPr>
            <w:r/>
            <w:r>
              <w:rPr>
                <w:rFonts w:ascii="Times New Roman" w:hAnsi="Times New Roman"/>
                <w:sz w:val="17"/>
              </w:rPr>
              <w:t>22.86%</w:t>
            </w:r>
          </w:p>
        </w:tc>
        <w:tc>
          <w:tcPr>
            <w:tcW w:type="dxa" w:w="1152"/>
          </w:tcPr>
          <w:p>
            <w:pPr>
              <w:spacing w:after="40" w:line="240" w:lineRule="auto"/>
              <w:jc w:val="left"/>
            </w:pPr>
            <w:r/>
            <w:r>
              <w:rPr>
                <w:rFonts w:ascii="Times New Roman" w:hAnsi="Times New Roman"/>
                <w:sz w:val="17"/>
              </w:rPr>
              <w:t>31.58%</w:t>
            </w:r>
          </w:p>
        </w:tc>
        <w:tc>
          <w:tcPr>
            <w:tcW w:type="dxa" w:w="1152"/>
          </w:tcPr>
          <w:p>
            <w:pPr>
              <w:spacing w:after="40" w:line="240" w:lineRule="auto"/>
              <w:jc w:val="left"/>
            </w:pPr>
            <w:r/>
            <w:r>
              <w:rPr>
                <w:rFonts w:ascii="Times New Roman" w:hAnsi="Times New Roman"/>
                <w:sz w:val="17"/>
              </w:rPr>
              <w:t>39.72%</w:t>
            </w:r>
          </w:p>
        </w:tc>
        <w:tc>
          <w:tcPr>
            <w:tcW w:type="dxa" w:w="1152"/>
          </w:tcPr>
          <w:p>
            <w:pPr>
              <w:spacing w:after="40" w:line="240" w:lineRule="auto"/>
              <w:jc w:val="left"/>
            </w:pPr>
            <w:r/>
            <w:r>
              <w:rPr>
                <w:rFonts w:ascii="Times New Roman" w:hAnsi="Times New Roman"/>
                <w:sz w:val="17"/>
              </w:rPr>
              <w:t>46.82%</w:t>
            </w:r>
          </w:p>
        </w:tc>
        <w:tc>
          <w:tcPr>
            <w:tcW w:type="dxa" w:w="1152"/>
          </w:tcPr>
          <w:p>
            <w:pPr>
              <w:spacing w:after="40" w:line="240" w:lineRule="auto"/>
              <w:jc w:val="left"/>
            </w:pPr>
            <w:r/>
            <w:r>
              <w:rPr>
                <w:rFonts w:ascii="Times New Roman" w:hAnsi="Times New Roman"/>
                <w:sz w:val="17"/>
              </w:rPr>
              <w:t>53.39%</w:t>
            </w:r>
          </w:p>
        </w:tc>
        <w:tc>
          <w:tcPr>
            <w:tcW w:type="dxa" w:w="1152"/>
          </w:tcPr>
          <w:p>
            <w:pPr>
              <w:spacing w:after="40" w:line="240" w:lineRule="auto"/>
              <w:jc w:val="left"/>
            </w:pPr>
            <w:r/>
            <w:r>
              <w:rPr>
                <w:rFonts w:ascii="Times New Roman" w:hAnsi="Times New Roman"/>
                <w:sz w:val="17"/>
              </w:rPr>
              <w:t>59.79%</w:t>
            </w:r>
          </w:p>
        </w:tc>
        <w:tc>
          <w:tcPr>
            <w:tcW w:type="dxa" w:w="1152"/>
          </w:tcPr>
          <w:p>
            <w:pPr>
              <w:spacing w:after="40" w:line="240" w:lineRule="auto"/>
              <w:jc w:val="center"/>
            </w:pPr>
            <w:r/>
            <w:r>
              <w:rPr>
                <w:rFonts w:ascii="Times New Roman" w:hAnsi="Times New Roman"/>
                <w:sz w:val="17"/>
              </w:rPr>
              <w:t>65.85%</w:t>
            </w:r>
          </w:p>
        </w:tc>
      </w:tr>
    </w:tbl>
    <w:p>
      <w:pPr>
        <w:spacing w:after="200" w:line="360" w:lineRule="auto"/>
        <w:ind w:firstLine="0"/>
        <w:jc w:val="center"/>
      </w:pPr>
      <w:r>
        <w:rPr>
          <w:rFonts w:ascii="Times New Roman" w:hAnsi="Times New Roman"/>
          <w:b w:val="0"/>
          <w:i/>
          <w:sz w:val="20"/>
        </w:rPr>
        <w:t>Source: Author's corporate survey analysis (2025–2026), n = 800 (loadings &lt; 0.25 suppressed).</w:t>
      </w:r>
    </w:p>
    <w:p>
      <w:pPr>
        <w:spacing w:after="160" w:line="360" w:lineRule="auto"/>
        <w:ind w:firstLine="360"/>
        <w:jc w:val="both"/>
      </w:pPr>
      <w:r>
        <w:rPr>
          <w:rFonts w:ascii="Times New Roman" w:hAnsi="Times New Roman"/>
          <w:b w:val="0"/>
          <w:i w:val="0"/>
          <w:sz w:val="24"/>
        </w:rPr>
        <w:t>Seven orthogonal factors with eigenvalues exceeding 1.00 were extracted, explaining 65.85% of the total variance (eigenvalue 8 = 0.637 &lt; 1.00). All 28 items exhibit primary factor loadings exceeding 0.65, satisfying convergent validity. Crucially, cross-loading diagnostics confirm strict compliance with the research criteria in Table 3.2: indicator STAFF4 demonstrates a dominant primary loading of 0.772 on the Staff Professionalism factor, a minimal secondary loading of 0.094, and a substantial cross-loading gap of 0.678 (substantially exceeding the required 0.30 cut-off), verifying flawless discriminant validity.</w:t>
      </w:r>
    </w:p>
    <w:p w14:paraId="5692385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4.3.2. EFA for Dependent Variable (DEC)</w:t>
      </w:r>
    </w:p>
    <w:p>
      <w:pPr>
        <w:spacing w:after="80" w:line="360" w:lineRule="auto"/>
        <w:ind w:firstLine="0"/>
        <w:jc w:val="center"/>
      </w:pPr>
      <w:r>
        <w:rPr>
          <w:rFonts w:ascii="Times New Roman" w:hAnsi="Times New Roman"/>
          <w:b/>
          <w:i w:val="0"/>
          <w:sz w:val="22"/>
        </w:rPr>
        <w:t>Table 4.9: Component Matrix for Dependent Variable (DEC)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pPr>
              <w:spacing w:after="40" w:line="240" w:lineRule="auto"/>
              <w:jc w:val="center"/>
            </w:pPr>
            <w:r/>
            <w:r>
              <w:rPr>
                <w:rFonts w:ascii="Times New Roman" w:hAnsi="Times New Roman"/>
                <w:b/>
                <w:sz w:val="19"/>
              </w:rPr>
              <w:t>Indicator Code</w:t>
            </w:r>
          </w:p>
        </w:tc>
        <w:tc>
          <w:tcPr>
            <w:tcW w:type="dxa" w:w="4896"/>
            <w:shd w:val="clear" w:color="auto" w:fill="D9D9D9"/>
          </w:tcPr>
          <w:p>
            <w:pPr>
              <w:spacing w:after="40" w:line="240" w:lineRule="auto"/>
              <w:jc w:val="center"/>
            </w:pPr>
            <w:r/>
            <w:r>
              <w:rPr>
                <w:rFonts w:ascii="Times New Roman" w:hAnsi="Times New Roman"/>
                <w:b/>
                <w:sz w:val="19"/>
              </w:rPr>
              <w:t>Indicator Wording Summary</w:t>
            </w:r>
          </w:p>
        </w:tc>
        <w:tc>
          <w:tcPr>
            <w:tcW w:type="dxa" w:w="1584"/>
            <w:shd w:val="clear" w:color="auto" w:fill="D9D9D9"/>
          </w:tcPr>
          <w:p>
            <w:pPr>
              <w:spacing w:after="40" w:line="240" w:lineRule="auto"/>
              <w:jc w:val="center"/>
            </w:pPr>
            <w:r/>
            <w:r>
              <w:rPr>
                <w:rFonts w:ascii="Times New Roman" w:hAnsi="Times New Roman"/>
                <w:b/>
                <w:sz w:val="19"/>
              </w:rPr>
              <w:t>Factor Loading</w:t>
            </w:r>
          </w:p>
        </w:tc>
        <w:tc>
          <w:tcPr>
            <w:tcW w:type="dxa" w:w="1584"/>
            <w:shd w:val="clear" w:color="auto" w:fill="D9D9D9"/>
          </w:tcPr>
          <w:p>
            <w:pPr>
              <w:spacing w:after="40" w:line="240" w:lineRule="auto"/>
              <w:jc w:val="center"/>
            </w:pPr>
            <w:r/>
            <w:r>
              <w:rPr>
                <w:rFonts w:ascii="Times New Roman" w:hAnsi="Times New Roman"/>
                <w:b/>
                <w:sz w:val="19"/>
              </w:rPr>
              <w:t>Communality (h²)</w:t>
            </w:r>
          </w:p>
        </w:tc>
      </w:tr>
      <w:tr>
        <w:tc>
          <w:tcPr>
            <w:tcW w:type="dxa" w:w="1728"/>
          </w:tcPr>
          <w:p>
            <w:pPr>
              <w:spacing w:after="40" w:line="240" w:lineRule="auto"/>
              <w:jc w:val="left"/>
            </w:pPr>
            <w:r/>
            <w:r>
              <w:rPr>
                <w:rFonts w:ascii="Times New Roman" w:hAnsi="Times New Roman"/>
                <w:sz w:val="19"/>
              </w:rPr>
              <w:t>DEC1</w:t>
            </w:r>
          </w:p>
        </w:tc>
        <w:tc>
          <w:tcPr>
            <w:tcW w:type="dxa" w:w="4896"/>
          </w:tcPr>
          <w:p>
            <w:pPr>
              <w:spacing w:after="40" w:line="240" w:lineRule="auto"/>
              <w:jc w:val="left"/>
            </w:pPr>
            <w:r/>
            <w:r>
              <w:rPr>
                <w:rFonts w:ascii="Times New Roman" w:hAnsi="Times New Roman"/>
                <w:sz w:val="19"/>
              </w:rPr>
              <w:t>Primary preference for VietinBank when guarantee needs arise</w:t>
            </w:r>
          </w:p>
        </w:tc>
        <w:tc>
          <w:tcPr>
            <w:tcW w:type="dxa" w:w="1584"/>
          </w:tcPr>
          <w:p>
            <w:pPr>
              <w:spacing w:after="40" w:line="240" w:lineRule="auto"/>
              <w:jc w:val="left"/>
            </w:pPr>
            <w:r/>
            <w:r>
              <w:rPr>
                <w:rFonts w:ascii="Times New Roman" w:hAnsi="Times New Roman"/>
                <w:sz w:val="19"/>
              </w:rPr>
              <w:t>0.830</w:t>
            </w:r>
          </w:p>
        </w:tc>
        <w:tc>
          <w:tcPr>
            <w:tcW w:type="dxa" w:w="1584"/>
          </w:tcPr>
          <w:p>
            <w:pPr>
              <w:spacing w:after="40" w:line="240" w:lineRule="auto"/>
              <w:jc w:val="center"/>
            </w:pPr>
            <w:r/>
            <w:r>
              <w:rPr>
                <w:rFonts w:ascii="Times New Roman" w:hAnsi="Times New Roman"/>
                <w:sz w:val="19"/>
              </w:rPr>
              <w:t>0.689</w:t>
            </w:r>
          </w:p>
        </w:tc>
      </w:tr>
      <w:tr>
        <w:tc>
          <w:tcPr>
            <w:tcW w:type="dxa" w:w="1728"/>
          </w:tcPr>
          <w:p>
            <w:pPr>
              <w:spacing w:after="40" w:line="240" w:lineRule="auto"/>
              <w:jc w:val="left"/>
            </w:pPr>
            <w:r/>
            <w:r>
              <w:rPr>
                <w:rFonts w:ascii="Times New Roman" w:hAnsi="Times New Roman"/>
                <w:sz w:val="19"/>
              </w:rPr>
              <w:t>DEC2</w:t>
            </w:r>
          </w:p>
        </w:tc>
        <w:tc>
          <w:tcPr>
            <w:tcW w:type="dxa" w:w="4896"/>
          </w:tcPr>
          <w:p>
            <w:pPr>
              <w:spacing w:after="40" w:line="240" w:lineRule="auto"/>
              <w:jc w:val="left"/>
            </w:pPr>
            <w:r/>
            <w:r>
              <w:rPr>
                <w:rFonts w:ascii="Times New Roman" w:hAnsi="Times New Roman"/>
                <w:sz w:val="19"/>
              </w:rPr>
              <w:t>Allocation of majority guarantee contract value to VietinBank</w:t>
            </w:r>
          </w:p>
        </w:tc>
        <w:tc>
          <w:tcPr>
            <w:tcW w:type="dxa" w:w="1584"/>
          </w:tcPr>
          <w:p>
            <w:pPr>
              <w:spacing w:after="40" w:line="240" w:lineRule="auto"/>
              <w:jc w:val="left"/>
            </w:pPr>
            <w:r/>
            <w:r>
              <w:rPr>
                <w:rFonts w:ascii="Times New Roman" w:hAnsi="Times New Roman"/>
                <w:sz w:val="19"/>
              </w:rPr>
              <w:t>0.657</w:t>
            </w:r>
          </w:p>
        </w:tc>
        <w:tc>
          <w:tcPr>
            <w:tcW w:type="dxa" w:w="1584"/>
          </w:tcPr>
          <w:p>
            <w:pPr>
              <w:spacing w:after="40" w:line="240" w:lineRule="auto"/>
              <w:jc w:val="center"/>
            </w:pPr>
            <w:r/>
            <w:r>
              <w:rPr>
                <w:rFonts w:ascii="Times New Roman" w:hAnsi="Times New Roman"/>
                <w:sz w:val="19"/>
              </w:rPr>
              <w:t>0.432</w:t>
            </w:r>
          </w:p>
        </w:tc>
      </w:tr>
      <w:tr>
        <w:tc>
          <w:tcPr>
            <w:tcW w:type="dxa" w:w="1728"/>
          </w:tcPr>
          <w:p>
            <w:pPr>
              <w:spacing w:after="40" w:line="240" w:lineRule="auto"/>
              <w:jc w:val="left"/>
            </w:pPr>
            <w:r/>
            <w:r>
              <w:rPr>
                <w:rFonts w:ascii="Times New Roman" w:hAnsi="Times New Roman"/>
                <w:sz w:val="19"/>
              </w:rPr>
              <w:t>DEC3</w:t>
            </w:r>
          </w:p>
        </w:tc>
        <w:tc>
          <w:tcPr>
            <w:tcW w:type="dxa" w:w="4896"/>
          </w:tcPr>
          <w:p>
            <w:pPr>
              <w:spacing w:after="40" w:line="240" w:lineRule="auto"/>
              <w:jc w:val="left"/>
            </w:pPr>
            <w:r/>
            <w:r>
              <w:rPr>
                <w:rFonts w:ascii="Times New Roman" w:hAnsi="Times New Roman"/>
                <w:sz w:val="19"/>
              </w:rPr>
              <w:t>Continuation intention to select VietinBank in upcoming tenders</w:t>
            </w:r>
          </w:p>
        </w:tc>
        <w:tc>
          <w:tcPr>
            <w:tcW w:type="dxa" w:w="1584"/>
          </w:tcPr>
          <w:p>
            <w:pPr>
              <w:spacing w:after="40" w:line="240" w:lineRule="auto"/>
              <w:jc w:val="left"/>
            </w:pPr>
            <w:r/>
            <w:r>
              <w:rPr>
                <w:rFonts w:ascii="Times New Roman" w:hAnsi="Times New Roman"/>
                <w:sz w:val="19"/>
              </w:rPr>
              <w:t>0.843</w:t>
            </w:r>
          </w:p>
        </w:tc>
        <w:tc>
          <w:tcPr>
            <w:tcW w:type="dxa" w:w="1584"/>
          </w:tcPr>
          <w:p>
            <w:pPr>
              <w:spacing w:after="40" w:line="240" w:lineRule="auto"/>
              <w:jc w:val="center"/>
            </w:pPr>
            <w:r/>
            <w:r>
              <w:rPr>
                <w:rFonts w:ascii="Times New Roman" w:hAnsi="Times New Roman"/>
                <w:sz w:val="19"/>
              </w:rPr>
              <w:t>0.711</w:t>
            </w:r>
          </w:p>
        </w:tc>
      </w:tr>
      <w:tr>
        <w:tc>
          <w:tcPr>
            <w:tcW w:type="dxa" w:w="1728"/>
          </w:tcPr>
          <w:p>
            <w:pPr>
              <w:spacing w:after="40" w:line="240" w:lineRule="auto"/>
              <w:jc w:val="left"/>
            </w:pPr>
            <w:r/>
            <w:r>
              <w:rPr>
                <w:rFonts w:ascii="Times New Roman" w:hAnsi="Times New Roman"/>
                <w:sz w:val="19"/>
              </w:rPr>
              <w:t>DEC4</w:t>
            </w:r>
          </w:p>
        </w:tc>
        <w:tc>
          <w:tcPr>
            <w:tcW w:type="dxa" w:w="4896"/>
          </w:tcPr>
          <w:p>
            <w:pPr>
              <w:spacing w:after="40" w:line="240" w:lineRule="auto"/>
              <w:jc w:val="left"/>
            </w:pPr>
            <w:r/>
            <w:r>
              <w:rPr>
                <w:rFonts w:ascii="Times New Roman" w:hAnsi="Times New Roman"/>
                <w:sz w:val="19"/>
              </w:rPr>
              <w:t>Willingness to recommend VietinBank to business partners</w:t>
            </w:r>
          </w:p>
        </w:tc>
        <w:tc>
          <w:tcPr>
            <w:tcW w:type="dxa" w:w="1584"/>
          </w:tcPr>
          <w:p>
            <w:pPr>
              <w:spacing w:after="40" w:line="240" w:lineRule="auto"/>
              <w:jc w:val="left"/>
            </w:pPr>
            <w:r/>
            <w:r>
              <w:rPr>
                <w:rFonts w:ascii="Times New Roman" w:hAnsi="Times New Roman"/>
                <w:sz w:val="19"/>
              </w:rPr>
              <w:t>0.807</w:t>
            </w:r>
          </w:p>
        </w:tc>
        <w:tc>
          <w:tcPr>
            <w:tcW w:type="dxa" w:w="1584"/>
          </w:tcPr>
          <w:p>
            <w:pPr>
              <w:spacing w:after="40" w:line="240" w:lineRule="auto"/>
              <w:jc w:val="center"/>
            </w:pPr>
            <w:r/>
            <w:r>
              <w:rPr>
                <w:rFonts w:ascii="Times New Roman" w:hAnsi="Times New Roman"/>
                <w:sz w:val="19"/>
              </w:rPr>
              <w:t>0.651</w:t>
            </w:r>
          </w:p>
        </w:tc>
      </w:tr>
      <w:tr>
        <w:tc>
          <w:tcPr>
            <w:tcW w:type="dxa" w:w="1728"/>
          </w:tcPr>
          <w:p>
            <w:pPr>
              <w:spacing w:after="40" w:line="240" w:lineRule="auto"/>
              <w:jc w:val="left"/>
            </w:pPr>
            <w:r/>
            <w:r>
              <w:rPr>
                <w:rFonts w:ascii="Times New Roman" w:hAnsi="Times New Roman"/>
                <w:sz w:val="19"/>
              </w:rPr>
              <w:t>Summary</w:t>
            </w:r>
          </w:p>
        </w:tc>
        <w:tc>
          <w:tcPr>
            <w:tcW w:type="dxa" w:w="4896"/>
          </w:tcPr>
          <w:p>
            <w:pPr>
              <w:spacing w:after="40" w:line="240" w:lineRule="auto"/>
              <w:jc w:val="left"/>
            </w:pPr>
            <w:r/>
            <w:r>
              <w:rPr>
                <w:rFonts w:ascii="Times New Roman" w:hAnsi="Times New Roman"/>
                <w:sz w:val="19"/>
              </w:rPr>
              <w:t>Eigenvalue = 2.482 | Variance Explained = 62.06% | 1 Component Extracted</w:t>
            </w:r>
          </w:p>
        </w:tc>
        <w:tc>
          <w:tcPr>
            <w:tcW w:type="dxa" w:w="1584"/>
          </w:tcPr>
          <w:p>
            <w:pPr>
              <w:spacing w:after="40" w:line="240" w:lineRule="auto"/>
              <w:jc w:val="left"/>
            </w:pPr>
            <w:r/>
            <w:r>
              <w:rPr>
                <w:rFonts w:ascii="Times New Roman" w:hAnsi="Times New Roman"/>
                <w:sz w:val="19"/>
              </w:rPr>
            </w:r>
          </w:p>
        </w:tc>
        <w:tc>
          <w:tcPr>
            <w:tcW w:type="dxa" w:w="1584"/>
          </w:tcPr>
          <w:p>
            <w:pPr>
              <w:spacing w:after="40" w:line="240" w:lineRule="auto"/>
              <w:jc w:val="center"/>
            </w:pPr>
            <w:r/>
            <w:r>
              <w:rPr>
                <w:rFonts w:ascii="Times New Roman" w:hAnsi="Times New Roman"/>
                <w:sz w:val="19"/>
              </w:rPr>
            </w:r>
          </w:p>
        </w:tc>
      </w:tr>
    </w:tbl>
    <w:p>
      <w:pPr>
        <w:spacing w:after="200" w:line="360" w:lineRule="auto"/>
        <w:ind w:firstLine="0"/>
        <w:jc w:val="center"/>
      </w:pPr>
      <w:r>
        <w:rPr>
          <w:rFonts w:ascii="Times New Roman" w:hAnsi="Times New Roman"/>
          <w:b w:val="0"/>
          <w:i/>
          <w:sz w:val="20"/>
        </w:rPr>
        <w:t>Source: Author's corporate survey analysis (2025–2026), n = 800.</w:t>
      </w:r>
    </w:p>
    <w:p w14:paraId="428752F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4.4. Correlation Analysis &amp; Multicollinearity Diagnostics (V</w:t>
      </w:r>
      <w:r w:rsidRPr="0040485A">
        <w:rPr>
          <w:rFonts w:ascii="Times New Roman" w:hAnsi="Times New Roman" w:cs="Times New Roman"/>
        </w:rPr>
        <w:t>IF)</w:t>
      </w:r>
    </w:p>
    <w:p>
      <w:pPr>
        <w:spacing w:after="80" w:line="360" w:lineRule="auto"/>
        <w:ind w:firstLine="0"/>
        <w:jc w:val="center"/>
      </w:pPr>
      <w:r>
        <w:rPr>
          <w:rFonts w:ascii="Times New Roman" w:hAnsi="Times New Roman"/>
          <w:b/>
          <w:i w:val="0"/>
          <w:sz w:val="22"/>
        </w:rPr>
        <w:t>Table 4.10: Pearson correlation matrix and multicollinearity diagnostics (VIF &amp; Tolerance)</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584"/>
            <w:shd w:val="clear" w:color="auto" w:fill="D9D9D9"/>
          </w:tcPr>
          <w:p>
            <w:pPr>
              <w:spacing w:after="40" w:line="240" w:lineRule="auto"/>
              <w:jc w:val="center"/>
            </w:pPr>
            <w:r/>
            <w:r>
              <w:rPr>
                <w:rFonts w:ascii="Times New Roman" w:hAnsi="Times New Roman"/>
                <w:b/>
                <w:sz w:val="17"/>
              </w:rPr>
              <w:t>Construct</w:t>
            </w:r>
          </w:p>
        </w:tc>
        <w:tc>
          <w:tcPr>
            <w:tcW w:type="dxa" w:w="720"/>
            <w:shd w:val="clear" w:color="auto" w:fill="D9D9D9"/>
          </w:tcPr>
          <w:p>
            <w:pPr>
              <w:spacing w:after="40" w:line="240" w:lineRule="auto"/>
              <w:jc w:val="center"/>
            </w:pPr>
            <w:r/>
            <w:r>
              <w:rPr>
                <w:rFonts w:ascii="Times New Roman" w:hAnsi="Times New Roman"/>
                <w:b/>
                <w:sz w:val="17"/>
              </w:rPr>
              <w:t>COST</w:t>
            </w:r>
          </w:p>
        </w:tc>
        <w:tc>
          <w:tcPr>
            <w:tcW w:type="dxa" w:w="720"/>
            <w:shd w:val="clear" w:color="auto" w:fill="D9D9D9"/>
          </w:tcPr>
          <w:p>
            <w:pPr>
              <w:spacing w:after="40" w:line="240" w:lineRule="auto"/>
              <w:jc w:val="center"/>
            </w:pPr>
            <w:r/>
            <w:r>
              <w:rPr>
                <w:rFonts w:ascii="Times New Roman" w:hAnsi="Times New Roman"/>
                <w:b/>
                <w:sz w:val="17"/>
              </w:rPr>
              <w:t>SPEED</w:t>
            </w:r>
          </w:p>
        </w:tc>
        <w:tc>
          <w:tcPr>
            <w:tcW w:type="dxa" w:w="720"/>
            <w:shd w:val="clear" w:color="auto" w:fill="D9D9D9"/>
          </w:tcPr>
          <w:p>
            <w:pPr>
              <w:spacing w:after="40" w:line="240" w:lineRule="auto"/>
              <w:jc w:val="center"/>
            </w:pPr>
            <w:r/>
            <w:r>
              <w:rPr>
                <w:rFonts w:ascii="Times New Roman" w:hAnsi="Times New Roman"/>
                <w:b/>
                <w:sz w:val="17"/>
              </w:rPr>
              <w:t>DIGI</w:t>
            </w:r>
          </w:p>
        </w:tc>
        <w:tc>
          <w:tcPr>
            <w:tcW w:type="dxa" w:w="720"/>
            <w:shd w:val="clear" w:color="auto" w:fill="D9D9D9"/>
          </w:tcPr>
          <w:p>
            <w:pPr>
              <w:spacing w:after="40" w:line="240" w:lineRule="auto"/>
              <w:jc w:val="center"/>
            </w:pPr>
            <w:r/>
            <w:r>
              <w:rPr>
                <w:rFonts w:ascii="Times New Roman" w:hAnsi="Times New Roman"/>
                <w:b/>
                <w:sz w:val="17"/>
              </w:rPr>
              <w:t>REPU</w:t>
            </w:r>
          </w:p>
        </w:tc>
        <w:tc>
          <w:tcPr>
            <w:tcW w:type="dxa" w:w="720"/>
            <w:shd w:val="clear" w:color="auto" w:fill="D9D9D9"/>
          </w:tcPr>
          <w:p>
            <w:pPr>
              <w:spacing w:after="40" w:line="240" w:lineRule="auto"/>
              <w:jc w:val="center"/>
            </w:pPr>
            <w:r/>
            <w:r>
              <w:rPr>
                <w:rFonts w:ascii="Times New Roman" w:hAnsi="Times New Roman"/>
                <w:b/>
                <w:sz w:val="17"/>
              </w:rPr>
              <w:t>RELA</w:t>
            </w:r>
          </w:p>
        </w:tc>
        <w:tc>
          <w:tcPr>
            <w:tcW w:type="dxa" w:w="720"/>
            <w:shd w:val="clear" w:color="auto" w:fill="D9D9D9"/>
          </w:tcPr>
          <w:p>
            <w:pPr>
              <w:spacing w:after="40" w:line="240" w:lineRule="auto"/>
              <w:jc w:val="center"/>
            </w:pPr>
            <w:r/>
            <w:r>
              <w:rPr>
                <w:rFonts w:ascii="Times New Roman" w:hAnsi="Times New Roman"/>
                <w:b/>
                <w:sz w:val="17"/>
              </w:rPr>
              <w:t>STAFF</w:t>
            </w:r>
          </w:p>
        </w:tc>
        <w:tc>
          <w:tcPr>
            <w:tcW w:type="dxa" w:w="720"/>
            <w:shd w:val="clear" w:color="auto" w:fill="D9D9D9"/>
          </w:tcPr>
          <w:p>
            <w:pPr>
              <w:spacing w:after="40" w:line="240" w:lineRule="auto"/>
              <w:jc w:val="center"/>
            </w:pPr>
            <w:r/>
            <w:r>
              <w:rPr>
                <w:rFonts w:ascii="Times New Roman" w:hAnsi="Times New Roman"/>
                <w:b/>
                <w:sz w:val="17"/>
              </w:rPr>
              <w:t>COLL</w:t>
            </w:r>
          </w:p>
        </w:tc>
        <w:tc>
          <w:tcPr>
            <w:tcW w:type="dxa" w:w="720"/>
            <w:shd w:val="clear" w:color="auto" w:fill="D9D9D9"/>
          </w:tcPr>
          <w:p>
            <w:pPr>
              <w:spacing w:after="40" w:line="240" w:lineRule="auto"/>
              <w:jc w:val="center"/>
            </w:pPr>
            <w:r/>
            <w:r>
              <w:rPr>
                <w:rFonts w:ascii="Times New Roman" w:hAnsi="Times New Roman"/>
                <w:b/>
                <w:sz w:val="17"/>
              </w:rPr>
              <w:t>DEC</w:t>
            </w:r>
          </w:p>
        </w:tc>
        <w:tc>
          <w:tcPr>
            <w:tcW w:type="dxa" w:w="1152"/>
            <w:shd w:val="clear" w:color="auto" w:fill="D9D9D9"/>
          </w:tcPr>
          <w:p>
            <w:pPr>
              <w:spacing w:after="40" w:line="240" w:lineRule="auto"/>
              <w:jc w:val="center"/>
            </w:pPr>
            <w:r/>
            <w:r>
              <w:rPr>
                <w:rFonts w:ascii="Times New Roman" w:hAnsi="Times New Roman"/>
                <w:b/>
                <w:sz w:val="17"/>
              </w:rPr>
              <w:t>Tolerance</w:t>
            </w:r>
          </w:p>
        </w:tc>
        <w:tc>
          <w:tcPr>
            <w:tcW w:type="dxa" w:w="864"/>
            <w:shd w:val="clear" w:color="auto" w:fill="D9D9D9"/>
          </w:tcPr>
          <w:p>
            <w:pPr>
              <w:spacing w:after="40" w:line="240" w:lineRule="auto"/>
              <w:jc w:val="center"/>
            </w:pPr>
            <w:r/>
            <w:r>
              <w:rPr>
                <w:rFonts w:ascii="Times New Roman" w:hAnsi="Times New Roman"/>
                <w:b/>
                <w:sz w:val="17"/>
              </w:rPr>
              <w:t>VIF</w:t>
            </w:r>
          </w:p>
        </w:tc>
      </w:tr>
      <w:tr>
        <w:tc>
          <w:tcPr>
            <w:tcW w:type="dxa" w:w="1584"/>
          </w:tcPr>
          <w:p>
            <w:pPr>
              <w:spacing w:after="40" w:line="240" w:lineRule="auto"/>
              <w:jc w:val="left"/>
            </w:pPr>
            <w:r/>
            <w:r>
              <w:rPr>
                <w:rFonts w:ascii="Times New Roman" w:hAnsi="Times New Roman"/>
                <w:sz w:val="17"/>
              </w:rPr>
              <w:t>COST</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0.812</w:t>
            </w:r>
          </w:p>
        </w:tc>
        <w:tc>
          <w:tcPr>
            <w:tcW w:type="dxa" w:w="864"/>
          </w:tcPr>
          <w:p>
            <w:pPr>
              <w:spacing w:after="40" w:line="240" w:lineRule="auto"/>
              <w:jc w:val="center"/>
            </w:pPr>
            <w:r/>
            <w:r>
              <w:rPr>
                <w:rFonts w:ascii="Times New Roman" w:hAnsi="Times New Roman"/>
                <w:sz w:val="17"/>
              </w:rPr>
              <w:t>1.231</w:t>
            </w:r>
          </w:p>
        </w:tc>
      </w:tr>
      <w:tr>
        <w:tc>
          <w:tcPr>
            <w:tcW w:type="dxa" w:w="1584"/>
          </w:tcPr>
          <w:p>
            <w:pPr>
              <w:spacing w:after="40" w:line="240" w:lineRule="auto"/>
              <w:jc w:val="left"/>
            </w:pPr>
            <w:r/>
            <w:r>
              <w:rPr>
                <w:rFonts w:ascii="Times New Roman" w:hAnsi="Times New Roman"/>
                <w:sz w:val="17"/>
              </w:rPr>
              <w:t>SPEED</w:t>
            </w:r>
          </w:p>
        </w:tc>
        <w:tc>
          <w:tcPr>
            <w:tcW w:type="dxa" w:w="720"/>
          </w:tcPr>
          <w:p>
            <w:pPr>
              <w:spacing w:after="40" w:line="240" w:lineRule="auto"/>
              <w:jc w:val="left"/>
            </w:pPr>
            <w:r/>
            <w:r>
              <w:rPr>
                <w:rFonts w:ascii="Times New Roman" w:hAnsi="Times New Roman"/>
                <w:sz w:val="17"/>
              </w:rPr>
              <w:t>0.258</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0.793</w:t>
            </w:r>
          </w:p>
        </w:tc>
        <w:tc>
          <w:tcPr>
            <w:tcW w:type="dxa" w:w="864"/>
          </w:tcPr>
          <w:p>
            <w:pPr>
              <w:spacing w:after="40" w:line="240" w:lineRule="auto"/>
              <w:jc w:val="center"/>
            </w:pPr>
            <w:r/>
            <w:r>
              <w:rPr>
                <w:rFonts w:ascii="Times New Roman" w:hAnsi="Times New Roman"/>
                <w:sz w:val="17"/>
              </w:rPr>
              <w:t>1.260</w:t>
            </w:r>
          </w:p>
        </w:tc>
      </w:tr>
      <w:tr>
        <w:tc>
          <w:tcPr>
            <w:tcW w:type="dxa" w:w="1584"/>
          </w:tcPr>
          <w:p>
            <w:pPr>
              <w:spacing w:after="40" w:line="240" w:lineRule="auto"/>
              <w:jc w:val="left"/>
            </w:pPr>
            <w:r/>
            <w:r>
              <w:rPr>
                <w:rFonts w:ascii="Times New Roman" w:hAnsi="Times New Roman"/>
                <w:sz w:val="17"/>
              </w:rPr>
              <w:t>DIGI</w:t>
            </w:r>
          </w:p>
        </w:tc>
        <w:tc>
          <w:tcPr>
            <w:tcW w:type="dxa" w:w="720"/>
          </w:tcPr>
          <w:p>
            <w:pPr>
              <w:spacing w:after="40" w:line="240" w:lineRule="auto"/>
              <w:jc w:val="left"/>
            </w:pPr>
            <w:r/>
            <w:r>
              <w:rPr>
                <w:rFonts w:ascii="Times New Roman" w:hAnsi="Times New Roman"/>
                <w:sz w:val="17"/>
              </w:rPr>
              <w:t>0.216</w:t>
            </w:r>
          </w:p>
        </w:tc>
        <w:tc>
          <w:tcPr>
            <w:tcW w:type="dxa" w:w="720"/>
          </w:tcPr>
          <w:p>
            <w:pPr>
              <w:spacing w:after="40" w:line="240" w:lineRule="auto"/>
              <w:jc w:val="left"/>
            </w:pPr>
            <w:r/>
            <w:r>
              <w:rPr>
                <w:rFonts w:ascii="Times New Roman" w:hAnsi="Times New Roman"/>
                <w:sz w:val="17"/>
              </w:rPr>
              <w:t>0.353</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0.833</w:t>
            </w:r>
          </w:p>
        </w:tc>
        <w:tc>
          <w:tcPr>
            <w:tcW w:type="dxa" w:w="864"/>
          </w:tcPr>
          <w:p>
            <w:pPr>
              <w:spacing w:after="40" w:line="240" w:lineRule="auto"/>
              <w:jc w:val="center"/>
            </w:pPr>
            <w:r/>
            <w:r>
              <w:rPr>
                <w:rFonts w:ascii="Times New Roman" w:hAnsi="Times New Roman"/>
                <w:sz w:val="17"/>
              </w:rPr>
              <w:t>1.201</w:t>
            </w:r>
          </w:p>
        </w:tc>
      </w:tr>
      <w:tr>
        <w:tc>
          <w:tcPr>
            <w:tcW w:type="dxa" w:w="1584"/>
          </w:tcPr>
          <w:p>
            <w:pPr>
              <w:spacing w:after="40" w:line="240" w:lineRule="auto"/>
              <w:jc w:val="left"/>
            </w:pPr>
            <w:r/>
            <w:r>
              <w:rPr>
                <w:rFonts w:ascii="Times New Roman" w:hAnsi="Times New Roman"/>
                <w:sz w:val="17"/>
              </w:rPr>
              <w:t>REPU</w:t>
            </w:r>
          </w:p>
        </w:tc>
        <w:tc>
          <w:tcPr>
            <w:tcW w:type="dxa" w:w="720"/>
          </w:tcPr>
          <w:p>
            <w:pPr>
              <w:spacing w:after="40" w:line="240" w:lineRule="auto"/>
              <w:jc w:val="left"/>
            </w:pPr>
            <w:r/>
            <w:r>
              <w:rPr>
                <w:rFonts w:ascii="Times New Roman" w:hAnsi="Times New Roman"/>
                <w:sz w:val="17"/>
              </w:rPr>
              <w:t>0.256</w:t>
            </w:r>
          </w:p>
        </w:tc>
        <w:tc>
          <w:tcPr>
            <w:tcW w:type="dxa" w:w="720"/>
          </w:tcPr>
          <w:p>
            <w:pPr>
              <w:spacing w:after="40" w:line="240" w:lineRule="auto"/>
              <w:jc w:val="left"/>
            </w:pPr>
            <w:r/>
            <w:r>
              <w:rPr>
                <w:rFonts w:ascii="Times New Roman" w:hAnsi="Times New Roman"/>
                <w:sz w:val="17"/>
              </w:rPr>
              <w:t>0.238</w:t>
            </w:r>
          </w:p>
        </w:tc>
        <w:tc>
          <w:tcPr>
            <w:tcW w:type="dxa" w:w="720"/>
          </w:tcPr>
          <w:p>
            <w:pPr>
              <w:spacing w:after="40" w:line="240" w:lineRule="auto"/>
              <w:jc w:val="left"/>
            </w:pPr>
            <w:r/>
            <w:r>
              <w:rPr>
                <w:rFonts w:ascii="Times New Roman" w:hAnsi="Times New Roman"/>
                <w:sz w:val="17"/>
              </w:rPr>
              <w:t>0.206</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0.850</w:t>
            </w:r>
          </w:p>
        </w:tc>
        <w:tc>
          <w:tcPr>
            <w:tcW w:type="dxa" w:w="864"/>
          </w:tcPr>
          <w:p>
            <w:pPr>
              <w:spacing w:after="40" w:line="240" w:lineRule="auto"/>
              <w:jc w:val="center"/>
            </w:pPr>
            <w:r/>
            <w:r>
              <w:rPr>
                <w:rFonts w:ascii="Times New Roman" w:hAnsi="Times New Roman"/>
                <w:sz w:val="17"/>
              </w:rPr>
              <w:t>1.177</w:t>
            </w:r>
          </w:p>
        </w:tc>
      </w:tr>
      <w:tr>
        <w:tc>
          <w:tcPr>
            <w:tcW w:type="dxa" w:w="1584"/>
          </w:tcPr>
          <w:p>
            <w:pPr>
              <w:spacing w:after="40" w:line="240" w:lineRule="auto"/>
              <w:jc w:val="left"/>
            </w:pPr>
            <w:r/>
            <w:r>
              <w:rPr>
                <w:rFonts w:ascii="Times New Roman" w:hAnsi="Times New Roman"/>
                <w:sz w:val="17"/>
              </w:rPr>
              <w:t>RELA</w:t>
            </w:r>
          </w:p>
        </w:tc>
        <w:tc>
          <w:tcPr>
            <w:tcW w:type="dxa" w:w="720"/>
          </w:tcPr>
          <w:p>
            <w:pPr>
              <w:spacing w:after="40" w:line="240" w:lineRule="auto"/>
              <w:jc w:val="left"/>
            </w:pPr>
            <w:r/>
            <w:r>
              <w:rPr>
                <w:rFonts w:ascii="Times New Roman" w:hAnsi="Times New Roman"/>
                <w:sz w:val="17"/>
              </w:rPr>
              <w:t>0.295</w:t>
            </w:r>
          </w:p>
        </w:tc>
        <w:tc>
          <w:tcPr>
            <w:tcW w:type="dxa" w:w="720"/>
          </w:tcPr>
          <w:p>
            <w:pPr>
              <w:spacing w:after="40" w:line="240" w:lineRule="auto"/>
              <w:jc w:val="left"/>
            </w:pPr>
            <w:r/>
            <w:r>
              <w:rPr>
                <w:rFonts w:ascii="Times New Roman" w:hAnsi="Times New Roman"/>
                <w:sz w:val="17"/>
              </w:rPr>
              <w:t>0.247</w:t>
            </w:r>
          </w:p>
        </w:tc>
        <w:tc>
          <w:tcPr>
            <w:tcW w:type="dxa" w:w="720"/>
          </w:tcPr>
          <w:p>
            <w:pPr>
              <w:spacing w:after="40" w:line="240" w:lineRule="auto"/>
              <w:jc w:val="left"/>
            </w:pPr>
            <w:r/>
            <w:r>
              <w:rPr>
                <w:rFonts w:ascii="Times New Roman" w:hAnsi="Times New Roman"/>
                <w:sz w:val="17"/>
              </w:rPr>
              <w:t>0.216</w:t>
            </w:r>
          </w:p>
        </w:tc>
        <w:tc>
          <w:tcPr>
            <w:tcW w:type="dxa" w:w="720"/>
          </w:tcPr>
          <w:p>
            <w:pPr>
              <w:spacing w:after="40" w:line="240" w:lineRule="auto"/>
              <w:jc w:val="left"/>
            </w:pPr>
            <w:r/>
            <w:r>
              <w:rPr>
                <w:rFonts w:ascii="Times New Roman" w:hAnsi="Times New Roman"/>
                <w:sz w:val="17"/>
              </w:rPr>
              <w:t>0.255</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0.809</w:t>
            </w:r>
          </w:p>
        </w:tc>
        <w:tc>
          <w:tcPr>
            <w:tcW w:type="dxa" w:w="864"/>
          </w:tcPr>
          <w:p>
            <w:pPr>
              <w:spacing w:after="40" w:line="240" w:lineRule="auto"/>
              <w:jc w:val="center"/>
            </w:pPr>
            <w:r/>
            <w:r>
              <w:rPr>
                <w:rFonts w:ascii="Times New Roman" w:hAnsi="Times New Roman"/>
                <w:sz w:val="17"/>
              </w:rPr>
              <w:t>1.237</w:t>
            </w:r>
          </w:p>
        </w:tc>
      </w:tr>
      <w:tr>
        <w:tc>
          <w:tcPr>
            <w:tcW w:type="dxa" w:w="1584"/>
          </w:tcPr>
          <w:p>
            <w:pPr>
              <w:spacing w:after="40" w:line="240" w:lineRule="auto"/>
              <w:jc w:val="left"/>
            </w:pPr>
            <w:r/>
            <w:r>
              <w:rPr>
                <w:rFonts w:ascii="Times New Roman" w:hAnsi="Times New Roman"/>
                <w:sz w:val="17"/>
              </w:rPr>
              <w:t>STAFF</w:t>
            </w:r>
          </w:p>
        </w:tc>
        <w:tc>
          <w:tcPr>
            <w:tcW w:type="dxa" w:w="720"/>
          </w:tcPr>
          <w:p>
            <w:pPr>
              <w:spacing w:after="40" w:line="240" w:lineRule="auto"/>
              <w:jc w:val="left"/>
            </w:pPr>
            <w:r/>
            <w:r>
              <w:rPr>
                <w:rFonts w:ascii="Times New Roman" w:hAnsi="Times New Roman"/>
                <w:sz w:val="17"/>
              </w:rPr>
              <w:t>0.242</w:t>
            </w:r>
          </w:p>
        </w:tc>
        <w:tc>
          <w:tcPr>
            <w:tcW w:type="dxa" w:w="720"/>
          </w:tcPr>
          <w:p>
            <w:pPr>
              <w:spacing w:after="40" w:line="240" w:lineRule="auto"/>
              <w:jc w:val="left"/>
            </w:pPr>
            <w:r/>
            <w:r>
              <w:rPr>
                <w:rFonts w:ascii="Times New Roman" w:hAnsi="Times New Roman"/>
                <w:sz w:val="17"/>
              </w:rPr>
              <w:t>0.210</w:t>
            </w:r>
          </w:p>
        </w:tc>
        <w:tc>
          <w:tcPr>
            <w:tcW w:type="dxa" w:w="720"/>
          </w:tcPr>
          <w:p>
            <w:pPr>
              <w:spacing w:after="40" w:line="240" w:lineRule="auto"/>
              <w:jc w:val="left"/>
            </w:pPr>
            <w:r/>
            <w:r>
              <w:rPr>
                <w:rFonts w:ascii="Times New Roman" w:hAnsi="Times New Roman"/>
                <w:sz w:val="17"/>
              </w:rPr>
              <w:t>0.173</w:t>
            </w:r>
          </w:p>
        </w:tc>
        <w:tc>
          <w:tcPr>
            <w:tcW w:type="dxa" w:w="720"/>
          </w:tcPr>
          <w:p>
            <w:pPr>
              <w:spacing w:after="40" w:line="240" w:lineRule="auto"/>
              <w:jc w:val="left"/>
            </w:pPr>
            <w:r/>
            <w:r>
              <w:rPr>
                <w:rFonts w:ascii="Times New Roman" w:hAnsi="Times New Roman"/>
                <w:sz w:val="17"/>
              </w:rPr>
              <w:t>0.252</w:t>
            </w:r>
          </w:p>
        </w:tc>
        <w:tc>
          <w:tcPr>
            <w:tcW w:type="dxa" w:w="720"/>
          </w:tcPr>
          <w:p>
            <w:pPr>
              <w:spacing w:after="40" w:line="240" w:lineRule="auto"/>
              <w:jc w:val="left"/>
            </w:pPr>
            <w:r/>
            <w:r>
              <w:rPr>
                <w:rFonts w:ascii="Times New Roman" w:hAnsi="Times New Roman"/>
                <w:sz w:val="17"/>
              </w:rPr>
              <w:t>0.275</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0.861</w:t>
            </w:r>
          </w:p>
        </w:tc>
        <w:tc>
          <w:tcPr>
            <w:tcW w:type="dxa" w:w="864"/>
          </w:tcPr>
          <w:p>
            <w:pPr>
              <w:spacing w:after="40" w:line="240" w:lineRule="auto"/>
              <w:jc w:val="center"/>
            </w:pPr>
            <w:r/>
            <w:r>
              <w:rPr>
                <w:rFonts w:ascii="Times New Roman" w:hAnsi="Times New Roman"/>
                <w:sz w:val="17"/>
              </w:rPr>
              <w:t>1.162</w:t>
            </w:r>
          </w:p>
        </w:tc>
      </w:tr>
      <w:tr>
        <w:tc>
          <w:tcPr>
            <w:tcW w:type="dxa" w:w="1584"/>
          </w:tcPr>
          <w:p>
            <w:pPr>
              <w:spacing w:after="40" w:line="240" w:lineRule="auto"/>
              <w:jc w:val="left"/>
            </w:pPr>
            <w:r/>
            <w:r>
              <w:rPr>
                <w:rFonts w:ascii="Times New Roman" w:hAnsi="Times New Roman"/>
                <w:sz w:val="17"/>
              </w:rPr>
              <w:t>COLL</w:t>
            </w:r>
          </w:p>
        </w:tc>
        <w:tc>
          <w:tcPr>
            <w:tcW w:type="dxa" w:w="720"/>
          </w:tcPr>
          <w:p>
            <w:pPr>
              <w:spacing w:after="40" w:line="240" w:lineRule="auto"/>
              <w:jc w:val="left"/>
            </w:pPr>
            <w:r/>
            <w:r>
              <w:rPr>
                <w:rFonts w:ascii="Times New Roman" w:hAnsi="Times New Roman"/>
                <w:sz w:val="17"/>
              </w:rPr>
              <w:t>0.273</w:t>
            </w:r>
          </w:p>
        </w:tc>
        <w:tc>
          <w:tcPr>
            <w:tcW w:type="dxa" w:w="720"/>
          </w:tcPr>
          <w:p>
            <w:pPr>
              <w:spacing w:after="40" w:line="240" w:lineRule="auto"/>
              <w:jc w:val="left"/>
            </w:pPr>
            <w:r/>
            <w:r>
              <w:rPr>
                <w:rFonts w:ascii="Times New Roman" w:hAnsi="Times New Roman"/>
                <w:sz w:val="17"/>
              </w:rPr>
              <w:t>0.252</w:t>
            </w:r>
          </w:p>
        </w:tc>
        <w:tc>
          <w:tcPr>
            <w:tcW w:type="dxa" w:w="720"/>
          </w:tcPr>
          <w:p>
            <w:pPr>
              <w:spacing w:after="40" w:line="240" w:lineRule="auto"/>
              <w:jc w:val="left"/>
            </w:pPr>
            <w:r/>
            <w:r>
              <w:rPr>
                <w:rFonts w:ascii="Times New Roman" w:hAnsi="Times New Roman"/>
                <w:sz w:val="17"/>
              </w:rPr>
              <w:t>0.210</w:t>
            </w:r>
          </w:p>
        </w:tc>
        <w:tc>
          <w:tcPr>
            <w:tcW w:type="dxa" w:w="720"/>
          </w:tcPr>
          <w:p>
            <w:pPr>
              <w:spacing w:after="40" w:line="240" w:lineRule="auto"/>
              <w:jc w:val="left"/>
            </w:pPr>
            <w:r/>
            <w:r>
              <w:rPr>
                <w:rFonts w:ascii="Times New Roman" w:hAnsi="Times New Roman"/>
                <w:sz w:val="17"/>
              </w:rPr>
              <w:t>0.179</w:t>
            </w:r>
          </w:p>
        </w:tc>
        <w:tc>
          <w:tcPr>
            <w:tcW w:type="dxa" w:w="720"/>
          </w:tcPr>
          <w:p>
            <w:pPr>
              <w:spacing w:after="40" w:line="240" w:lineRule="auto"/>
              <w:jc w:val="left"/>
            </w:pPr>
            <w:r/>
            <w:r>
              <w:rPr>
                <w:rFonts w:ascii="Times New Roman" w:hAnsi="Times New Roman"/>
                <w:sz w:val="17"/>
              </w:rPr>
              <w:t>0.261</w:t>
            </w:r>
          </w:p>
        </w:tc>
        <w:tc>
          <w:tcPr>
            <w:tcW w:type="dxa" w:w="720"/>
          </w:tcPr>
          <w:p>
            <w:pPr>
              <w:spacing w:after="40" w:line="240" w:lineRule="auto"/>
              <w:jc w:val="left"/>
            </w:pPr>
            <w:r/>
            <w:r>
              <w:rPr>
                <w:rFonts w:ascii="Times New Roman" w:hAnsi="Times New Roman"/>
                <w:sz w:val="17"/>
              </w:rPr>
              <w:t>0.135</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0.856</w:t>
            </w:r>
          </w:p>
        </w:tc>
        <w:tc>
          <w:tcPr>
            <w:tcW w:type="dxa" w:w="864"/>
          </w:tcPr>
          <w:p>
            <w:pPr>
              <w:spacing w:after="40" w:line="240" w:lineRule="auto"/>
              <w:jc w:val="center"/>
            </w:pPr>
            <w:r/>
            <w:r>
              <w:rPr>
                <w:rFonts w:ascii="Times New Roman" w:hAnsi="Times New Roman"/>
                <w:sz w:val="17"/>
              </w:rPr>
              <w:t>1.168</w:t>
            </w:r>
          </w:p>
        </w:tc>
      </w:tr>
      <w:tr>
        <w:tc>
          <w:tcPr>
            <w:tcW w:type="dxa" w:w="1584"/>
          </w:tcPr>
          <w:p>
            <w:pPr>
              <w:spacing w:after="40" w:line="240" w:lineRule="auto"/>
              <w:jc w:val="left"/>
            </w:pPr>
            <w:r/>
            <w:r>
              <w:rPr>
                <w:rFonts w:ascii="Times New Roman" w:hAnsi="Times New Roman"/>
                <w:sz w:val="17"/>
              </w:rPr>
              <w:t>DEC</w:t>
            </w:r>
          </w:p>
        </w:tc>
        <w:tc>
          <w:tcPr>
            <w:tcW w:type="dxa" w:w="720"/>
          </w:tcPr>
          <w:p>
            <w:pPr>
              <w:spacing w:after="40" w:line="240" w:lineRule="auto"/>
              <w:jc w:val="left"/>
            </w:pPr>
            <w:r/>
            <w:r>
              <w:rPr>
                <w:rFonts w:ascii="Times New Roman" w:hAnsi="Times New Roman"/>
                <w:sz w:val="17"/>
              </w:rPr>
              <w:t>0.498</w:t>
            </w:r>
          </w:p>
        </w:tc>
        <w:tc>
          <w:tcPr>
            <w:tcW w:type="dxa" w:w="720"/>
          </w:tcPr>
          <w:p>
            <w:pPr>
              <w:spacing w:after="40" w:line="240" w:lineRule="auto"/>
              <w:jc w:val="left"/>
            </w:pPr>
            <w:r/>
            <w:r>
              <w:rPr>
                <w:rFonts w:ascii="Times New Roman" w:hAnsi="Times New Roman"/>
                <w:sz w:val="17"/>
              </w:rPr>
              <w:t>0.458</w:t>
            </w:r>
          </w:p>
        </w:tc>
        <w:tc>
          <w:tcPr>
            <w:tcW w:type="dxa" w:w="720"/>
          </w:tcPr>
          <w:p>
            <w:pPr>
              <w:spacing w:after="40" w:line="240" w:lineRule="auto"/>
              <w:jc w:val="left"/>
            </w:pPr>
            <w:r/>
            <w:r>
              <w:rPr>
                <w:rFonts w:ascii="Times New Roman" w:hAnsi="Times New Roman"/>
                <w:sz w:val="17"/>
              </w:rPr>
              <w:t>0.375</w:t>
            </w:r>
          </w:p>
        </w:tc>
        <w:tc>
          <w:tcPr>
            <w:tcW w:type="dxa" w:w="720"/>
          </w:tcPr>
          <w:p>
            <w:pPr>
              <w:spacing w:after="40" w:line="240" w:lineRule="auto"/>
              <w:jc w:val="left"/>
            </w:pPr>
            <w:r/>
            <w:r>
              <w:rPr>
                <w:rFonts w:ascii="Times New Roman" w:hAnsi="Times New Roman"/>
                <w:sz w:val="17"/>
              </w:rPr>
              <w:t>0.412</w:t>
            </w:r>
          </w:p>
        </w:tc>
        <w:tc>
          <w:tcPr>
            <w:tcW w:type="dxa" w:w="720"/>
          </w:tcPr>
          <w:p>
            <w:pPr>
              <w:spacing w:after="40" w:line="240" w:lineRule="auto"/>
              <w:jc w:val="left"/>
            </w:pPr>
            <w:r/>
            <w:r>
              <w:rPr>
                <w:rFonts w:ascii="Times New Roman" w:hAnsi="Times New Roman"/>
                <w:sz w:val="17"/>
              </w:rPr>
              <w:t>0.487</w:t>
            </w:r>
          </w:p>
        </w:tc>
        <w:tc>
          <w:tcPr>
            <w:tcW w:type="dxa" w:w="720"/>
          </w:tcPr>
          <w:p>
            <w:pPr>
              <w:spacing w:after="40" w:line="240" w:lineRule="auto"/>
              <w:jc w:val="left"/>
            </w:pPr>
            <w:r/>
            <w:r>
              <w:rPr>
                <w:rFonts w:ascii="Times New Roman" w:hAnsi="Times New Roman"/>
                <w:sz w:val="17"/>
              </w:rPr>
              <w:t>0.392</w:t>
            </w:r>
          </w:p>
        </w:tc>
        <w:tc>
          <w:tcPr>
            <w:tcW w:type="dxa" w:w="720"/>
          </w:tcPr>
          <w:p>
            <w:pPr>
              <w:spacing w:after="40" w:line="240" w:lineRule="auto"/>
              <w:jc w:val="left"/>
            </w:pPr>
            <w:r/>
            <w:r>
              <w:rPr>
                <w:rFonts w:ascii="Times New Roman" w:hAnsi="Times New Roman"/>
                <w:sz w:val="17"/>
              </w:rPr>
              <w:t>0.412</w:t>
            </w:r>
          </w:p>
        </w:tc>
        <w:tc>
          <w:tcPr>
            <w:tcW w:type="dxa" w:w="720"/>
          </w:tcPr>
          <w:p>
            <w:pPr>
              <w:spacing w:after="40" w:line="240" w:lineRule="auto"/>
              <w:jc w:val="left"/>
            </w:pPr>
            <w:r/>
            <w:r>
              <w:rPr>
                <w:rFonts w:ascii="Times New Roman" w:hAnsi="Times New Roman"/>
                <w:sz w:val="17"/>
              </w:rPr>
              <w:t>1.000</w:t>
            </w:r>
          </w:p>
        </w:tc>
        <w:tc>
          <w:tcPr>
            <w:tcW w:type="dxa" w:w="1152"/>
          </w:tcPr>
          <w:p>
            <w:pPr>
              <w:spacing w:after="40" w:line="240" w:lineRule="auto"/>
              <w:jc w:val="left"/>
            </w:pPr>
            <w:r/>
            <w:r>
              <w:rPr>
                <w:rFonts w:ascii="Times New Roman" w:hAnsi="Times New Roman"/>
                <w:sz w:val="17"/>
              </w:rPr>
              <w:t>—</w:t>
            </w:r>
          </w:p>
        </w:tc>
        <w:tc>
          <w:tcPr>
            <w:tcW w:type="dxa" w:w="864"/>
          </w:tcPr>
          <w:p>
            <w:pPr>
              <w:spacing w:after="40" w:line="240" w:lineRule="auto"/>
              <w:jc w:val="center"/>
            </w:pPr>
            <w:r/>
            <w:r>
              <w:rPr>
                <w:rFonts w:ascii="Times New Roman" w:hAnsi="Times New Roman"/>
                <w:sz w:val="17"/>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All bivariate Pearson correlations among the seven independent constructs range moderately between 0.20 and 0.44, reflecting authentic business relationships. All Variance Inflation Factors (VIF) remain tightly bounded between 1.162 and 1.260, well below the conservative threshold of 2.0, confirming the complete absence of multicollinearity.</w:t>
      </w:r>
    </w:p>
    <w:p w14:paraId="5C85C76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4.5. Multiple Linear Regression Results (OLS)</w:t>
      </w:r>
    </w:p>
    <w:p w14:paraId="133EE0A8"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4.5.1. Model Summary &amp; Goodness of Fit</w:t>
      </w:r>
    </w:p>
    <w:p>
      <w:pPr>
        <w:spacing w:after="80" w:line="360" w:lineRule="auto"/>
        <w:ind w:firstLine="0"/>
        <w:jc w:val="center"/>
      </w:pPr>
      <w:r>
        <w:rPr>
          <w:rFonts w:ascii="Times New Roman" w:hAnsi="Times New Roman"/>
          <w:b/>
          <w:i w:val="0"/>
          <w:sz w:val="22"/>
        </w:rPr>
        <w:t>Table 4.11: OLS Multiple Regression Model Summary and ANOVA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Statistic / Source</w:t>
            </w:r>
          </w:p>
        </w:tc>
        <w:tc>
          <w:tcPr>
            <w:tcW w:type="dxa" w:w="2016"/>
            <w:shd w:val="clear" w:color="auto" w:fill="D9D9D9"/>
          </w:tcPr>
          <w:p>
            <w:pPr>
              <w:spacing w:after="40" w:line="240" w:lineRule="auto"/>
              <w:jc w:val="center"/>
            </w:pPr>
            <w:r/>
            <w:r>
              <w:rPr>
                <w:rFonts w:ascii="Times New Roman" w:hAnsi="Times New Roman"/>
                <w:b/>
                <w:sz w:val="18"/>
              </w:rPr>
              <w:t>Value / Sum of Squares</w:t>
            </w:r>
          </w:p>
        </w:tc>
        <w:tc>
          <w:tcPr>
            <w:tcW w:type="dxa" w:w="864"/>
            <w:shd w:val="clear" w:color="auto" w:fill="D9D9D9"/>
          </w:tcPr>
          <w:p>
            <w:pPr>
              <w:spacing w:after="40" w:line="240" w:lineRule="auto"/>
              <w:jc w:val="center"/>
            </w:pPr>
            <w:r/>
            <w:r>
              <w:rPr>
                <w:rFonts w:ascii="Times New Roman" w:hAnsi="Times New Roman"/>
                <w:b/>
                <w:sz w:val="18"/>
              </w:rPr>
              <w:t>df</w:t>
            </w:r>
          </w:p>
        </w:tc>
        <w:tc>
          <w:tcPr>
            <w:tcW w:type="dxa" w:w="1440"/>
            <w:shd w:val="clear" w:color="auto" w:fill="D9D9D9"/>
          </w:tcPr>
          <w:p>
            <w:pPr>
              <w:spacing w:after="40" w:line="240" w:lineRule="auto"/>
              <w:jc w:val="center"/>
            </w:pPr>
            <w:r/>
            <w:r>
              <w:rPr>
                <w:rFonts w:ascii="Times New Roman" w:hAnsi="Times New Roman"/>
                <w:b/>
                <w:sz w:val="18"/>
              </w:rPr>
              <w:t>Mean Square</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584"/>
            <w:shd w:val="clear" w:color="auto" w:fill="D9D9D9"/>
          </w:tcPr>
          <w:p>
            <w:pPr>
              <w:spacing w:after="40" w:line="240" w:lineRule="auto"/>
              <w:jc w:val="center"/>
            </w:pPr>
            <w:r/>
            <w:r>
              <w:rPr>
                <w:rFonts w:ascii="Times New Roman" w:hAnsi="Times New Roman"/>
                <w:b/>
                <w:sz w:val="18"/>
              </w:rPr>
              <w:t>Significance (p)</w:t>
            </w:r>
          </w:p>
        </w:tc>
      </w:tr>
      <w:tr>
        <w:tc>
          <w:tcPr>
            <w:tcW w:type="dxa" w:w="3168"/>
          </w:tcPr>
          <w:p>
            <w:pPr>
              <w:spacing w:after="40" w:line="240" w:lineRule="auto"/>
              <w:jc w:val="left"/>
            </w:pPr>
            <w:r/>
            <w:r>
              <w:rPr>
                <w:rFonts w:ascii="Times New Roman" w:hAnsi="Times New Roman"/>
                <w:sz w:val="18"/>
              </w:rPr>
              <w:t>Multiple R</w:t>
            </w:r>
          </w:p>
        </w:tc>
        <w:tc>
          <w:tcPr>
            <w:tcW w:type="dxa" w:w="2016"/>
          </w:tcPr>
          <w:p>
            <w:pPr>
              <w:spacing w:after="40" w:line="240" w:lineRule="auto"/>
              <w:jc w:val="left"/>
            </w:pPr>
            <w:r/>
            <w:r>
              <w:rPr>
                <w:rFonts w:ascii="Times New Roman" w:hAnsi="Times New Roman"/>
                <w:sz w:val="18"/>
              </w:rPr>
              <w:t>0.741</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R-Squared (R²)</w:t>
            </w:r>
          </w:p>
        </w:tc>
        <w:tc>
          <w:tcPr>
            <w:tcW w:type="dxa" w:w="2016"/>
          </w:tcPr>
          <w:p>
            <w:pPr>
              <w:spacing w:after="40" w:line="240" w:lineRule="auto"/>
              <w:jc w:val="left"/>
            </w:pPr>
            <w:r/>
            <w:r>
              <w:rPr>
                <w:rFonts w:ascii="Times New Roman" w:hAnsi="Times New Roman"/>
                <w:sz w:val="18"/>
              </w:rPr>
              <w:t>0.549</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Adjusted R-Squared</w:t>
            </w:r>
          </w:p>
        </w:tc>
        <w:tc>
          <w:tcPr>
            <w:tcW w:type="dxa" w:w="2016"/>
          </w:tcPr>
          <w:p>
            <w:pPr>
              <w:spacing w:after="40" w:line="240" w:lineRule="auto"/>
              <w:jc w:val="left"/>
            </w:pPr>
            <w:r/>
            <w:r>
              <w:rPr>
                <w:rFonts w:ascii="Times New Roman" w:hAnsi="Times New Roman"/>
                <w:sz w:val="18"/>
              </w:rPr>
              <w:t>0.545</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Std. Error of Estimate</w:t>
            </w:r>
          </w:p>
        </w:tc>
        <w:tc>
          <w:tcPr>
            <w:tcW w:type="dxa" w:w="2016"/>
          </w:tcPr>
          <w:p>
            <w:pPr>
              <w:spacing w:after="40" w:line="240" w:lineRule="auto"/>
              <w:jc w:val="left"/>
            </w:pPr>
            <w:r/>
            <w:r>
              <w:rPr>
                <w:rFonts w:ascii="Times New Roman" w:hAnsi="Times New Roman"/>
                <w:sz w:val="18"/>
              </w:rPr>
              <w:t>0.491</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Durbin–Watson (DW)</w:t>
            </w:r>
          </w:p>
        </w:tc>
        <w:tc>
          <w:tcPr>
            <w:tcW w:type="dxa" w:w="2016"/>
          </w:tcPr>
          <w:p>
            <w:pPr>
              <w:spacing w:after="40" w:line="240" w:lineRule="auto"/>
              <w:jc w:val="left"/>
            </w:pPr>
            <w:r/>
            <w:r>
              <w:rPr>
                <w:rFonts w:ascii="Times New Roman" w:hAnsi="Times New Roman"/>
                <w:sz w:val="18"/>
              </w:rPr>
              <w:t>2.059</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No Autocorrelation (≈ 2.0)</w:t>
            </w:r>
          </w:p>
        </w:tc>
      </w:tr>
      <w:tr>
        <w:tc>
          <w:tcPr>
            <w:tcW w:type="dxa" w:w="3168"/>
          </w:tcPr>
          <w:p>
            <w:pPr>
              <w:spacing w:after="40" w:line="240" w:lineRule="auto"/>
              <w:jc w:val="left"/>
            </w:pPr>
            <w:r/>
            <w:r>
              <w:rPr>
                <w:rFonts w:ascii="Times New Roman" w:hAnsi="Times New Roman"/>
                <w:sz w:val="18"/>
              </w:rPr>
              <w:t>Regression</w:t>
            </w:r>
          </w:p>
        </w:tc>
        <w:tc>
          <w:tcPr>
            <w:tcW w:type="dxa" w:w="2016"/>
          </w:tcPr>
          <w:p>
            <w:pPr>
              <w:spacing w:after="40" w:line="240" w:lineRule="auto"/>
              <w:jc w:val="left"/>
            </w:pPr>
            <w:r/>
            <w:r>
              <w:rPr>
                <w:rFonts w:ascii="Times New Roman" w:hAnsi="Times New Roman"/>
                <w:sz w:val="18"/>
              </w:rPr>
              <w:t>232.977</w:t>
            </w:r>
          </w:p>
        </w:tc>
        <w:tc>
          <w:tcPr>
            <w:tcW w:type="dxa" w:w="864"/>
          </w:tcPr>
          <w:p>
            <w:pPr>
              <w:spacing w:after="40" w:line="240" w:lineRule="auto"/>
              <w:jc w:val="left"/>
            </w:pPr>
            <w:r/>
            <w:r>
              <w:rPr>
                <w:rFonts w:ascii="Times New Roman" w:hAnsi="Times New Roman"/>
                <w:sz w:val="18"/>
              </w:rPr>
              <w:t>7</w:t>
            </w:r>
          </w:p>
        </w:tc>
        <w:tc>
          <w:tcPr>
            <w:tcW w:type="dxa" w:w="1440"/>
          </w:tcPr>
          <w:p>
            <w:pPr>
              <w:spacing w:after="40" w:line="240" w:lineRule="auto"/>
              <w:jc w:val="left"/>
            </w:pPr>
            <w:r/>
            <w:r>
              <w:rPr>
                <w:rFonts w:ascii="Times New Roman" w:hAnsi="Times New Roman"/>
                <w:sz w:val="18"/>
              </w:rPr>
              <w:t>33.282</w:t>
            </w:r>
          </w:p>
        </w:tc>
        <w:tc>
          <w:tcPr>
            <w:tcW w:type="dxa" w:w="1440"/>
          </w:tcPr>
          <w:p>
            <w:pPr>
              <w:spacing w:after="40" w:line="240" w:lineRule="auto"/>
              <w:jc w:val="left"/>
            </w:pPr>
            <w:r/>
            <w:r>
              <w:rPr>
                <w:rFonts w:ascii="Times New Roman" w:hAnsi="Times New Roman"/>
                <w:sz w:val="18"/>
              </w:rPr>
              <w:t>137.97</w:t>
            </w:r>
          </w:p>
        </w:tc>
        <w:tc>
          <w:tcPr>
            <w:tcW w:type="dxa" w:w="1584"/>
          </w:tcPr>
          <w:p>
            <w:pPr>
              <w:spacing w:after="40" w:line="240" w:lineRule="auto"/>
              <w:jc w:val="center"/>
            </w:pPr>
            <w:r/>
            <w:r>
              <w:rPr>
                <w:rFonts w:ascii="Times New Roman" w:hAnsi="Times New Roman"/>
                <w:sz w:val="18"/>
              </w:rPr>
              <w:t>&lt; 0.001***</w:t>
            </w:r>
          </w:p>
        </w:tc>
      </w:tr>
      <w:tr>
        <w:tc>
          <w:tcPr>
            <w:tcW w:type="dxa" w:w="3168"/>
          </w:tcPr>
          <w:p>
            <w:pPr>
              <w:spacing w:after="40" w:line="240" w:lineRule="auto"/>
              <w:jc w:val="left"/>
            </w:pPr>
            <w:r/>
            <w:r>
              <w:rPr>
                <w:rFonts w:ascii="Times New Roman" w:hAnsi="Times New Roman"/>
                <w:sz w:val="18"/>
              </w:rPr>
              <w:t>Residual</w:t>
            </w:r>
          </w:p>
        </w:tc>
        <w:tc>
          <w:tcPr>
            <w:tcW w:type="dxa" w:w="2016"/>
          </w:tcPr>
          <w:p>
            <w:pPr>
              <w:spacing w:after="40" w:line="240" w:lineRule="auto"/>
              <w:jc w:val="left"/>
            </w:pPr>
            <w:r/>
            <w:r>
              <w:rPr>
                <w:rFonts w:ascii="Times New Roman" w:hAnsi="Times New Roman"/>
                <w:sz w:val="18"/>
              </w:rPr>
              <w:t>191.048</w:t>
            </w:r>
          </w:p>
        </w:tc>
        <w:tc>
          <w:tcPr>
            <w:tcW w:type="dxa" w:w="864"/>
          </w:tcPr>
          <w:p>
            <w:pPr>
              <w:spacing w:after="40" w:line="240" w:lineRule="auto"/>
              <w:jc w:val="left"/>
            </w:pPr>
            <w:r/>
            <w:r>
              <w:rPr>
                <w:rFonts w:ascii="Times New Roman" w:hAnsi="Times New Roman"/>
                <w:sz w:val="18"/>
              </w:rPr>
              <w:t>792</w:t>
            </w:r>
          </w:p>
        </w:tc>
        <w:tc>
          <w:tcPr>
            <w:tcW w:type="dxa" w:w="1440"/>
          </w:tcPr>
          <w:p>
            <w:pPr>
              <w:spacing w:after="40" w:line="240" w:lineRule="auto"/>
              <w:jc w:val="left"/>
            </w:pPr>
            <w:r/>
            <w:r>
              <w:rPr>
                <w:rFonts w:ascii="Times New Roman" w:hAnsi="Times New Roman"/>
                <w:sz w:val="18"/>
              </w:rPr>
              <w:t>0.241</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Total</w:t>
            </w:r>
          </w:p>
        </w:tc>
        <w:tc>
          <w:tcPr>
            <w:tcW w:type="dxa" w:w="2016"/>
          </w:tcPr>
          <w:p>
            <w:pPr>
              <w:spacing w:after="40" w:line="240" w:lineRule="auto"/>
              <w:jc w:val="left"/>
            </w:pPr>
            <w:r/>
            <w:r>
              <w:rPr>
                <w:rFonts w:ascii="Times New Roman" w:hAnsi="Times New Roman"/>
                <w:sz w:val="18"/>
              </w:rPr>
              <w:t>424.025</w:t>
            </w:r>
          </w:p>
        </w:tc>
        <w:tc>
          <w:tcPr>
            <w:tcW w:type="dxa" w:w="864"/>
          </w:tcPr>
          <w:p>
            <w:pPr>
              <w:spacing w:after="40" w:line="240" w:lineRule="auto"/>
              <w:jc w:val="left"/>
            </w:pPr>
            <w:r/>
            <w:r>
              <w:rPr>
                <w:rFonts w:ascii="Times New Roman" w:hAnsi="Times New Roman"/>
                <w:sz w:val="18"/>
              </w:rPr>
              <w:t>799</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The empirical regression model accounts for 54.9% of the total variance in corporate bank guarantee selection (R² = 0.549, Adjusted R² = 0.545, F(7, 792) = 137.97, p &lt; 0.001). The Durbin–Watson statistic of 2.059 is virtually identical to 2.0, verifying that the regression residuals are free of serial correlation.</w:t>
      </w:r>
    </w:p>
    <w:p w14:paraId="6E3D4FA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4.5.2. Estimated Coefficients and Hypothesis Testing</w:t>
      </w:r>
    </w:p>
    <w:p>
      <w:pPr>
        <w:spacing w:after="80" w:line="360" w:lineRule="auto"/>
        <w:ind w:firstLine="0"/>
        <w:jc w:val="center"/>
      </w:pPr>
      <w:r>
        <w:rPr>
          <w:rFonts w:ascii="Times New Roman" w:hAnsi="Times New Roman"/>
          <w:b/>
          <w:i w:val="0"/>
          <w:sz w:val="22"/>
        </w:rPr>
        <w:t>Table 4.12: Regression coefficients and research hypothesis testing decisions with HC3 Robust Standard Errors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592"/>
            <w:shd w:val="clear" w:color="auto" w:fill="D9D9D9"/>
          </w:tcPr>
          <w:p>
            <w:pPr>
              <w:spacing w:after="40" w:line="240" w:lineRule="auto"/>
              <w:jc w:val="center"/>
            </w:pPr>
            <w:r/>
            <w:r>
              <w:rPr>
                <w:rFonts w:ascii="Times New Roman" w:hAnsi="Times New Roman"/>
                <w:b/>
                <w:sz w:val="16"/>
              </w:rPr>
              <w:t>Independent Variable</w:t>
            </w:r>
          </w:p>
        </w:tc>
        <w:tc>
          <w:tcPr>
            <w:tcW w:type="dxa" w:w="864"/>
            <w:shd w:val="clear" w:color="auto" w:fill="D9D9D9"/>
          </w:tcPr>
          <w:p>
            <w:pPr>
              <w:spacing w:after="40" w:line="240" w:lineRule="auto"/>
              <w:jc w:val="center"/>
            </w:pPr>
            <w:r/>
            <w:r>
              <w:rPr>
                <w:rFonts w:ascii="Times New Roman" w:hAnsi="Times New Roman"/>
                <w:b/>
                <w:sz w:val="16"/>
              </w:rPr>
              <w:t>Hypothesis</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720"/>
            <w:shd w:val="clear" w:color="auto" w:fill="D9D9D9"/>
          </w:tcPr>
          <w:p>
            <w:pPr>
              <w:spacing w:after="40" w:line="240" w:lineRule="auto"/>
              <w:jc w:val="center"/>
            </w:pPr>
            <w:r/>
            <w:r>
              <w:rPr>
                <w:rFonts w:ascii="Times New Roman" w:hAnsi="Times New Roman"/>
                <w:b/>
                <w:sz w:val="16"/>
              </w:rPr>
              <w:t>Ordinary SE</w:t>
            </w:r>
          </w:p>
        </w:tc>
        <w:tc>
          <w:tcPr>
            <w:tcW w:type="dxa" w:w="720"/>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720"/>
            <w:shd w:val="clear" w:color="auto" w:fill="D9D9D9"/>
          </w:tcPr>
          <w:p>
            <w:pPr>
              <w:spacing w:after="40" w:line="240" w:lineRule="auto"/>
              <w:jc w:val="center"/>
            </w:pPr>
            <w:r/>
            <w:r>
              <w:rPr>
                <w:rFonts w:ascii="Times New Roman" w:hAnsi="Times New Roman"/>
                <w:b/>
                <w:sz w:val="16"/>
              </w:rPr>
              <w:t>t (HC3)</w:t>
            </w:r>
          </w:p>
        </w:tc>
        <w:tc>
          <w:tcPr>
            <w:tcW w:type="dxa" w:w="1008"/>
            <w:shd w:val="clear" w:color="auto" w:fill="D9D9D9"/>
          </w:tcPr>
          <w:p>
            <w:pPr>
              <w:spacing w:after="40" w:line="240" w:lineRule="auto"/>
              <w:jc w:val="center"/>
            </w:pPr>
            <w:r/>
            <w:r>
              <w:rPr>
                <w:rFonts w:ascii="Times New Roman" w:hAnsi="Times New Roman"/>
                <w:b/>
                <w:sz w:val="16"/>
              </w:rPr>
              <w:t>p-value</w:t>
            </w:r>
          </w:p>
        </w:tc>
        <w:tc>
          <w:tcPr>
            <w:tcW w:type="dxa" w:w="720"/>
            <w:shd w:val="clear" w:color="auto" w:fill="D9D9D9"/>
          </w:tcPr>
          <w:p>
            <w:pPr>
              <w:spacing w:after="40" w:line="240" w:lineRule="auto"/>
              <w:jc w:val="center"/>
            </w:pPr>
            <w:r/>
            <w:r>
              <w:rPr>
                <w:rFonts w:ascii="Times New Roman" w:hAnsi="Times New Roman"/>
                <w:b/>
                <w:sz w:val="16"/>
              </w:rPr>
              <w:t>VIF</w:t>
            </w:r>
          </w:p>
        </w:tc>
        <w:tc>
          <w:tcPr>
            <w:tcW w:type="dxa" w:w="1152"/>
            <w:shd w:val="clear" w:color="auto" w:fill="D9D9D9"/>
          </w:tcPr>
          <w:p>
            <w:pPr>
              <w:spacing w:after="40" w:line="240" w:lineRule="auto"/>
              <w:jc w:val="center"/>
            </w:pPr>
            <w:r/>
            <w:r>
              <w:rPr>
                <w:rFonts w:ascii="Times New Roman" w:hAnsi="Times New Roman"/>
                <w:b/>
                <w:sz w:val="16"/>
              </w:rPr>
              <w:t>Decision</w:t>
            </w:r>
          </w:p>
        </w:tc>
      </w:tr>
      <w:tr>
        <w:tc>
          <w:tcPr>
            <w:tcW w:type="dxa" w:w="2592"/>
          </w:tcPr>
          <w:p>
            <w:pPr>
              <w:spacing w:after="40" w:line="240" w:lineRule="auto"/>
              <w:jc w:val="left"/>
            </w:pPr>
            <w:r/>
            <w:r>
              <w:rPr>
                <w:rFonts w:ascii="Times New Roman" w:hAnsi="Times New Roman"/>
                <w:sz w:val="16"/>
              </w:rPr>
              <w:t>(Constant)</w:t>
            </w:r>
          </w:p>
        </w:tc>
        <w:tc>
          <w:tcPr>
            <w:tcW w:type="dxa" w:w="864"/>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-0.546</w:t>
            </w:r>
          </w:p>
        </w:tc>
        <w:tc>
          <w:tcPr>
            <w:tcW w:type="dxa" w:w="720"/>
          </w:tcPr>
          <w:p>
            <w:pPr>
              <w:spacing w:after="40" w:line="240" w:lineRule="auto"/>
              <w:jc w:val="left"/>
            </w:pPr>
            <w:r/>
            <w:r>
              <w:rPr>
                <w:rFonts w:ascii="Times New Roman" w:hAnsi="Times New Roman"/>
                <w:sz w:val="16"/>
              </w:rPr>
              <w:t>0.146</w:t>
            </w:r>
          </w:p>
        </w:tc>
        <w:tc>
          <w:tcPr>
            <w:tcW w:type="dxa" w:w="720"/>
          </w:tcPr>
          <w:p>
            <w:pPr>
              <w:spacing w:after="40" w:line="240" w:lineRule="auto"/>
              <w:jc w:val="left"/>
            </w:pPr>
            <w:r/>
            <w:r>
              <w:rPr>
                <w:rFonts w:ascii="Times New Roman" w:hAnsi="Times New Roman"/>
                <w:sz w:val="16"/>
              </w:rPr>
              <w:t>0.144</w:t>
            </w:r>
          </w:p>
        </w:tc>
        <w:tc>
          <w:tcPr>
            <w:tcW w:type="dxa" w:w="720"/>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-3.79</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w:t>
            </w:r>
          </w:p>
        </w:tc>
        <w:tc>
          <w:tcPr>
            <w:tcW w:type="dxa" w:w="1152"/>
          </w:tcPr>
          <w:p>
            <w:pPr>
              <w:spacing w:after="40" w:line="240" w:lineRule="auto"/>
              <w:jc w:val="center"/>
            </w:pPr>
            <w:r/>
            <w:r>
              <w:rPr>
                <w:rFonts w:ascii="Times New Roman" w:hAnsi="Times New Roman"/>
                <w:sz w:val="16"/>
              </w:rPr>
              <w:t>—</w:t>
            </w:r>
          </w:p>
        </w:tc>
      </w:tr>
      <w:tr>
        <w:tc>
          <w:tcPr>
            <w:tcW w:type="dxa" w:w="2592"/>
          </w:tcPr>
          <w:p>
            <w:pPr>
              <w:spacing w:after="40" w:line="240" w:lineRule="auto"/>
              <w:jc w:val="left"/>
            </w:pPr>
            <w:r/>
            <w:r>
              <w:rPr>
                <w:rFonts w:ascii="Times New Roman" w:hAnsi="Times New Roman"/>
                <w:sz w:val="16"/>
              </w:rPr>
              <w:t>Price Competitiveness (COST_COMP)</w:t>
            </w:r>
          </w:p>
        </w:tc>
        <w:tc>
          <w:tcPr>
            <w:tcW w:type="dxa" w:w="864"/>
          </w:tcPr>
          <w:p>
            <w:pPr>
              <w:spacing w:after="40" w:line="240" w:lineRule="auto"/>
              <w:jc w:val="left"/>
            </w:pPr>
            <w:r/>
            <w:r>
              <w:rPr>
                <w:rFonts w:ascii="Times New Roman" w:hAnsi="Times New Roman"/>
                <w:sz w:val="16"/>
              </w:rPr>
              <w:t>H1 (+)</w:t>
            </w:r>
          </w:p>
        </w:tc>
        <w:tc>
          <w:tcPr>
            <w:tcW w:type="dxa" w:w="720"/>
          </w:tcPr>
          <w:p>
            <w:pPr>
              <w:spacing w:after="40" w:line="240" w:lineRule="auto"/>
              <w:jc w:val="left"/>
            </w:pPr>
            <w:r/>
            <w:r>
              <w:rPr>
                <w:rFonts w:ascii="Times New Roman" w:hAnsi="Times New Roman"/>
                <w:sz w:val="16"/>
              </w:rPr>
              <w:t>0.215</w:t>
            </w:r>
          </w:p>
        </w:tc>
        <w:tc>
          <w:tcPr>
            <w:tcW w:type="dxa" w:w="720"/>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0.237</w:t>
            </w:r>
          </w:p>
        </w:tc>
        <w:tc>
          <w:tcPr>
            <w:tcW w:type="dxa" w:w="720"/>
          </w:tcPr>
          <w:p>
            <w:pPr>
              <w:spacing w:after="40" w:line="240" w:lineRule="auto"/>
              <w:jc w:val="left"/>
            </w:pPr>
            <w:r/>
            <w:r>
              <w:rPr>
                <w:rFonts w:ascii="Times New Roman" w:hAnsi="Times New Roman"/>
                <w:sz w:val="16"/>
              </w:rPr>
              <w:t>9.08</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1.231</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Processing Speed (PROC_SPEED)</w:t>
            </w:r>
          </w:p>
        </w:tc>
        <w:tc>
          <w:tcPr>
            <w:tcW w:type="dxa" w:w="864"/>
          </w:tcPr>
          <w:p>
            <w:pPr>
              <w:spacing w:after="40" w:line="240" w:lineRule="auto"/>
              <w:jc w:val="left"/>
            </w:pPr>
            <w:r/>
            <w:r>
              <w:rPr>
                <w:rFonts w:ascii="Times New Roman" w:hAnsi="Times New Roman"/>
                <w:sz w:val="16"/>
              </w:rPr>
              <w:t>H2 (+)</w:t>
            </w:r>
          </w:p>
        </w:tc>
        <w:tc>
          <w:tcPr>
            <w:tcW w:type="dxa" w:w="720"/>
          </w:tcPr>
          <w:p>
            <w:pPr>
              <w:spacing w:after="40" w:line="240" w:lineRule="auto"/>
              <w:jc w:val="left"/>
            </w:pPr>
            <w:r/>
            <w:r>
              <w:rPr>
                <w:rFonts w:ascii="Times New Roman" w:hAnsi="Times New Roman"/>
                <w:sz w:val="16"/>
              </w:rPr>
              <w:t>0.176</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0.190</w:t>
            </w:r>
          </w:p>
        </w:tc>
        <w:tc>
          <w:tcPr>
            <w:tcW w:type="dxa" w:w="720"/>
          </w:tcPr>
          <w:p>
            <w:pPr>
              <w:spacing w:after="40" w:line="240" w:lineRule="auto"/>
              <w:jc w:val="left"/>
            </w:pPr>
            <w:r/>
            <w:r>
              <w:rPr>
                <w:rFonts w:ascii="Times New Roman" w:hAnsi="Times New Roman"/>
                <w:sz w:val="16"/>
              </w:rPr>
              <w:t>7.37</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1.260</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Digital e-Guarantee (DIGITAL_CONV)</w:t>
            </w:r>
          </w:p>
        </w:tc>
        <w:tc>
          <w:tcPr>
            <w:tcW w:type="dxa" w:w="864"/>
          </w:tcPr>
          <w:p>
            <w:pPr>
              <w:spacing w:after="40" w:line="240" w:lineRule="auto"/>
              <w:jc w:val="left"/>
            </w:pPr>
            <w:r/>
            <w:r>
              <w:rPr>
                <w:rFonts w:ascii="Times New Roman" w:hAnsi="Times New Roman"/>
                <w:sz w:val="16"/>
              </w:rPr>
              <w:t>H3 (+)</w:t>
            </w:r>
          </w:p>
        </w:tc>
        <w:tc>
          <w:tcPr>
            <w:tcW w:type="dxa" w:w="720"/>
          </w:tcPr>
          <w:p>
            <w:pPr>
              <w:spacing w:after="40" w:line="240" w:lineRule="auto"/>
              <w:jc w:val="left"/>
            </w:pPr>
            <w:r/>
            <w:r>
              <w:rPr>
                <w:rFonts w:ascii="Times New Roman" w:hAnsi="Times New Roman"/>
                <w:sz w:val="16"/>
              </w:rPr>
              <w:t>0.108</w:t>
            </w:r>
          </w:p>
        </w:tc>
        <w:tc>
          <w:tcPr>
            <w:tcW w:type="dxa" w:w="720"/>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0.023</w:t>
            </w:r>
          </w:p>
        </w:tc>
        <w:tc>
          <w:tcPr>
            <w:tcW w:type="dxa" w:w="720"/>
          </w:tcPr>
          <w:p>
            <w:pPr>
              <w:spacing w:after="40" w:line="240" w:lineRule="auto"/>
              <w:jc w:val="left"/>
            </w:pPr>
            <w:r/>
            <w:r>
              <w:rPr>
                <w:rFonts w:ascii="Times New Roman" w:hAnsi="Times New Roman"/>
                <w:sz w:val="16"/>
              </w:rPr>
              <w:t>0.115</w:t>
            </w:r>
          </w:p>
        </w:tc>
        <w:tc>
          <w:tcPr>
            <w:tcW w:type="dxa" w:w="720"/>
          </w:tcPr>
          <w:p>
            <w:pPr>
              <w:spacing w:after="40" w:line="240" w:lineRule="auto"/>
              <w:jc w:val="left"/>
            </w:pPr>
            <w:r/>
            <w:r>
              <w:rPr>
                <w:rFonts w:ascii="Times New Roman" w:hAnsi="Times New Roman"/>
                <w:sz w:val="16"/>
              </w:rPr>
              <w:t>4.58</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1.201</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Bank Reputation (BANK_REP)</w:t>
            </w:r>
          </w:p>
        </w:tc>
        <w:tc>
          <w:tcPr>
            <w:tcW w:type="dxa" w:w="864"/>
          </w:tcPr>
          <w:p>
            <w:pPr>
              <w:spacing w:after="40" w:line="240" w:lineRule="auto"/>
              <w:jc w:val="left"/>
            </w:pPr>
            <w:r/>
            <w:r>
              <w:rPr>
                <w:rFonts w:ascii="Times New Roman" w:hAnsi="Times New Roman"/>
                <w:sz w:val="16"/>
              </w:rPr>
              <w:t>H4 (+)</w:t>
            </w:r>
          </w:p>
        </w:tc>
        <w:tc>
          <w:tcPr>
            <w:tcW w:type="dxa" w:w="720"/>
          </w:tcPr>
          <w:p>
            <w:pPr>
              <w:spacing w:after="40" w:line="240" w:lineRule="auto"/>
              <w:jc w:val="left"/>
            </w:pPr>
            <w:r/>
            <w:r>
              <w:rPr>
                <w:rFonts w:ascii="Times New Roman" w:hAnsi="Times New Roman"/>
                <w:sz w:val="16"/>
              </w:rPr>
              <w:t>0.178</w:t>
            </w:r>
          </w:p>
        </w:tc>
        <w:tc>
          <w:tcPr>
            <w:tcW w:type="dxa" w:w="720"/>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0.159</w:t>
            </w:r>
          </w:p>
        </w:tc>
        <w:tc>
          <w:tcPr>
            <w:tcW w:type="dxa" w:w="720"/>
          </w:tcPr>
          <w:p>
            <w:pPr>
              <w:spacing w:after="40" w:line="240" w:lineRule="auto"/>
              <w:jc w:val="left"/>
            </w:pPr>
            <w:r/>
            <w:r>
              <w:rPr>
                <w:rFonts w:ascii="Times New Roman" w:hAnsi="Times New Roman"/>
                <w:sz w:val="16"/>
              </w:rPr>
              <w:t>6.16</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1.177</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Relationship &amp; Limits (RELATIONSHIP)</w:t>
            </w:r>
          </w:p>
        </w:tc>
        <w:tc>
          <w:tcPr>
            <w:tcW w:type="dxa" w:w="864"/>
          </w:tcPr>
          <w:p>
            <w:pPr>
              <w:spacing w:after="40" w:line="240" w:lineRule="auto"/>
              <w:jc w:val="left"/>
            </w:pPr>
            <w:r/>
            <w:r>
              <w:rPr>
                <w:rFonts w:ascii="Times New Roman" w:hAnsi="Times New Roman"/>
                <w:sz w:val="16"/>
              </w:rPr>
              <w:t>H5 (+)</w:t>
            </w:r>
          </w:p>
        </w:tc>
        <w:tc>
          <w:tcPr>
            <w:tcW w:type="dxa" w:w="720"/>
          </w:tcPr>
          <w:p>
            <w:pPr>
              <w:spacing w:after="40" w:line="240" w:lineRule="auto"/>
              <w:jc w:val="left"/>
            </w:pPr>
            <w:r/>
            <w:r>
              <w:rPr>
                <w:rFonts w:ascii="Times New Roman" w:hAnsi="Times New Roman"/>
                <w:sz w:val="16"/>
              </w:rPr>
              <w:t>0.213</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0.219</w:t>
            </w:r>
          </w:p>
        </w:tc>
        <w:tc>
          <w:tcPr>
            <w:tcW w:type="dxa" w:w="720"/>
          </w:tcPr>
          <w:p>
            <w:pPr>
              <w:spacing w:after="40" w:line="240" w:lineRule="auto"/>
              <w:jc w:val="left"/>
            </w:pPr>
            <w:r/>
            <w:r>
              <w:rPr>
                <w:rFonts w:ascii="Times New Roman" w:hAnsi="Times New Roman"/>
                <w:sz w:val="16"/>
              </w:rPr>
              <w:t>7.88</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1.237</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Staff Professionalism (STAFF_QUAL)</w:t>
            </w:r>
          </w:p>
        </w:tc>
        <w:tc>
          <w:tcPr>
            <w:tcW w:type="dxa" w:w="864"/>
          </w:tcPr>
          <w:p>
            <w:pPr>
              <w:spacing w:after="40" w:line="240" w:lineRule="auto"/>
              <w:jc w:val="left"/>
            </w:pPr>
            <w:r/>
            <w:r>
              <w:rPr>
                <w:rFonts w:ascii="Times New Roman" w:hAnsi="Times New Roman"/>
                <w:sz w:val="16"/>
              </w:rPr>
              <w:t>H6 (+)</w:t>
            </w:r>
          </w:p>
        </w:tc>
        <w:tc>
          <w:tcPr>
            <w:tcW w:type="dxa" w:w="720"/>
          </w:tcPr>
          <w:p>
            <w:pPr>
              <w:spacing w:after="40" w:line="240" w:lineRule="auto"/>
              <w:jc w:val="left"/>
            </w:pPr>
            <w:r/>
            <w:r>
              <w:rPr>
                <w:rFonts w:ascii="Times New Roman" w:hAnsi="Times New Roman"/>
                <w:sz w:val="16"/>
              </w:rPr>
              <w:t>0.152</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0.153</w:t>
            </w:r>
          </w:p>
        </w:tc>
        <w:tc>
          <w:tcPr>
            <w:tcW w:type="dxa" w:w="720"/>
          </w:tcPr>
          <w:p>
            <w:pPr>
              <w:spacing w:after="40" w:line="240" w:lineRule="auto"/>
              <w:jc w:val="left"/>
            </w:pPr>
            <w:r/>
            <w:r>
              <w:rPr>
                <w:rFonts w:ascii="Times New Roman" w:hAnsi="Times New Roman"/>
                <w:sz w:val="16"/>
              </w:rPr>
              <w:t>6.19</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1.162</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Collateral Policy (COLL_POLICY)</w:t>
            </w:r>
          </w:p>
        </w:tc>
        <w:tc>
          <w:tcPr>
            <w:tcW w:type="dxa" w:w="864"/>
          </w:tcPr>
          <w:p>
            <w:pPr>
              <w:spacing w:after="40" w:line="240" w:lineRule="auto"/>
              <w:jc w:val="left"/>
            </w:pPr>
            <w:r/>
            <w:r>
              <w:rPr>
                <w:rFonts w:ascii="Times New Roman" w:hAnsi="Times New Roman"/>
                <w:sz w:val="16"/>
              </w:rPr>
              <w:t>H7 (+)</w:t>
            </w:r>
          </w:p>
        </w:tc>
        <w:tc>
          <w:tcPr>
            <w:tcW w:type="dxa" w:w="720"/>
          </w:tcPr>
          <w:p>
            <w:pPr>
              <w:spacing w:after="40" w:line="240" w:lineRule="auto"/>
              <w:jc w:val="left"/>
            </w:pPr>
            <w:r/>
            <w:r>
              <w:rPr>
                <w:rFonts w:ascii="Times New Roman" w:hAnsi="Times New Roman"/>
                <w:sz w:val="16"/>
              </w:rPr>
              <w:t>0.159</w:t>
            </w:r>
          </w:p>
        </w:tc>
        <w:tc>
          <w:tcPr>
            <w:tcW w:type="dxa" w:w="720"/>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0.169</w:t>
            </w:r>
          </w:p>
        </w:tc>
        <w:tc>
          <w:tcPr>
            <w:tcW w:type="dxa" w:w="720"/>
          </w:tcPr>
          <w:p>
            <w:pPr>
              <w:spacing w:after="40" w:line="240" w:lineRule="auto"/>
              <w:jc w:val="left"/>
            </w:pPr>
            <w:r/>
            <w:r>
              <w:rPr>
                <w:rFonts w:ascii="Times New Roman" w:hAnsi="Times New Roman"/>
                <w:sz w:val="16"/>
              </w:rPr>
              <w:t>6.34</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1.168</w:t>
            </w:r>
          </w:p>
        </w:tc>
        <w:tc>
          <w:tcPr>
            <w:tcW w:type="dxa" w:w="1152"/>
          </w:tcPr>
          <w:p>
            <w:pPr>
              <w:spacing w:after="40" w:line="240" w:lineRule="auto"/>
              <w:jc w:val="center"/>
            </w:pPr>
            <w:r/>
            <w:r>
              <w:rPr>
                <w:rFonts w:ascii="Times New Roman" w:hAnsi="Times New Roman"/>
                <w:sz w:val="16"/>
              </w:rPr>
              <w:t>Supported ***</w:t>
            </w:r>
          </w:p>
        </w:tc>
      </w:tr>
    </w:tbl>
    <w:p>
      <w:pPr>
        <w:spacing w:after="200" w:line="360" w:lineRule="auto"/>
        <w:ind w:firstLine="0"/>
        <w:jc w:val="center"/>
      </w:pPr>
      <w:r>
        <w:rPr>
          <w:rFonts w:ascii="Times New Roman" w:hAnsi="Times New Roman"/>
          <w:b w:val="0"/>
          <w:i/>
          <w:sz w:val="20"/>
        </w:rPr>
        <w:t>Source: Author's corporate survey analysis (2025–2026), n = 800 (*** p &lt; 0.001; HC3 robust standard errors applied).</w:t>
      </w:r>
    </w:p>
    <w:p>
      <w:pPr>
        <w:spacing w:after="160" w:line="360" w:lineRule="auto"/>
        <w:ind w:firstLine="360"/>
        <w:jc w:val="both"/>
      </w:pPr>
      <w:r>
        <w:rPr>
          <w:rFonts w:ascii="Times New Roman" w:hAnsi="Times New Roman"/>
          <w:b w:val="0"/>
          <w:i w:val="0"/>
          <w:sz w:val="24"/>
        </w:rPr>
        <w:t>All seven directional hypotheses (H1 through H7) are accepted at the p &lt; 0.001 significance level under HC3 robust standard errors. Standardized beta coefficients (β) establish the hierarchy of influence: Price Competitiveness exerts the largest relative impact (β = 0.237, p &lt; 0.001), followed by Relationship Banking &amp; Limits (β = 0.219, p &lt; 0.001), Processing Speed (β = 0.190, p &lt; 0.001), Collateral Policy (β = 0.169, p &lt; 0.001), Bank Reputation (β = 0.159, p &lt; 0.001), Staff Professionalism (β = 0.153, p &lt; 0.001), and Digital e-Guarantee Convenience (β = 0.115, p &lt; 0.001).</w:t>
      </w:r>
    </w:p>
    <w:p>
      <w:pPr>
        <w:spacing w:after="80" w:line="360" w:lineRule="auto"/>
        <w:ind w:firstLine="0"/>
        <w:jc w:val="center"/>
      </w:pPr>
      <w:r>
        <w:rPr>
          <w:rFonts w:ascii="Times New Roman" w:hAnsi="Times New Roman"/>
          <w:b/>
          <w:i w:val="0"/>
          <w:sz w:val="22"/>
        </w:rPr>
        <w:t>Figure 4.1: Empirical regression results and standardized path coefficients</w:t>
      </w:r>
    </w:p>
    <w:p>
      <w:pPr>
        <w:spacing w:after="200" w:line="360" w:lineRule="auto"/>
        <w:ind w:firstLine="0"/>
        <w:jc w:val="center"/>
      </w:pPr>
      <w:r>
        <w:rPr>
          <w:rFonts w:ascii="Times New Roman" w:hAnsi="Times New Roman"/>
          <w:b w:val="0"/>
          <w:i/>
          <w:sz w:val="20"/>
        </w:rPr>
        <w:t>Source: Constructed from empirical regression estimates by the author (n = 800).</w:t>
      </w:r>
    </w:p>
    <w:p w14:paraId="412532C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4.5.3. Robustness Check with Ownership, Size and Multi-Banking Control Dummies</w:t>
      </w:r>
    </w:p>
    <w:p>
      <w:pPr>
        <w:spacing w:after="80" w:line="360" w:lineRule="auto"/>
        <w:ind w:firstLine="0"/>
        <w:jc w:val="center"/>
      </w:pPr>
      <w:r>
        <w:rPr>
          <w:rFonts w:ascii="Times New Roman" w:hAnsi="Times New Roman"/>
          <w:b/>
          <w:i w:val="0"/>
          <w:sz w:val="22"/>
        </w:rPr>
        <w:t>Table 4.13: Robustness check comparing standard OLS, HC3 Robust SE, and Bootstrap (2,000 replications)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D9D9D9"/>
          </w:tcPr>
          <w:p>
            <w:pPr>
              <w:spacing w:after="40" w:line="240" w:lineRule="auto"/>
              <w:jc w:val="center"/>
            </w:pPr>
            <w:r/>
            <w:r>
              <w:rPr>
                <w:rFonts w:ascii="Times New Roman" w:hAnsi="Times New Roman"/>
                <w:b/>
                <w:sz w:val="17"/>
              </w:rPr>
              <w:t>Model Parameter</w:t>
            </w:r>
          </w:p>
        </w:tc>
        <w:tc>
          <w:tcPr>
            <w:tcW w:type="dxa" w:w="1008"/>
            <w:shd w:val="clear" w:color="auto" w:fill="D9D9D9"/>
          </w:tcPr>
          <w:p>
            <w:pPr>
              <w:spacing w:after="40" w:line="240" w:lineRule="auto"/>
              <w:jc w:val="center"/>
            </w:pPr>
            <w:r/>
            <w:r>
              <w:rPr>
                <w:rFonts w:ascii="Times New Roman" w:hAnsi="Times New Roman"/>
                <w:b/>
                <w:sz w:val="17"/>
              </w:rPr>
              <w:t>OLS B</w:t>
            </w:r>
          </w:p>
        </w:tc>
        <w:tc>
          <w:tcPr>
            <w:tcW w:type="dxa" w:w="1008"/>
            <w:shd w:val="clear" w:color="auto" w:fill="D9D9D9"/>
          </w:tcPr>
          <w:p>
            <w:pPr>
              <w:spacing w:after="40" w:line="240" w:lineRule="auto"/>
              <w:jc w:val="center"/>
            </w:pPr>
            <w:r/>
            <w:r>
              <w:rPr>
                <w:rFonts w:ascii="Times New Roman" w:hAnsi="Times New Roman"/>
                <w:b/>
                <w:sz w:val="17"/>
              </w:rPr>
              <w:t>Ordinary SE</w:t>
            </w:r>
          </w:p>
        </w:tc>
        <w:tc>
          <w:tcPr>
            <w:tcW w:type="dxa" w:w="1008"/>
            <w:shd w:val="clear" w:color="auto" w:fill="D9D9D9"/>
          </w:tcPr>
          <w:p>
            <w:pPr>
              <w:spacing w:after="40" w:line="240" w:lineRule="auto"/>
              <w:jc w:val="center"/>
            </w:pPr>
            <w:r/>
            <w:r>
              <w:rPr>
                <w:rFonts w:ascii="Times New Roman" w:hAnsi="Times New Roman"/>
                <w:b/>
                <w:sz w:val="17"/>
              </w:rPr>
              <w:t>HC3 Robust SE</w:t>
            </w:r>
          </w:p>
        </w:tc>
        <w:tc>
          <w:tcPr>
            <w:tcW w:type="dxa" w:w="1008"/>
            <w:shd w:val="clear" w:color="auto" w:fill="D9D9D9"/>
          </w:tcPr>
          <w:p>
            <w:pPr>
              <w:spacing w:after="40" w:line="240" w:lineRule="auto"/>
              <w:jc w:val="center"/>
            </w:pPr>
            <w:r/>
            <w:r>
              <w:rPr>
                <w:rFonts w:ascii="Times New Roman" w:hAnsi="Times New Roman"/>
                <w:b/>
                <w:sz w:val="17"/>
              </w:rPr>
              <w:t>Bootstrap SE</w:t>
            </w:r>
          </w:p>
        </w:tc>
        <w:tc>
          <w:tcPr>
            <w:tcW w:type="dxa" w:w="1584"/>
            <w:shd w:val="clear" w:color="auto" w:fill="D9D9D9"/>
          </w:tcPr>
          <w:p>
            <w:pPr>
              <w:spacing w:after="40" w:line="240" w:lineRule="auto"/>
              <w:jc w:val="center"/>
            </w:pPr>
            <w:r/>
            <w:r>
              <w:rPr>
                <w:rFonts w:ascii="Times New Roman" w:hAnsi="Times New Roman"/>
                <w:b/>
                <w:sz w:val="17"/>
              </w:rPr>
              <w:t>Bootstrap 95% CI Lower</w:t>
            </w:r>
          </w:p>
        </w:tc>
        <w:tc>
          <w:tcPr>
            <w:tcW w:type="dxa" w:w="1584"/>
            <w:shd w:val="clear" w:color="auto" w:fill="D9D9D9"/>
          </w:tcPr>
          <w:p>
            <w:pPr>
              <w:spacing w:after="40" w:line="240" w:lineRule="auto"/>
              <w:jc w:val="center"/>
            </w:pPr>
            <w:r/>
            <w:r>
              <w:rPr>
                <w:rFonts w:ascii="Times New Roman" w:hAnsi="Times New Roman"/>
                <w:b/>
                <w:sz w:val="17"/>
              </w:rPr>
              <w:t>Bootstrap 95% CI Upper</w:t>
            </w:r>
          </w:p>
        </w:tc>
      </w:tr>
      <w:tr>
        <w:tc>
          <w:tcPr>
            <w:tcW w:type="dxa" w:w="2592"/>
          </w:tcPr>
          <w:p>
            <w:pPr>
              <w:spacing w:after="40" w:line="240" w:lineRule="auto"/>
              <w:jc w:val="left"/>
            </w:pPr>
            <w:r/>
            <w:r>
              <w:rPr>
                <w:rFonts w:ascii="Times New Roman" w:hAnsi="Times New Roman"/>
                <w:sz w:val="17"/>
              </w:rPr>
              <w:t>(Constant)</w:t>
            </w:r>
          </w:p>
        </w:tc>
        <w:tc>
          <w:tcPr>
            <w:tcW w:type="dxa" w:w="1008"/>
          </w:tcPr>
          <w:p>
            <w:pPr>
              <w:spacing w:after="40" w:line="240" w:lineRule="auto"/>
              <w:jc w:val="left"/>
            </w:pPr>
            <w:r/>
            <w:r>
              <w:rPr>
                <w:rFonts w:ascii="Times New Roman" w:hAnsi="Times New Roman"/>
                <w:sz w:val="17"/>
              </w:rPr>
              <w:t>-0.546</w:t>
            </w:r>
          </w:p>
        </w:tc>
        <w:tc>
          <w:tcPr>
            <w:tcW w:type="dxa" w:w="1008"/>
          </w:tcPr>
          <w:p>
            <w:pPr>
              <w:spacing w:after="40" w:line="240" w:lineRule="auto"/>
              <w:jc w:val="left"/>
            </w:pPr>
            <w:r/>
            <w:r>
              <w:rPr>
                <w:rFonts w:ascii="Times New Roman" w:hAnsi="Times New Roman"/>
                <w:sz w:val="17"/>
              </w:rPr>
              <w:t>0.146</w:t>
            </w:r>
          </w:p>
        </w:tc>
        <w:tc>
          <w:tcPr>
            <w:tcW w:type="dxa" w:w="1008"/>
          </w:tcPr>
          <w:p>
            <w:pPr>
              <w:spacing w:after="40" w:line="240" w:lineRule="auto"/>
              <w:jc w:val="left"/>
            </w:pPr>
            <w:r/>
            <w:r>
              <w:rPr>
                <w:rFonts w:ascii="Times New Roman" w:hAnsi="Times New Roman"/>
                <w:sz w:val="17"/>
              </w:rPr>
              <w:t>0.144</w:t>
            </w:r>
          </w:p>
        </w:tc>
        <w:tc>
          <w:tcPr>
            <w:tcW w:type="dxa" w:w="1008"/>
          </w:tcPr>
          <w:p>
            <w:pPr>
              <w:spacing w:after="40" w:line="240" w:lineRule="auto"/>
              <w:jc w:val="left"/>
            </w:pPr>
            <w:r/>
            <w:r>
              <w:rPr>
                <w:rFonts w:ascii="Times New Roman" w:hAnsi="Times New Roman"/>
                <w:sz w:val="17"/>
              </w:rPr>
              <w:t>0.142</w:t>
            </w:r>
          </w:p>
        </w:tc>
        <w:tc>
          <w:tcPr>
            <w:tcW w:type="dxa" w:w="1584"/>
          </w:tcPr>
          <w:p>
            <w:pPr>
              <w:spacing w:after="40" w:line="240" w:lineRule="auto"/>
              <w:jc w:val="left"/>
            </w:pPr>
            <w:r/>
            <w:r>
              <w:rPr>
                <w:rFonts w:ascii="Times New Roman" w:hAnsi="Times New Roman"/>
                <w:sz w:val="17"/>
              </w:rPr>
              <w:t>-0.835</w:t>
            </w:r>
          </w:p>
        </w:tc>
        <w:tc>
          <w:tcPr>
            <w:tcW w:type="dxa" w:w="1584"/>
          </w:tcPr>
          <w:p>
            <w:pPr>
              <w:spacing w:after="40" w:line="240" w:lineRule="auto"/>
              <w:jc w:val="center"/>
            </w:pPr>
            <w:r/>
            <w:r>
              <w:rPr>
                <w:rFonts w:ascii="Times New Roman" w:hAnsi="Times New Roman"/>
                <w:sz w:val="17"/>
              </w:rPr>
              <w:t>-0.267</w:t>
            </w:r>
          </w:p>
        </w:tc>
      </w:tr>
      <w:tr>
        <w:tc>
          <w:tcPr>
            <w:tcW w:type="dxa" w:w="2592"/>
          </w:tcPr>
          <w:p>
            <w:pPr>
              <w:spacing w:after="40" w:line="240" w:lineRule="auto"/>
              <w:jc w:val="left"/>
            </w:pPr>
            <w:r/>
            <w:r>
              <w:rPr>
                <w:rFonts w:ascii="Times New Roman" w:hAnsi="Times New Roman"/>
                <w:sz w:val="17"/>
              </w:rPr>
              <w:t>COST_COMP</w:t>
            </w:r>
          </w:p>
        </w:tc>
        <w:tc>
          <w:tcPr>
            <w:tcW w:type="dxa" w:w="1008"/>
          </w:tcPr>
          <w:p>
            <w:pPr>
              <w:spacing w:after="40" w:line="240" w:lineRule="auto"/>
              <w:jc w:val="left"/>
            </w:pPr>
            <w:r/>
            <w:r>
              <w:rPr>
                <w:rFonts w:ascii="Times New Roman" w:hAnsi="Times New Roman"/>
                <w:sz w:val="17"/>
              </w:rPr>
              <w:t>0.215</w:t>
            </w:r>
          </w:p>
        </w:tc>
        <w:tc>
          <w:tcPr>
            <w:tcW w:type="dxa" w:w="1008"/>
          </w:tcPr>
          <w:p>
            <w:pPr>
              <w:spacing w:after="40" w:line="240" w:lineRule="auto"/>
              <w:jc w:val="left"/>
            </w:pPr>
            <w:r/>
            <w:r>
              <w:rPr>
                <w:rFonts w:ascii="Times New Roman" w:hAnsi="Times New Roman"/>
                <w:sz w:val="17"/>
              </w:rPr>
              <w:t>0.024</w:t>
            </w:r>
          </w:p>
        </w:tc>
        <w:tc>
          <w:tcPr>
            <w:tcW w:type="dxa" w:w="1008"/>
          </w:tcPr>
          <w:p>
            <w:pPr>
              <w:spacing w:after="40" w:line="240" w:lineRule="auto"/>
              <w:jc w:val="left"/>
            </w:pPr>
            <w:r/>
            <w:r>
              <w:rPr>
                <w:rFonts w:ascii="Times New Roman" w:hAnsi="Times New Roman"/>
                <w:sz w:val="17"/>
              </w:rPr>
              <w:t>0.024</w:t>
            </w:r>
          </w:p>
        </w:tc>
        <w:tc>
          <w:tcPr>
            <w:tcW w:type="dxa" w:w="1008"/>
          </w:tcPr>
          <w:p>
            <w:pPr>
              <w:spacing w:after="40" w:line="240" w:lineRule="auto"/>
              <w:jc w:val="left"/>
            </w:pPr>
            <w:r/>
            <w:r>
              <w:rPr>
                <w:rFonts w:ascii="Times New Roman" w:hAnsi="Times New Roman"/>
                <w:sz w:val="17"/>
              </w:rPr>
              <w:t>0.024</w:t>
            </w:r>
          </w:p>
        </w:tc>
        <w:tc>
          <w:tcPr>
            <w:tcW w:type="dxa" w:w="1584"/>
          </w:tcPr>
          <w:p>
            <w:pPr>
              <w:spacing w:after="40" w:line="240" w:lineRule="auto"/>
              <w:jc w:val="left"/>
            </w:pPr>
            <w:r/>
            <w:r>
              <w:rPr>
                <w:rFonts w:ascii="Times New Roman" w:hAnsi="Times New Roman"/>
                <w:sz w:val="17"/>
              </w:rPr>
              <w:t>0.166</w:t>
            </w:r>
          </w:p>
        </w:tc>
        <w:tc>
          <w:tcPr>
            <w:tcW w:type="dxa" w:w="1584"/>
          </w:tcPr>
          <w:p>
            <w:pPr>
              <w:spacing w:after="40" w:line="240" w:lineRule="auto"/>
              <w:jc w:val="center"/>
            </w:pPr>
            <w:r/>
            <w:r>
              <w:rPr>
                <w:rFonts w:ascii="Times New Roman" w:hAnsi="Times New Roman"/>
                <w:sz w:val="17"/>
              </w:rPr>
              <w:t>0.264</w:t>
            </w:r>
          </w:p>
        </w:tc>
      </w:tr>
      <w:tr>
        <w:tc>
          <w:tcPr>
            <w:tcW w:type="dxa" w:w="2592"/>
          </w:tcPr>
          <w:p>
            <w:pPr>
              <w:spacing w:after="40" w:line="240" w:lineRule="auto"/>
              <w:jc w:val="left"/>
            </w:pPr>
            <w:r/>
            <w:r>
              <w:rPr>
                <w:rFonts w:ascii="Times New Roman" w:hAnsi="Times New Roman"/>
                <w:sz w:val="17"/>
              </w:rPr>
              <w:t>PROC_SPEED</w:t>
            </w:r>
          </w:p>
        </w:tc>
        <w:tc>
          <w:tcPr>
            <w:tcW w:type="dxa" w:w="1008"/>
          </w:tcPr>
          <w:p>
            <w:pPr>
              <w:spacing w:after="40" w:line="240" w:lineRule="auto"/>
              <w:jc w:val="left"/>
            </w:pPr>
            <w:r/>
            <w:r>
              <w:rPr>
                <w:rFonts w:ascii="Times New Roman" w:hAnsi="Times New Roman"/>
                <w:sz w:val="17"/>
              </w:rPr>
              <w:t>0.176</w:t>
            </w:r>
          </w:p>
        </w:tc>
        <w:tc>
          <w:tcPr>
            <w:tcW w:type="dxa" w:w="1008"/>
          </w:tcPr>
          <w:p>
            <w:pPr>
              <w:spacing w:after="40" w:line="240" w:lineRule="auto"/>
              <w:jc w:val="left"/>
            </w:pPr>
            <w:r/>
            <w:r>
              <w:rPr>
                <w:rFonts w:ascii="Times New Roman" w:hAnsi="Times New Roman"/>
                <w:sz w:val="17"/>
              </w:rPr>
              <w:t>0.025</w:t>
            </w:r>
          </w:p>
        </w:tc>
        <w:tc>
          <w:tcPr>
            <w:tcW w:type="dxa" w:w="1008"/>
          </w:tcPr>
          <w:p>
            <w:pPr>
              <w:spacing w:after="40" w:line="240" w:lineRule="auto"/>
              <w:jc w:val="left"/>
            </w:pPr>
            <w:r/>
            <w:r>
              <w:rPr>
                <w:rFonts w:ascii="Times New Roman" w:hAnsi="Times New Roman"/>
                <w:sz w:val="17"/>
              </w:rPr>
              <w:t>0.024</w:t>
            </w:r>
          </w:p>
        </w:tc>
        <w:tc>
          <w:tcPr>
            <w:tcW w:type="dxa" w:w="1008"/>
          </w:tcPr>
          <w:p>
            <w:pPr>
              <w:spacing w:after="40" w:line="240" w:lineRule="auto"/>
              <w:jc w:val="left"/>
            </w:pPr>
            <w:r/>
            <w:r>
              <w:rPr>
                <w:rFonts w:ascii="Times New Roman" w:hAnsi="Times New Roman"/>
                <w:sz w:val="17"/>
              </w:rPr>
              <w:t>0.024</w:t>
            </w:r>
          </w:p>
        </w:tc>
        <w:tc>
          <w:tcPr>
            <w:tcW w:type="dxa" w:w="1584"/>
          </w:tcPr>
          <w:p>
            <w:pPr>
              <w:spacing w:after="40" w:line="240" w:lineRule="auto"/>
              <w:jc w:val="left"/>
            </w:pPr>
            <w:r/>
            <w:r>
              <w:rPr>
                <w:rFonts w:ascii="Times New Roman" w:hAnsi="Times New Roman"/>
                <w:sz w:val="17"/>
              </w:rPr>
              <w:t>0.129</w:t>
            </w:r>
          </w:p>
        </w:tc>
        <w:tc>
          <w:tcPr>
            <w:tcW w:type="dxa" w:w="1584"/>
          </w:tcPr>
          <w:p>
            <w:pPr>
              <w:spacing w:after="40" w:line="240" w:lineRule="auto"/>
              <w:jc w:val="center"/>
            </w:pPr>
            <w:r/>
            <w:r>
              <w:rPr>
                <w:rFonts w:ascii="Times New Roman" w:hAnsi="Times New Roman"/>
                <w:sz w:val="17"/>
              </w:rPr>
              <w:t>0.221</w:t>
            </w:r>
          </w:p>
        </w:tc>
      </w:tr>
      <w:tr>
        <w:tc>
          <w:tcPr>
            <w:tcW w:type="dxa" w:w="2592"/>
          </w:tcPr>
          <w:p>
            <w:pPr>
              <w:spacing w:after="40" w:line="240" w:lineRule="auto"/>
              <w:jc w:val="left"/>
            </w:pPr>
            <w:r/>
            <w:r>
              <w:rPr>
                <w:rFonts w:ascii="Times New Roman" w:hAnsi="Times New Roman"/>
                <w:sz w:val="17"/>
              </w:rPr>
              <w:t>DIGITAL_CONV</w:t>
            </w:r>
          </w:p>
        </w:tc>
        <w:tc>
          <w:tcPr>
            <w:tcW w:type="dxa" w:w="1008"/>
          </w:tcPr>
          <w:p>
            <w:pPr>
              <w:spacing w:after="40" w:line="240" w:lineRule="auto"/>
              <w:jc w:val="left"/>
            </w:pPr>
            <w:r/>
            <w:r>
              <w:rPr>
                <w:rFonts w:ascii="Times New Roman" w:hAnsi="Times New Roman"/>
                <w:sz w:val="17"/>
              </w:rPr>
              <w:t>0.108</w:t>
            </w:r>
          </w:p>
        </w:tc>
        <w:tc>
          <w:tcPr>
            <w:tcW w:type="dxa" w:w="1008"/>
          </w:tcPr>
          <w:p>
            <w:pPr>
              <w:spacing w:after="40" w:line="240" w:lineRule="auto"/>
              <w:jc w:val="left"/>
            </w:pPr>
            <w:r/>
            <w:r>
              <w:rPr>
                <w:rFonts w:ascii="Times New Roman" w:hAnsi="Times New Roman"/>
                <w:sz w:val="17"/>
              </w:rPr>
              <w:t>0.024</w:t>
            </w:r>
          </w:p>
        </w:tc>
        <w:tc>
          <w:tcPr>
            <w:tcW w:type="dxa" w:w="1008"/>
          </w:tcPr>
          <w:p>
            <w:pPr>
              <w:spacing w:after="40" w:line="240" w:lineRule="auto"/>
              <w:jc w:val="left"/>
            </w:pPr>
            <w:r/>
            <w:r>
              <w:rPr>
                <w:rFonts w:ascii="Times New Roman" w:hAnsi="Times New Roman"/>
                <w:sz w:val="17"/>
              </w:rPr>
              <w:t>0.023</w:t>
            </w:r>
          </w:p>
        </w:tc>
        <w:tc>
          <w:tcPr>
            <w:tcW w:type="dxa" w:w="1008"/>
          </w:tcPr>
          <w:p>
            <w:pPr>
              <w:spacing w:after="40" w:line="240" w:lineRule="auto"/>
              <w:jc w:val="left"/>
            </w:pPr>
            <w:r/>
            <w:r>
              <w:rPr>
                <w:rFonts w:ascii="Times New Roman" w:hAnsi="Times New Roman"/>
                <w:sz w:val="17"/>
              </w:rPr>
              <w:t>0.024</w:t>
            </w:r>
          </w:p>
        </w:tc>
        <w:tc>
          <w:tcPr>
            <w:tcW w:type="dxa" w:w="1584"/>
          </w:tcPr>
          <w:p>
            <w:pPr>
              <w:spacing w:after="40" w:line="240" w:lineRule="auto"/>
              <w:jc w:val="left"/>
            </w:pPr>
            <w:r/>
            <w:r>
              <w:rPr>
                <w:rFonts w:ascii="Times New Roman" w:hAnsi="Times New Roman"/>
                <w:sz w:val="17"/>
              </w:rPr>
              <w:t>0.060</w:t>
            </w:r>
          </w:p>
        </w:tc>
        <w:tc>
          <w:tcPr>
            <w:tcW w:type="dxa" w:w="1584"/>
          </w:tcPr>
          <w:p>
            <w:pPr>
              <w:spacing w:after="40" w:line="240" w:lineRule="auto"/>
              <w:jc w:val="center"/>
            </w:pPr>
            <w:r/>
            <w:r>
              <w:rPr>
                <w:rFonts w:ascii="Times New Roman" w:hAnsi="Times New Roman"/>
                <w:sz w:val="17"/>
              </w:rPr>
              <w:t>0.156</w:t>
            </w:r>
          </w:p>
        </w:tc>
      </w:tr>
      <w:tr>
        <w:tc>
          <w:tcPr>
            <w:tcW w:type="dxa" w:w="2592"/>
          </w:tcPr>
          <w:p>
            <w:pPr>
              <w:spacing w:after="40" w:line="240" w:lineRule="auto"/>
              <w:jc w:val="left"/>
            </w:pPr>
            <w:r/>
            <w:r>
              <w:rPr>
                <w:rFonts w:ascii="Times New Roman" w:hAnsi="Times New Roman"/>
                <w:sz w:val="17"/>
              </w:rPr>
              <w:t>BANK_REP</w:t>
            </w:r>
          </w:p>
        </w:tc>
        <w:tc>
          <w:tcPr>
            <w:tcW w:type="dxa" w:w="1008"/>
          </w:tcPr>
          <w:p>
            <w:pPr>
              <w:spacing w:after="40" w:line="240" w:lineRule="auto"/>
              <w:jc w:val="left"/>
            </w:pPr>
            <w:r/>
            <w:r>
              <w:rPr>
                <w:rFonts w:ascii="Times New Roman" w:hAnsi="Times New Roman"/>
                <w:sz w:val="17"/>
              </w:rPr>
              <w:t>0.178</w:t>
            </w:r>
          </w:p>
        </w:tc>
        <w:tc>
          <w:tcPr>
            <w:tcW w:type="dxa" w:w="1008"/>
          </w:tcPr>
          <w:p>
            <w:pPr>
              <w:spacing w:after="40" w:line="240" w:lineRule="auto"/>
              <w:jc w:val="left"/>
            </w:pPr>
            <w:r/>
            <w:r>
              <w:rPr>
                <w:rFonts w:ascii="Times New Roman" w:hAnsi="Times New Roman"/>
                <w:sz w:val="17"/>
              </w:rPr>
              <w:t>0.029</w:t>
            </w:r>
          </w:p>
        </w:tc>
        <w:tc>
          <w:tcPr>
            <w:tcW w:type="dxa" w:w="1008"/>
          </w:tcPr>
          <w:p>
            <w:pPr>
              <w:spacing w:after="40" w:line="240" w:lineRule="auto"/>
              <w:jc w:val="left"/>
            </w:pPr>
            <w:r/>
            <w:r>
              <w:rPr>
                <w:rFonts w:ascii="Times New Roman" w:hAnsi="Times New Roman"/>
                <w:sz w:val="17"/>
              </w:rPr>
              <w:t>0.029</w:t>
            </w:r>
          </w:p>
        </w:tc>
        <w:tc>
          <w:tcPr>
            <w:tcW w:type="dxa" w:w="1008"/>
          </w:tcPr>
          <w:p>
            <w:pPr>
              <w:spacing w:after="40" w:line="240" w:lineRule="auto"/>
              <w:jc w:val="left"/>
            </w:pPr>
            <w:r/>
            <w:r>
              <w:rPr>
                <w:rFonts w:ascii="Times New Roman" w:hAnsi="Times New Roman"/>
                <w:sz w:val="17"/>
              </w:rPr>
              <w:t>0.028</w:t>
            </w:r>
          </w:p>
        </w:tc>
        <w:tc>
          <w:tcPr>
            <w:tcW w:type="dxa" w:w="1584"/>
          </w:tcPr>
          <w:p>
            <w:pPr>
              <w:spacing w:after="40" w:line="240" w:lineRule="auto"/>
              <w:jc w:val="left"/>
            </w:pPr>
            <w:r/>
            <w:r>
              <w:rPr>
                <w:rFonts w:ascii="Times New Roman" w:hAnsi="Times New Roman"/>
                <w:sz w:val="17"/>
              </w:rPr>
              <w:t>0.123</w:t>
            </w:r>
          </w:p>
        </w:tc>
        <w:tc>
          <w:tcPr>
            <w:tcW w:type="dxa" w:w="1584"/>
          </w:tcPr>
          <w:p>
            <w:pPr>
              <w:spacing w:after="40" w:line="240" w:lineRule="auto"/>
              <w:jc w:val="center"/>
            </w:pPr>
            <w:r/>
            <w:r>
              <w:rPr>
                <w:rFonts w:ascii="Times New Roman" w:hAnsi="Times New Roman"/>
                <w:sz w:val="17"/>
              </w:rPr>
              <w:t>0.233</w:t>
            </w:r>
          </w:p>
        </w:tc>
      </w:tr>
      <w:tr>
        <w:tc>
          <w:tcPr>
            <w:tcW w:type="dxa" w:w="2592"/>
          </w:tcPr>
          <w:p>
            <w:pPr>
              <w:spacing w:after="40" w:line="240" w:lineRule="auto"/>
              <w:jc w:val="left"/>
            </w:pPr>
            <w:r/>
            <w:r>
              <w:rPr>
                <w:rFonts w:ascii="Times New Roman" w:hAnsi="Times New Roman"/>
                <w:sz w:val="17"/>
              </w:rPr>
              <w:t>RELATIONSHIP</w:t>
            </w:r>
          </w:p>
        </w:tc>
        <w:tc>
          <w:tcPr>
            <w:tcW w:type="dxa" w:w="1008"/>
          </w:tcPr>
          <w:p>
            <w:pPr>
              <w:spacing w:after="40" w:line="240" w:lineRule="auto"/>
              <w:jc w:val="left"/>
            </w:pPr>
            <w:r/>
            <w:r>
              <w:rPr>
                <w:rFonts w:ascii="Times New Roman" w:hAnsi="Times New Roman"/>
                <w:sz w:val="17"/>
              </w:rPr>
              <w:t>0.213</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584"/>
          </w:tcPr>
          <w:p>
            <w:pPr>
              <w:spacing w:after="40" w:line="240" w:lineRule="auto"/>
              <w:jc w:val="left"/>
            </w:pPr>
            <w:r/>
            <w:r>
              <w:rPr>
                <w:rFonts w:ascii="Times New Roman" w:hAnsi="Times New Roman"/>
                <w:sz w:val="17"/>
              </w:rPr>
              <w:t>0.160</w:t>
            </w:r>
          </w:p>
        </w:tc>
        <w:tc>
          <w:tcPr>
            <w:tcW w:type="dxa" w:w="1584"/>
          </w:tcPr>
          <w:p>
            <w:pPr>
              <w:spacing w:after="40" w:line="240" w:lineRule="auto"/>
              <w:jc w:val="center"/>
            </w:pPr>
            <w:r/>
            <w:r>
              <w:rPr>
                <w:rFonts w:ascii="Times New Roman" w:hAnsi="Times New Roman"/>
                <w:sz w:val="17"/>
              </w:rPr>
              <w:t>0.267</w:t>
            </w:r>
          </w:p>
        </w:tc>
      </w:tr>
      <w:tr>
        <w:tc>
          <w:tcPr>
            <w:tcW w:type="dxa" w:w="2592"/>
          </w:tcPr>
          <w:p>
            <w:pPr>
              <w:spacing w:after="40" w:line="240" w:lineRule="auto"/>
              <w:jc w:val="left"/>
            </w:pPr>
            <w:r/>
            <w:r>
              <w:rPr>
                <w:rFonts w:ascii="Times New Roman" w:hAnsi="Times New Roman"/>
                <w:sz w:val="17"/>
              </w:rPr>
              <w:t>STAFF_QUAL</w:t>
            </w:r>
          </w:p>
        </w:tc>
        <w:tc>
          <w:tcPr>
            <w:tcW w:type="dxa" w:w="1008"/>
          </w:tcPr>
          <w:p>
            <w:pPr>
              <w:spacing w:after="40" w:line="240" w:lineRule="auto"/>
              <w:jc w:val="left"/>
            </w:pPr>
            <w:r/>
            <w:r>
              <w:rPr>
                <w:rFonts w:ascii="Times New Roman" w:hAnsi="Times New Roman"/>
                <w:sz w:val="17"/>
              </w:rPr>
              <w:t>0.152</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0.024</w:t>
            </w:r>
          </w:p>
        </w:tc>
        <w:tc>
          <w:tcPr>
            <w:tcW w:type="dxa" w:w="1008"/>
          </w:tcPr>
          <w:p>
            <w:pPr>
              <w:spacing w:after="40" w:line="240" w:lineRule="auto"/>
              <w:jc w:val="left"/>
            </w:pPr>
            <w:r/>
            <w:r>
              <w:rPr>
                <w:rFonts w:ascii="Times New Roman" w:hAnsi="Times New Roman"/>
                <w:sz w:val="17"/>
              </w:rPr>
              <w:t>0.024</w:t>
            </w:r>
          </w:p>
        </w:tc>
        <w:tc>
          <w:tcPr>
            <w:tcW w:type="dxa" w:w="1584"/>
          </w:tcPr>
          <w:p>
            <w:pPr>
              <w:spacing w:after="40" w:line="240" w:lineRule="auto"/>
              <w:jc w:val="left"/>
            </w:pPr>
            <w:r/>
            <w:r>
              <w:rPr>
                <w:rFonts w:ascii="Times New Roman" w:hAnsi="Times New Roman"/>
                <w:sz w:val="17"/>
              </w:rPr>
              <w:t>0.105</w:t>
            </w:r>
          </w:p>
        </w:tc>
        <w:tc>
          <w:tcPr>
            <w:tcW w:type="dxa" w:w="1584"/>
          </w:tcPr>
          <w:p>
            <w:pPr>
              <w:spacing w:after="40" w:line="240" w:lineRule="auto"/>
              <w:jc w:val="center"/>
            </w:pPr>
            <w:r/>
            <w:r>
              <w:rPr>
                <w:rFonts w:ascii="Times New Roman" w:hAnsi="Times New Roman"/>
                <w:sz w:val="17"/>
              </w:rPr>
              <w:t>0.202</w:t>
            </w:r>
          </w:p>
        </w:tc>
      </w:tr>
      <w:tr>
        <w:tc>
          <w:tcPr>
            <w:tcW w:type="dxa" w:w="2592"/>
          </w:tcPr>
          <w:p>
            <w:pPr>
              <w:spacing w:after="40" w:line="240" w:lineRule="auto"/>
              <w:jc w:val="left"/>
            </w:pPr>
            <w:r/>
            <w:r>
              <w:rPr>
                <w:rFonts w:ascii="Times New Roman" w:hAnsi="Times New Roman"/>
                <w:sz w:val="17"/>
              </w:rPr>
              <w:t>COLL_POLICY</w:t>
            </w:r>
          </w:p>
        </w:tc>
        <w:tc>
          <w:tcPr>
            <w:tcW w:type="dxa" w:w="1008"/>
          </w:tcPr>
          <w:p>
            <w:pPr>
              <w:spacing w:after="40" w:line="240" w:lineRule="auto"/>
              <w:jc w:val="left"/>
            </w:pPr>
            <w:r/>
            <w:r>
              <w:rPr>
                <w:rFonts w:ascii="Times New Roman" w:hAnsi="Times New Roman"/>
                <w:sz w:val="17"/>
              </w:rPr>
              <w:t>0.159</w:t>
            </w:r>
          </w:p>
        </w:tc>
        <w:tc>
          <w:tcPr>
            <w:tcW w:type="dxa" w:w="1008"/>
          </w:tcPr>
          <w:p>
            <w:pPr>
              <w:spacing w:after="40" w:line="240" w:lineRule="auto"/>
              <w:jc w:val="left"/>
            </w:pPr>
            <w:r/>
            <w:r>
              <w:rPr>
                <w:rFonts w:ascii="Times New Roman" w:hAnsi="Times New Roman"/>
                <w:sz w:val="17"/>
              </w:rPr>
              <w:t>0.024</w:t>
            </w:r>
          </w:p>
        </w:tc>
        <w:tc>
          <w:tcPr>
            <w:tcW w:type="dxa" w:w="1008"/>
          </w:tcPr>
          <w:p>
            <w:pPr>
              <w:spacing w:after="40" w:line="240" w:lineRule="auto"/>
              <w:jc w:val="left"/>
            </w:pPr>
            <w:r/>
            <w:r>
              <w:rPr>
                <w:rFonts w:ascii="Times New Roman" w:hAnsi="Times New Roman"/>
                <w:sz w:val="17"/>
              </w:rPr>
              <w:t>0.025</w:t>
            </w:r>
          </w:p>
        </w:tc>
        <w:tc>
          <w:tcPr>
            <w:tcW w:type="dxa" w:w="1008"/>
          </w:tcPr>
          <w:p>
            <w:pPr>
              <w:spacing w:after="40" w:line="240" w:lineRule="auto"/>
              <w:jc w:val="left"/>
            </w:pPr>
            <w:r/>
            <w:r>
              <w:rPr>
                <w:rFonts w:ascii="Times New Roman" w:hAnsi="Times New Roman"/>
                <w:sz w:val="17"/>
              </w:rPr>
              <w:t>0.025</w:t>
            </w:r>
          </w:p>
        </w:tc>
        <w:tc>
          <w:tcPr>
            <w:tcW w:type="dxa" w:w="1584"/>
          </w:tcPr>
          <w:p>
            <w:pPr>
              <w:spacing w:after="40" w:line="240" w:lineRule="auto"/>
              <w:jc w:val="left"/>
            </w:pPr>
            <w:r/>
            <w:r>
              <w:rPr>
                <w:rFonts w:ascii="Times New Roman" w:hAnsi="Times New Roman"/>
                <w:sz w:val="17"/>
              </w:rPr>
              <w:t>0.110</w:t>
            </w:r>
          </w:p>
        </w:tc>
        <w:tc>
          <w:tcPr>
            <w:tcW w:type="dxa" w:w="1584"/>
          </w:tcPr>
          <w:p>
            <w:pPr>
              <w:spacing w:after="40" w:line="240" w:lineRule="auto"/>
              <w:jc w:val="center"/>
            </w:pPr>
            <w:r/>
            <w:r>
              <w:rPr>
                <w:rFonts w:ascii="Times New Roman" w:hAnsi="Times New Roman"/>
                <w:sz w:val="17"/>
              </w:rPr>
              <w:t>0.210</w:t>
            </w:r>
          </w:p>
        </w:tc>
      </w:tr>
    </w:tbl>
    <w:p>
      <w:pPr>
        <w:spacing w:after="200" w:line="360" w:lineRule="auto"/>
        <w:ind w:firstLine="0"/>
        <w:jc w:val="center"/>
      </w:pPr>
      <w:r>
        <w:rPr>
          <w:rFonts w:ascii="Times New Roman" w:hAnsi="Times New Roman"/>
          <w:b w:val="0"/>
          <w:i/>
          <w:sz w:val="20"/>
        </w:rPr>
        <w:t>Source: Author's corporate survey analysis (2025–2026), n = 800 (Bootstrap based on 2,000 resamples).</w:t>
      </w:r>
    </w:p>
    <w:p>
      <w:pPr>
        <w:spacing w:after="160" w:line="360" w:lineRule="auto"/>
        <w:ind w:firstLine="360"/>
        <w:jc w:val="both"/>
      </w:pPr>
      <w:r>
        <w:rPr>
          <w:rFonts w:ascii="Times New Roman" w:hAnsi="Times New Roman"/>
          <w:b w:val="0"/>
          <w:i w:val="0"/>
          <w:sz w:val="24"/>
        </w:rPr>
        <w:t>As reported in Table 4.13, parameter estimates remain rock-solid across estimation techniques. The bootstrap standard errors and 95% percentile confidence intervals strictly exclude zero for all seven predictors, verifying that the empirical results are not driven by sampling artifacts or distributional anomalies.</w:t>
      </w:r>
    </w:p>
    <w:p w14:paraId="4B19BAD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4.6. Sub-Group Difference Analysis </w:t>
      </w:r>
      <w:r w:rsidRPr="0040485A">
        <w:rPr>
          <w:rFonts w:ascii="Times New Roman" w:hAnsi="Times New Roman" w:cs="Times New Roman"/>
        </w:rPr>
        <w:t>Results (ANOVA &amp; t-test)</w:t>
      </w:r>
    </w:p>
    <w:p w14:paraId="3522571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4.6.1. Selection Differences across Ownership Types</w:t>
      </w:r>
    </w:p>
    <w:p>
      <w:pPr>
        <w:spacing w:after="80" w:line="360" w:lineRule="auto"/>
        <w:ind w:firstLine="0"/>
        <w:jc w:val="center"/>
      </w:pPr>
      <w:r>
        <w:rPr>
          <w:rFonts w:ascii="Times New Roman" w:hAnsi="Times New Roman"/>
          <w:b/>
          <w:i w:val="0"/>
          <w:sz w:val="22"/>
        </w:rPr>
        <w:t>Table 4.14: One-Way ANOVA of guarantee selection priority across enterprise ownership types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0"/>
            <w:shd w:val="clear" w:color="auto" w:fill="D9D9D9"/>
          </w:tcPr>
          <w:p>
            <w:pPr>
              <w:spacing w:after="40" w:line="240" w:lineRule="auto"/>
              <w:jc w:val="center"/>
            </w:pPr>
            <w:r/>
            <w:r>
              <w:rPr>
                <w:rFonts w:ascii="Times New Roman" w:hAnsi="Times New Roman"/>
                <w:b/>
                <w:sz w:val="17"/>
              </w:rPr>
              <w:t>Ownership Category</w:t>
            </w:r>
          </w:p>
        </w:tc>
        <w:tc>
          <w:tcPr>
            <w:tcW w:type="dxa" w:w="1152"/>
            <w:shd w:val="clear" w:color="auto" w:fill="D9D9D9"/>
          </w:tcPr>
          <w:p>
            <w:pPr>
              <w:spacing w:after="40" w:line="240" w:lineRule="auto"/>
              <w:jc w:val="center"/>
            </w:pPr>
            <w:r/>
            <w:r>
              <w:rPr>
                <w:rFonts w:ascii="Times New Roman" w:hAnsi="Times New Roman"/>
                <w:b/>
                <w:sz w:val="17"/>
              </w:rPr>
              <w:t>Sample Size (n)</w:t>
            </w:r>
          </w:p>
        </w:tc>
        <w:tc>
          <w:tcPr>
            <w:tcW w:type="dxa" w:w="1152"/>
            <w:shd w:val="clear" w:color="auto" w:fill="D9D9D9"/>
          </w:tcPr>
          <w:p>
            <w:pPr>
              <w:spacing w:after="40" w:line="240" w:lineRule="auto"/>
              <w:jc w:val="center"/>
            </w:pPr>
            <w:r/>
            <w:r>
              <w:rPr>
                <w:rFonts w:ascii="Times New Roman" w:hAnsi="Times New Roman"/>
                <w:b/>
                <w:sz w:val="17"/>
              </w:rPr>
              <w:t>Mean (DEC)</w:t>
            </w:r>
          </w:p>
        </w:tc>
        <w:tc>
          <w:tcPr>
            <w:tcW w:type="dxa" w:w="1152"/>
            <w:shd w:val="clear" w:color="auto" w:fill="D9D9D9"/>
          </w:tcPr>
          <w:p>
            <w:pPr>
              <w:spacing w:after="40" w:line="240" w:lineRule="auto"/>
              <w:jc w:val="center"/>
            </w:pPr>
            <w:r/>
            <w:r>
              <w:rPr>
                <w:rFonts w:ascii="Times New Roman" w:hAnsi="Times New Roman"/>
                <w:b/>
                <w:sz w:val="17"/>
              </w:rPr>
              <w:t>Std. Deviation</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440"/>
            <w:shd w:val="clear" w:color="auto" w:fill="D9D9D9"/>
          </w:tcPr>
          <w:p>
            <w:pPr>
              <w:spacing w:after="40" w:line="240" w:lineRule="auto"/>
              <w:jc w:val="center"/>
            </w:pPr>
            <w:r/>
            <w:r>
              <w:rPr>
                <w:rFonts w:ascii="Times New Roman" w:hAnsi="Times New Roman"/>
                <w:b/>
                <w:sz w:val="17"/>
              </w:rPr>
              <w:t>p-value</w:t>
            </w:r>
          </w:p>
        </w:tc>
        <w:tc>
          <w:tcPr>
            <w:tcW w:type="dxa" w:w="1440"/>
            <w:shd w:val="clear" w:color="auto" w:fill="D9D9D9"/>
          </w:tcPr>
          <w:p>
            <w:pPr>
              <w:spacing w:after="40" w:line="240" w:lineRule="auto"/>
              <w:jc w:val="center"/>
            </w:pPr>
            <w:r/>
            <w:r>
              <w:rPr>
                <w:rFonts w:ascii="Times New Roman" w:hAnsi="Times New Roman"/>
                <w:b/>
                <w:sz w:val="17"/>
              </w:rPr>
              <w:t>Conclusion</w:t>
            </w:r>
          </w:p>
        </w:tc>
      </w:tr>
      <w:tr>
        <w:tc>
          <w:tcPr>
            <w:tcW w:type="dxa" w:w="3600"/>
          </w:tcPr>
          <w:p>
            <w:pPr>
              <w:spacing w:after="40" w:line="240" w:lineRule="auto"/>
              <w:jc w:val="left"/>
            </w:pPr>
            <w:r/>
            <w:r>
              <w:rPr>
                <w:rFonts w:ascii="Times New Roman" w:hAnsi="Times New Roman"/>
                <w:sz w:val="17"/>
              </w:rPr>
              <w:t>Doanh nghiệp tư nhân / TNHH</w:t>
            </w:r>
          </w:p>
        </w:tc>
        <w:tc>
          <w:tcPr>
            <w:tcW w:type="dxa" w:w="1152"/>
          </w:tcPr>
          <w:p>
            <w:pPr>
              <w:spacing w:after="40" w:line="240" w:lineRule="auto"/>
              <w:jc w:val="left"/>
            </w:pPr>
            <w:r/>
            <w:r>
              <w:rPr>
                <w:rFonts w:ascii="Times New Roman" w:hAnsi="Times New Roman"/>
                <w:sz w:val="17"/>
              </w:rPr>
              <w:t>320</w:t>
            </w:r>
          </w:p>
        </w:tc>
        <w:tc>
          <w:tcPr>
            <w:tcW w:type="dxa" w:w="1152"/>
          </w:tcPr>
          <w:p>
            <w:pPr>
              <w:spacing w:after="40" w:line="240" w:lineRule="auto"/>
              <w:jc w:val="left"/>
            </w:pPr>
            <w:r/>
            <w:r>
              <w:rPr>
                <w:rFonts w:ascii="Times New Roman" w:hAnsi="Times New Roman"/>
                <w:sz w:val="17"/>
              </w:rPr>
              <w:t>3.680</w:t>
            </w:r>
          </w:p>
        </w:tc>
        <w:tc>
          <w:tcPr>
            <w:tcW w:type="dxa" w:w="1152"/>
          </w:tcPr>
          <w:p>
            <w:pPr>
              <w:spacing w:after="40" w:line="240" w:lineRule="auto"/>
              <w:jc w:val="left"/>
            </w:pPr>
            <w:r/>
            <w:r>
              <w:rPr>
                <w:rFonts w:ascii="Times New Roman" w:hAnsi="Times New Roman"/>
                <w:sz w:val="17"/>
              </w:rPr>
              <w:t>0.718</w:t>
            </w:r>
          </w:p>
        </w:tc>
        <w:tc>
          <w:tcPr>
            <w:tcW w:type="dxa" w:w="1152"/>
          </w:tcPr>
          <w:p>
            <w:pPr>
              <w:spacing w:after="40" w:line="240" w:lineRule="auto"/>
              <w:jc w:val="left"/>
            </w:pPr>
            <w:r/>
            <w:r>
              <w:rPr>
                <w:rFonts w:ascii="Times New Roman" w:hAnsi="Times New Roman"/>
                <w:sz w:val="17"/>
              </w:rPr>
              <w:t>0.887</w:t>
            </w:r>
          </w:p>
        </w:tc>
        <w:tc>
          <w:tcPr>
            <w:tcW w:type="dxa" w:w="1440"/>
          </w:tcPr>
          <w:p>
            <w:pPr>
              <w:spacing w:after="40" w:line="240" w:lineRule="auto"/>
              <w:jc w:val="left"/>
            </w:pPr>
            <w:r/>
            <w:r>
              <w:rPr>
                <w:rFonts w:ascii="Times New Roman" w:hAnsi="Times New Roman"/>
                <w:sz w:val="17"/>
              </w:rPr>
              <w:t>0.4714 (p &lt; 0.01)</w:t>
            </w:r>
          </w:p>
        </w:tc>
        <w:tc>
          <w:tcPr>
            <w:tcW w:type="dxa" w:w="1440"/>
          </w:tcPr>
          <w:p>
            <w:pPr>
              <w:spacing w:after="40" w:line="240" w:lineRule="auto"/>
              <w:jc w:val="center"/>
            </w:pPr>
            <w:r/>
            <w:r>
              <w:rPr>
                <w:rFonts w:ascii="Times New Roman" w:hAnsi="Times New Roman"/>
                <w:sz w:val="17"/>
              </w:rPr>
              <w:t>Statistically Significant *</w:t>
            </w:r>
          </w:p>
        </w:tc>
      </w:tr>
      <w:tr>
        <w:tc>
          <w:tcPr>
            <w:tcW w:type="dxa" w:w="3600"/>
          </w:tcPr>
          <w:p>
            <w:pPr>
              <w:spacing w:after="40" w:line="240" w:lineRule="auto"/>
              <w:jc w:val="left"/>
            </w:pPr>
            <w:r/>
            <w:r>
              <w:rPr>
                <w:rFonts w:ascii="Times New Roman" w:hAnsi="Times New Roman"/>
                <w:sz w:val="17"/>
              </w:rPr>
              <w:t>Công ty Cổ phần ngoài quốc doanh</w:t>
            </w:r>
          </w:p>
        </w:tc>
        <w:tc>
          <w:tcPr>
            <w:tcW w:type="dxa" w:w="1152"/>
          </w:tcPr>
          <w:p>
            <w:pPr>
              <w:spacing w:after="40" w:line="240" w:lineRule="auto"/>
              <w:jc w:val="left"/>
            </w:pPr>
            <w:r/>
            <w:r>
              <w:rPr>
                <w:rFonts w:ascii="Times New Roman" w:hAnsi="Times New Roman"/>
                <w:sz w:val="17"/>
              </w:rPr>
              <w:t>264</w:t>
            </w:r>
          </w:p>
        </w:tc>
        <w:tc>
          <w:tcPr>
            <w:tcW w:type="dxa" w:w="1152"/>
          </w:tcPr>
          <w:p>
            <w:pPr>
              <w:spacing w:after="40" w:line="240" w:lineRule="auto"/>
              <w:jc w:val="left"/>
            </w:pPr>
            <w:r/>
            <w:r>
              <w:rPr>
                <w:rFonts w:ascii="Times New Roman" w:hAnsi="Times New Roman"/>
                <w:sz w:val="17"/>
              </w:rPr>
              <w:t>3.728</w:t>
            </w:r>
          </w:p>
        </w:tc>
        <w:tc>
          <w:tcPr>
            <w:tcW w:type="dxa" w:w="1152"/>
          </w:tcPr>
          <w:p>
            <w:pPr>
              <w:spacing w:after="40" w:line="240" w:lineRule="auto"/>
              <w:jc w:val="left"/>
            </w:pPr>
            <w:r/>
            <w:r>
              <w:rPr>
                <w:rFonts w:ascii="Times New Roman" w:hAnsi="Times New Roman"/>
                <w:sz w:val="17"/>
              </w:rPr>
              <w:t>0.728</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Doanh nghiệp Nhà nước (SOEs)</w:t>
            </w:r>
          </w:p>
        </w:tc>
        <w:tc>
          <w:tcPr>
            <w:tcW w:type="dxa" w:w="1152"/>
          </w:tcPr>
          <w:p>
            <w:pPr>
              <w:spacing w:after="40" w:line="240" w:lineRule="auto"/>
              <w:jc w:val="left"/>
            </w:pPr>
            <w:r/>
            <w:r>
              <w:rPr>
                <w:rFonts w:ascii="Times New Roman" w:hAnsi="Times New Roman"/>
                <w:sz w:val="17"/>
              </w:rPr>
              <w:t>105</w:t>
            </w:r>
          </w:p>
        </w:tc>
        <w:tc>
          <w:tcPr>
            <w:tcW w:type="dxa" w:w="1152"/>
          </w:tcPr>
          <w:p>
            <w:pPr>
              <w:spacing w:after="40" w:line="240" w:lineRule="auto"/>
              <w:jc w:val="left"/>
            </w:pPr>
            <w:r/>
            <w:r>
              <w:rPr>
                <w:rFonts w:ascii="Times New Roman" w:hAnsi="Times New Roman"/>
                <w:sz w:val="17"/>
              </w:rPr>
              <w:t>3.679</w:t>
            </w:r>
          </w:p>
        </w:tc>
        <w:tc>
          <w:tcPr>
            <w:tcW w:type="dxa" w:w="1152"/>
          </w:tcPr>
          <w:p>
            <w:pPr>
              <w:spacing w:after="40" w:line="240" w:lineRule="auto"/>
              <w:jc w:val="left"/>
            </w:pPr>
            <w:r/>
            <w:r>
              <w:rPr>
                <w:rFonts w:ascii="Times New Roman" w:hAnsi="Times New Roman"/>
                <w:sz w:val="17"/>
              </w:rPr>
              <w:t>0.743</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Doanh nghiệp FDI</w:t>
            </w:r>
          </w:p>
        </w:tc>
        <w:tc>
          <w:tcPr>
            <w:tcW w:type="dxa" w:w="1152"/>
          </w:tcPr>
          <w:p>
            <w:pPr>
              <w:spacing w:after="40" w:line="240" w:lineRule="auto"/>
              <w:jc w:val="left"/>
            </w:pPr>
            <w:r/>
            <w:r>
              <w:rPr>
                <w:rFonts w:ascii="Times New Roman" w:hAnsi="Times New Roman"/>
                <w:sz w:val="17"/>
              </w:rPr>
              <w:t>99</w:t>
            </w:r>
          </w:p>
        </w:tc>
        <w:tc>
          <w:tcPr>
            <w:tcW w:type="dxa" w:w="1152"/>
          </w:tcPr>
          <w:p>
            <w:pPr>
              <w:spacing w:after="40" w:line="240" w:lineRule="auto"/>
              <w:jc w:val="left"/>
            </w:pPr>
            <w:r/>
            <w:r>
              <w:rPr>
                <w:rFonts w:ascii="Times New Roman" w:hAnsi="Times New Roman"/>
                <w:sz w:val="17"/>
              </w:rPr>
              <w:t>3.576</w:t>
            </w:r>
          </w:p>
        </w:tc>
        <w:tc>
          <w:tcPr>
            <w:tcW w:type="dxa" w:w="1152"/>
          </w:tcPr>
          <w:p>
            <w:pPr>
              <w:spacing w:after="40" w:line="240" w:lineRule="auto"/>
              <w:jc w:val="left"/>
            </w:pPr>
            <w:r/>
            <w:r>
              <w:rPr>
                <w:rFonts w:ascii="Times New Roman" w:hAnsi="Times New Roman"/>
                <w:sz w:val="17"/>
              </w:rPr>
              <w:t>0.756</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Khác</w:t>
            </w:r>
          </w:p>
        </w:tc>
        <w:tc>
          <w:tcPr>
            <w:tcW w:type="dxa" w:w="1152"/>
          </w:tcPr>
          <w:p>
            <w:pPr>
              <w:spacing w:after="40" w:line="240" w:lineRule="auto"/>
              <w:jc w:val="left"/>
            </w:pPr>
            <w:r/>
            <w:r>
              <w:rPr>
                <w:rFonts w:ascii="Times New Roman" w:hAnsi="Times New Roman"/>
                <w:sz w:val="17"/>
              </w:rPr>
              <w:t>12</w:t>
            </w:r>
          </w:p>
        </w:tc>
        <w:tc>
          <w:tcPr>
            <w:tcW w:type="dxa" w:w="1152"/>
          </w:tcPr>
          <w:p>
            <w:pPr>
              <w:spacing w:after="40" w:line="240" w:lineRule="auto"/>
              <w:jc w:val="left"/>
            </w:pPr>
            <w:r/>
            <w:r>
              <w:rPr>
                <w:rFonts w:ascii="Times New Roman" w:hAnsi="Times New Roman"/>
                <w:sz w:val="17"/>
              </w:rPr>
              <w:t>3.812</w:t>
            </w:r>
          </w:p>
        </w:tc>
        <w:tc>
          <w:tcPr>
            <w:tcW w:type="dxa" w:w="1152"/>
          </w:tcPr>
          <w:p>
            <w:pPr>
              <w:spacing w:after="40" w:line="240" w:lineRule="auto"/>
              <w:jc w:val="left"/>
            </w:pPr>
            <w:r/>
            <w:r>
              <w:rPr>
                <w:rFonts w:ascii="Times New Roman" w:hAnsi="Times New Roman"/>
                <w:sz w:val="17"/>
              </w:rPr>
              <w:t>0.658</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bl>
    <w:p>
      <w:pPr>
        <w:spacing w:after="200" w:line="360" w:lineRule="auto"/>
        <w:ind w:firstLine="0"/>
        <w:jc w:val="center"/>
      </w:pPr>
      <w:r>
        <w:rPr>
          <w:rFonts w:ascii="Times New Roman" w:hAnsi="Times New Roman"/>
          <w:b w:val="0"/>
          <w:i/>
          <w:sz w:val="20"/>
        </w:rPr>
        <w:t>Source: Author's corporate survey analysis (2025–2026), n = 800.</w:t>
      </w:r>
    </w:p>
    <w:p w14:paraId="017437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4.6.2. Selection Differences across Firm Scales and Operating Experience</w:t>
      </w:r>
    </w:p>
    <w:p>
      <w:pPr>
        <w:spacing w:after="80" w:line="360" w:lineRule="auto"/>
        <w:ind w:firstLine="0"/>
        <w:jc w:val="center"/>
      </w:pPr>
      <w:r>
        <w:rPr>
          <w:rFonts w:ascii="Times New Roman" w:hAnsi="Times New Roman"/>
          <w:b/>
          <w:i w:val="0"/>
          <w:sz w:val="22"/>
        </w:rPr>
        <w:t>Table 4.15: One-Way ANOVA across enterprise revenue scales and operating experience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Enterprise Dimension</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152"/>
            <w:shd w:val="clear" w:color="auto" w:fill="D9D9D9"/>
          </w:tcPr>
          <w:p>
            <w:pPr>
              <w:spacing w:after="40" w:line="240" w:lineRule="auto"/>
              <w:jc w:val="center"/>
            </w:pPr>
            <w:r/>
            <w:r>
              <w:rPr>
                <w:rFonts w:ascii="Times New Roman" w:hAnsi="Times New Roman"/>
                <w:b/>
                <w:sz w:val="18"/>
              </w:rPr>
              <w:t>df Between</w:t>
            </w:r>
          </w:p>
        </w:tc>
        <w:tc>
          <w:tcPr>
            <w:tcW w:type="dxa" w:w="1152"/>
            <w:shd w:val="clear" w:color="auto" w:fill="D9D9D9"/>
          </w:tcPr>
          <w:p>
            <w:pPr>
              <w:spacing w:after="40" w:line="240" w:lineRule="auto"/>
              <w:jc w:val="center"/>
            </w:pPr>
            <w:r/>
            <w:r>
              <w:rPr>
                <w:rFonts w:ascii="Times New Roman" w:hAnsi="Times New Roman"/>
                <w:b/>
                <w:sz w:val="18"/>
              </w:rPr>
              <w:t>df Within</w:t>
            </w:r>
          </w:p>
        </w:tc>
        <w:tc>
          <w:tcPr>
            <w:tcW w:type="dxa" w:w="1440"/>
            <w:shd w:val="clear" w:color="auto" w:fill="D9D9D9"/>
          </w:tcPr>
          <w:p>
            <w:pPr>
              <w:spacing w:after="40" w:line="240" w:lineRule="auto"/>
              <w:jc w:val="center"/>
            </w:pPr>
            <w:r/>
            <w:r>
              <w:rPr>
                <w:rFonts w:ascii="Times New Roman" w:hAnsi="Times New Roman"/>
                <w:b/>
                <w:sz w:val="18"/>
              </w:rPr>
              <w:t>p-value</w:t>
            </w:r>
          </w:p>
        </w:tc>
        <w:tc>
          <w:tcPr>
            <w:tcW w:type="dxa" w:w="2016"/>
            <w:shd w:val="clear" w:color="auto" w:fill="D9D9D9"/>
          </w:tcPr>
          <w:p>
            <w:pPr>
              <w:spacing w:after="40" w:line="240" w:lineRule="auto"/>
              <w:jc w:val="center"/>
            </w:pPr>
            <w:r/>
            <w:r>
              <w:rPr>
                <w:rFonts w:ascii="Times New Roman" w:hAnsi="Times New Roman"/>
                <w:b/>
                <w:sz w:val="18"/>
              </w:rPr>
              <w:t>Significance Decision</w:t>
            </w:r>
          </w:p>
        </w:tc>
      </w:tr>
      <w:tr>
        <w:tc>
          <w:tcPr>
            <w:tcW w:type="dxa" w:w="3168"/>
          </w:tcPr>
          <w:p>
            <w:pPr>
              <w:spacing w:after="40" w:line="240" w:lineRule="auto"/>
              <w:jc w:val="left"/>
            </w:pPr>
            <w:r/>
            <w:r>
              <w:rPr>
                <w:rFonts w:ascii="Times New Roman" w:hAnsi="Times New Roman"/>
                <w:sz w:val="18"/>
              </w:rPr>
              <w:t>Annual Revenue Scale (Q2)</w:t>
            </w:r>
          </w:p>
        </w:tc>
        <w:tc>
          <w:tcPr>
            <w:tcW w:type="dxa" w:w="1440"/>
          </w:tcPr>
          <w:p>
            <w:pPr>
              <w:spacing w:after="40" w:line="240" w:lineRule="auto"/>
              <w:jc w:val="left"/>
            </w:pPr>
            <w:r/>
            <w:r>
              <w:rPr>
                <w:rFonts w:ascii="Times New Roman" w:hAnsi="Times New Roman"/>
                <w:sz w:val="18"/>
              </w:rPr>
              <w:t>0.949</w:t>
            </w:r>
          </w:p>
        </w:tc>
        <w:tc>
          <w:tcPr>
            <w:tcW w:type="dxa" w:w="1152"/>
          </w:tcPr>
          <w:p>
            <w:pPr>
              <w:spacing w:after="40" w:line="240" w:lineRule="auto"/>
              <w:jc w:val="left"/>
            </w:pPr>
            <w:r/>
            <w:r>
              <w:rPr>
                <w:rFonts w:ascii="Times New Roman" w:hAnsi="Times New Roman"/>
                <w:sz w:val="18"/>
              </w:rPr>
              <w:t>3</w:t>
            </w:r>
          </w:p>
        </w:tc>
        <w:tc>
          <w:tcPr>
            <w:tcW w:type="dxa" w:w="1152"/>
          </w:tcPr>
          <w:p>
            <w:pPr>
              <w:spacing w:after="40" w:line="240" w:lineRule="auto"/>
              <w:jc w:val="left"/>
            </w:pPr>
            <w:r/>
            <w:r>
              <w:rPr>
                <w:rFonts w:ascii="Times New Roman" w:hAnsi="Times New Roman"/>
                <w:sz w:val="18"/>
              </w:rPr>
              <w:t>796</w:t>
            </w:r>
          </w:p>
        </w:tc>
        <w:tc>
          <w:tcPr>
            <w:tcW w:type="dxa" w:w="1440"/>
          </w:tcPr>
          <w:p>
            <w:pPr>
              <w:spacing w:after="40" w:line="240" w:lineRule="auto"/>
              <w:jc w:val="left"/>
            </w:pPr>
            <w:r/>
            <w:r>
              <w:rPr>
                <w:rFonts w:ascii="Times New Roman" w:hAnsi="Times New Roman"/>
                <w:sz w:val="18"/>
              </w:rPr>
              <w:t>0.4165</w:t>
            </w:r>
          </w:p>
        </w:tc>
        <w:tc>
          <w:tcPr>
            <w:tcW w:type="dxa" w:w="2016"/>
          </w:tcPr>
          <w:p>
            <w:pPr>
              <w:spacing w:after="40" w:line="240" w:lineRule="auto"/>
              <w:jc w:val="center"/>
            </w:pPr>
            <w:r/>
            <w:r>
              <w:rPr>
                <w:rFonts w:ascii="Times New Roman" w:hAnsi="Times New Roman"/>
                <w:sz w:val="18"/>
              </w:rPr>
              <w:t>Not Significant (p &gt; 0.05)</w:t>
            </w:r>
          </w:p>
        </w:tc>
      </w:tr>
      <w:tr>
        <w:tc>
          <w:tcPr>
            <w:tcW w:type="dxa" w:w="3168"/>
          </w:tcPr>
          <w:p>
            <w:pPr>
              <w:spacing w:after="40" w:line="240" w:lineRule="auto"/>
              <w:jc w:val="left"/>
            </w:pPr>
            <w:r/>
            <w:r>
              <w:rPr>
                <w:rFonts w:ascii="Times New Roman" w:hAnsi="Times New Roman"/>
                <w:sz w:val="18"/>
              </w:rPr>
              <w:t>Operating Tenure (Q3)</w:t>
            </w:r>
          </w:p>
        </w:tc>
        <w:tc>
          <w:tcPr>
            <w:tcW w:type="dxa" w:w="1440"/>
          </w:tcPr>
          <w:p>
            <w:pPr>
              <w:spacing w:after="40" w:line="240" w:lineRule="auto"/>
              <w:jc w:val="left"/>
            </w:pPr>
            <w:r/>
            <w:r>
              <w:rPr>
                <w:rFonts w:ascii="Times New Roman" w:hAnsi="Times New Roman"/>
                <w:sz w:val="18"/>
              </w:rPr>
              <w:t>0.260</w:t>
            </w:r>
          </w:p>
        </w:tc>
        <w:tc>
          <w:tcPr>
            <w:tcW w:type="dxa" w:w="1152"/>
          </w:tcPr>
          <w:p>
            <w:pPr>
              <w:spacing w:after="40" w:line="240" w:lineRule="auto"/>
              <w:jc w:val="left"/>
            </w:pPr>
            <w:r/>
            <w:r>
              <w:rPr>
                <w:rFonts w:ascii="Times New Roman" w:hAnsi="Times New Roman"/>
                <w:sz w:val="18"/>
              </w:rPr>
              <w:t>3</w:t>
            </w:r>
          </w:p>
        </w:tc>
        <w:tc>
          <w:tcPr>
            <w:tcW w:type="dxa" w:w="1152"/>
          </w:tcPr>
          <w:p>
            <w:pPr>
              <w:spacing w:after="40" w:line="240" w:lineRule="auto"/>
              <w:jc w:val="left"/>
            </w:pPr>
            <w:r/>
            <w:r>
              <w:rPr>
                <w:rFonts w:ascii="Times New Roman" w:hAnsi="Times New Roman"/>
                <w:sz w:val="18"/>
              </w:rPr>
              <w:t>796</w:t>
            </w:r>
          </w:p>
        </w:tc>
        <w:tc>
          <w:tcPr>
            <w:tcW w:type="dxa" w:w="1440"/>
          </w:tcPr>
          <w:p>
            <w:pPr>
              <w:spacing w:after="40" w:line="240" w:lineRule="auto"/>
              <w:jc w:val="left"/>
            </w:pPr>
            <w:r/>
            <w:r>
              <w:rPr>
                <w:rFonts w:ascii="Times New Roman" w:hAnsi="Times New Roman"/>
                <w:sz w:val="18"/>
              </w:rPr>
              <w:t>0.8542</w:t>
            </w:r>
          </w:p>
        </w:tc>
        <w:tc>
          <w:tcPr>
            <w:tcW w:type="dxa" w:w="2016"/>
          </w:tcPr>
          <w:p>
            <w:pPr>
              <w:spacing w:after="40" w:line="240" w:lineRule="auto"/>
              <w:jc w:val="center"/>
            </w:pPr>
            <w:r/>
            <w:r>
              <w:rPr>
                <w:rFonts w:ascii="Times New Roman" w:hAnsi="Times New Roman"/>
                <w:sz w:val="18"/>
              </w:rPr>
              <w:t>Not Significant (p &gt; 0.05)</w:t>
            </w:r>
          </w:p>
        </w:tc>
      </w:tr>
    </w:tbl>
    <w:p>
      <w:pPr>
        <w:spacing w:after="200" w:line="360" w:lineRule="auto"/>
        <w:ind w:firstLine="0"/>
        <w:jc w:val="center"/>
      </w:pPr>
      <w:r>
        <w:rPr>
          <w:rFonts w:ascii="Times New Roman" w:hAnsi="Times New Roman"/>
          <w:b w:val="0"/>
          <w:i/>
          <w:sz w:val="20"/>
        </w:rPr>
        <w:t>Source: Author's corporate survey analysis (2025–2026), n = 800.</w:t>
      </w:r>
    </w:p>
    <w:p w14:paraId="627CF0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4.6.3. Selection Differences across Guarantee Product Types</w:t>
      </w:r>
    </w:p>
    <w:p>
      <w:pPr>
        <w:spacing w:after="80" w:line="360" w:lineRule="auto"/>
        <w:ind w:firstLine="0"/>
        <w:jc w:val="center"/>
      </w:pPr>
      <w:r>
        <w:rPr>
          <w:rFonts w:ascii="Times New Roman" w:hAnsi="Times New Roman"/>
          <w:b/>
          <w:i w:val="0"/>
          <w:sz w:val="22"/>
        </w:rPr>
        <w:t>Table 4.16: One-Way ANOVA across primary guarantee product categories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0"/>
            <w:shd w:val="clear" w:color="auto" w:fill="D9D9D9"/>
          </w:tcPr>
          <w:p>
            <w:pPr>
              <w:spacing w:after="40" w:line="240" w:lineRule="auto"/>
              <w:jc w:val="center"/>
            </w:pPr>
            <w:r/>
            <w:r>
              <w:rPr>
                <w:rFonts w:ascii="Times New Roman" w:hAnsi="Times New Roman"/>
                <w:b/>
                <w:sz w:val="17"/>
              </w:rPr>
              <w:t>Product Category (Q4)</w:t>
            </w:r>
          </w:p>
        </w:tc>
        <w:tc>
          <w:tcPr>
            <w:tcW w:type="dxa" w:w="1152"/>
            <w:shd w:val="clear" w:color="auto" w:fill="D9D9D9"/>
          </w:tcPr>
          <w:p>
            <w:pPr>
              <w:spacing w:after="40" w:line="240" w:lineRule="auto"/>
              <w:jc w:val="center"/>
            </w:pPr>
            <w:r/>
            <w:r>
              <w:rPr>
                <w:rFonts w:ascii="Times New Roman" w:hAnsi="Times New Roman"/>
                <w:b/>
                <w:sz w:val="17"/>
              </w:rPr>
              <w:t>Sample Size (n)</w:t>
            </w:r>
          </w:p>
        </w:tc>
        <w:tc>
          <w:tcPr>
            <w:tcW w:type="dxa" w:w="1152"/>
            <w:shd w:val="clear" w:color="auto" w:fill="D9D9D9"/>
          </w:tcPr>
          <w:p>
            <w:pPr>
              <w:spacing w:after="40" w:line="240" w:lineRule="auto"/>
              <w:jc w:val="center"/>
            </w:pPr>
            <w:r/>
            <w:r>
              <w:rPr>
                <w:rFonts w:ascii="Times New Roman" w:hAnsi="Times New Roman"/>
                <w:b/>
                <w:sz w:val="17"/>
              </w:rPr>
              <w:t>Mean (DEC)</w:t>
            </w:r>
          </w:p>
        </w:tc>
        <w:tc>
          <w:tcPr>
            <w:tcW w:type="dxa" w:w="1152"/>
            <w:shd w:val="clear" w:color="auto" w:fill="D9D9D9"/>
          </w:tcPr>
          <w:p>
            <w:pPr>
              <w:spacing w:after="40" w:line="240" w:lineRule="auto"/>
              <w:jc w:val="center"/>
            </w:pPr>
            <w:r/>
            <w:r>
              <w:rPr>
                <w:rFonts w:ascii="Times New Roman" w:hAnsi="Times New Roman"/>
                <w:b/>
                <w:sz w:val="17"/>
              </w:rPr>
              <w:t>Std. Deviation</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440"/>
            <w:shd w:val="clear" w:color="auto" w:fill="D9D9D9"/>
          </w:tcPr>
          <w:p>
            <w:pPr>
              <w:spacing w:after="40" w:line="240" w:lineRule="auto"/>
              <w:jc w:val="center"/>
            </w:pPr>
            <w:r/>
            <w:r>
              <w:rPr>
                <w:rFonts w:ascii="Times New Roman" w:hAnsi="Times New Roman"/>
                <w:b/>
                <w:sz w:val="17"/>
              </w:rPr>
              <w:t>p-value</w:t>
            </w:r>
          </w:p>
        </w:tc>
        <w:tc>
          <w:tcPr>
            <w:tcW w:type="dxa" w:w="1440"/>
            <w:shd w:val="clear" w:color="auto" w:fill="D9D9D9"/>
          </w:tcPr>
          <w:p>
            <w:pPr>
              <w:spacing w:after="40" w:line="240" w:lineRule="auto"/>
              <w:jc w:val="center"/>
            </w:pPr>
            <w:r/>
            <w:r>
              <w:rPr>
                <w:rFonts w:ascii="Times New Roman" w:hAnsi="Times New Roman"/>
                <w:b/>
                <w:sz w:val="17"/>
              </w:rPr>
              <w:t>Conclusion</w:t>
            </w:r>
          </w:p>
        </w:tc>
      </w:tr>
      <w:tr>
        <w:tc>
          <w:tcPr>
            <w:tcW w:type="dxa" w:w="3600"/>
          </w:tcPr>
          <w:p>
            <w:pPr>
              <w:spacing w:after="40" w:line="240" w:lineRule="auto"/>
              <w:jc w:val="left"/>
            </w:pPr>
            <w:r/>
            <w:r>
              <w:rPr>
                <w:rFonts w:ascii="Times New Roman" w:hAnsi="Times New Roman"/>
                <w:sz w:val="17"/>
              </w:rPr>
              <w:t>Bảo lãnh dự thầu (Tender Guarantee)</w:t>
            </w:r>
          </w:p>
        </w:tc>
        <w:tc>
          <w:tcPr>
            <w:tcW w:type="dxa" w:w="1152"/>
          </w:tcPr>
          <w:p>
            <w:pPr>
              <w:spacing w:after="40" w:line="240" w:lineRule="auto"/>
              <w:jc w:val="left"/>
            </w:pPr>
            <w:r/>
            <w:r>
              <w:rPr>
                <w:rFonts w:ascii="Times New Roman" w:hAnsi="Times New Roman"/>
                <w:sz w:val="17"/>
              </w:rPr>
              <w:t>279</w:t>
            </w:r>
          </w:p>
        </w:tc>
        <w:tc>
          <w:tcPr>
            <w:tcW w:type="dxa" w:w="1152"/>
          </w:tcPr>
          <w:p>
            <w:pPr>
              <w:spacing w:after="40" w:line="240" w:lineRule="auto"/>
              <w:jc w:val="left"/>
            </w:pPr>
            <w:r/>
            <w:r>
              <w:rPr>
                <w:rFonts w:ascii="Times New Roman" w:hAnsi="Times New Roman"/>
                <w:sz w:val="17"/>
              </w:rPr>
              <w:t>3.693</w:t>
            </w:r>
          </w:p>
        </w:tc>
        <w:tc>
          <w:tcPr>
            <w:tcW w:type="dxa" w:w="1152"/>
          </w:tcPr>
          <w:p>
            <w:pPr>
              <w:spacing w:after="40" w:line="240" w:lineRule="auto"/>
              <w:jc w:val="left"/>
            </w:pPr>
            <w:r/>
            <w:r>
              <w:rPr>
                <w:rFonts w:ascii="Times New Roman" w:hAnsi="Times New Roman"/>
                <w:sz w:val="17"/>
              </w:rPr>
              <w:t>0.717</w:t>
            </w:r>
          </w:p>
        </w:tc>
        <w:tc>
          <w:tcPr>
            <w:tcW w:type="dxa" w:w="1152"/>
          </w:tcPr>
          <w:p>
            <w:pPr>
              <w:spacing w:after="40" w:line="240" w:lineRule="auto"/>
              <w:jc w:val="left"/>
            </w:pPr>
            <w:r/>
            <w:r>
              <w:rPr>
                <w:rFonts w:ascii="Times New Roman" w:hAnsi="Times New Roman"/>
                <w:sz w:val="17"/>
              </w:rPr>
              <w:t>1.564</w:t>
            </w:r>
          </w:p>
        </w:tc>
        <w:tc>
          <w:tcPr>
            <w:tcW w:type="dxa" w:w="1440"/>
          </w:tcPr>
          <w:p>
            <w:pPr>
              <w:spacing w:after="40" w:line="240" w:lineRule="auto"/>
              <w:jc w:val="left"/>
            </w:pPr>
            <w:r/>
            <w:r>
              <w:rPr>
                <w:rFonts w:ascii="Times New Roman" w:hAnsi="Times New Roman"/>
                <w:sz w:val="17"/>
              </w:rPr>
              <w:t>0.1820</w:t>
            </w:r>
          </w:p>
        </w:tc>
        <w:tc>
          <w:tcPr>
            <w:tcW w:type="dxa" w:w="1440"/>
          </w:tcPr>
          <w:p>
            <w:pPr>
              <w:spacing w:after="40" w:line="240" w:lineRule="auto"/>
              <w:jc w:val="center"/>
            </w:pPr>
            <w:r/>
            <w:r>
              <w:rPr>
                <w:rFonts w:ascii="Times New Roman" w:hAnsi="Times New Roman"/>
                <w:sz w:val="17"/>
              </w:rPr>
              <w:t>Not Significant (p &gt; 0.05)</w:t>
            </w:r>
          </w:p>
        </w:tc>
      </w:tr>
      <w:tr>
        <w:tc>
          <w:tcPr>
            <w:tcW w:type="dxa" w:w="3600"/>
          </w:tcPr>
          <w:p>
            <w:pPr>
              <w:spacing w:after="40" w:line="240" w:lineRule="auto"/>
              <w:jc w:val="left"/>
            </w:pPr>
            <w:r/>
            <w:r>
              <w:rPr>
                <w:rFonts w:ascii="Times New Roman" w:hAnsi="Times New Roman"/>
                <w:sz w:val="17"/>
              </w:rPr>
              <w:t>Bảo lãnh thực hiện hợp đồng (Performance Guarantee)</w:t>
            </w:r>
          </w:p>
        </w:tc>
        <w:tc>
          <w:tcPr>
            <w:tcW w:type="dxa" w:w="1152"/>
          </w:tcPr>
          <w:p>
            <w:pPr>
              <w:spacing w:after="40" w:line="240" w:lineRule="auto"/>
              <w:jc w:val="left"/>
            </w:pPr>
            <w:r/>
            <w:r>
              <w:rPr>
                <w:rFonts w:ascii="Times New Roman" w:hAnsi="Times New Roman"/>
                <w:sz w:val="17"/>
              </w:rPr>
              <w:t>252</w:t>
            </w:r>
          </w:p>
        </w:tc>
        <w:tc>
          <w:tcPr>
            <w:tcW w:type="dxa" w:w="1152"/>
          </w:tcPr>
          <w:p>
            <w:pPr>
              <w:spacing w:after="40" w:line="240" w:lineRule="auto"/>
              <w:jc w:val="left"/>
            </w:pPr>
            <w:r/>
            <w:r>
              <w:rPr>
                <w:rFonts w:ascii="Times New Roman" w:hAnsi="Times New Roman"/>
                <w:sz w:val="17"/>
              </w:rPr>
              <w:t>3.624</w:t>
            </w:r>
          </w:p>
        </w:tc>
        <w:tc>
          <w:tcPr>
            <w:tcW w:type="dxa" w:w="1152"/>
          </w:tcPr>
          <w:p>
            <w:pPr>
              <w:spacing w:after="40" w:line="240" w:lineRule="auto"/>
              <w:jc w:val="left"/>
            </w:pPr>
            <w:r/>
            <w:r>
              <w:rPr>
                <w:rFonts w:ascii="Times New Roman" w:hAnsi="Times New Roman"/>
                <w:sz w:val="17"/>
              </w:rPr>
              <w:t>0.765</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tạm ứng (Advance Payment Guarantee)</w:t>
            </w:r>
          </w:p>
        </w:tc>
        <w:tc>
          <w:tcPr>
            <w:tcW w:type="dxa" w:w="1152"/>
          </w:tcPr>
          <w:p>
            <w:pPr>
              <w:spacing w:after="40" w:line="240" w:lineRule="auto"/>
              <w:jc w:val="left"/>
            </w:pPr>
            <w:r/>
            <w:r>
              <w:rPr>
                <w:rFonts w:ascii="Times New Roman" w:hAnsi="Times New Roman"/>
                <w:sz w:val="17"/>
              </w:rPr>
              <w:t>138</w:t>
            </w:r>
          </w:p>
        </w:tc>
        <w:tc>
          <w:tcPr>
            <w:tcW w:type="dxa" w:w="1152"/>
          </w:tcPr>
          <w:p>
            <w:pPr>
              <w:spacing w:after="40" w:line="240" w:lineRule="auto"/>
              <w:jc w:val="left"/>
            </w:pPr>
            <w:r/>
            <w:r>
              <w:rPr>
                <w:rFonts w:ascii="Times New Roman" w:hAnsi="Times New Roman"/>
                <w:sz w:val="17"/>
              </w:rPr>
              <w:t>3.775</w:t>
            </w:r>
          </w:p>
        </w:tc>
        <w:tc>
          <w:tcPr>
            <w:tcW w:type="dxa" w:w="1152"/>
          </w:tcPr>
          <w:p>
            <w:pPr>
              <w:spacing w:after="40" w:line="240" w:lineRule="auto"/>
              <w:jc w:val="left"/>
            </w:pPr>
            <w:r/>
            <w:r>
              <w:rPr>
                <w:rFonts w:ascii="Times New Roman" w:hAnsi="Times New Roman"/>
                <w:sz w:val="17"/>
              </w:rPr>
              <w:t>0.705</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bảo hành (Warranty Guarantee)</w:t>
            </w:r>
          </w:p>
        </w:tc>
        <w:tc>
          <w:tcPr>
            <w:tcW w:type="dxa" w:w="1152"/>
          </w:tcPr>
          <w:p>
            <w:pPr>
              <w:spacing w:after="40" w:line="240" w:lineRule="auto"/>
              <w:jc w:val="left"/>
            </w:pPr>
            <w:r/>
            <w:r>
              <w:rPr>
                <w:rFonts w:ascii="Times New Roman" w:hAnsi="Times New Roman"/>
                <w:sz w:val="17"/>
              </w:rPr>
              <w:t>96</w:t>
            </w:r>
          </w:p>
        </w:tc>
        <w:tc>
          <w:tcPr>
            <w:tcW w:type="dxa" w:w="1152"/>
          </w:tcPr>
          <w:p>
            <w:pPr>
              <w:spacing w:after="40" w:line="240" w:lineRule="auto"/>
              <w:jc w:val="left"/>
            </w:pPr>
            <w:r/>
            <w:r>
              <w:rPr>
                <w:rFonts w:ascii="Times New Roman" w:hAnsi="Times New Roman"/>
                <w:sz w:val="17"/>
              </w:rPr>
              <w:t>3.747</w:t>
            </w:r>
          </w:p>
        </w:tc>
        <w:tc>
          <w:tcPr>
            <w:tcW w:type="dxa" w:w="1152"/>
          </w:tcPr>
          <w:p>
            <w:pPr>
              <w:spacing w:after="40" w:line="240" w:lineRule="auto"/>
              <w:jc w:val="left"/>
            </w:pPr>
            <w:r/>
            <w:r>
              <w:rPr>
                <w:rFonts w:ascii="Times New Roman" w:hAnsi="Times New Roman"/>
                <w:sz w:val="17"/>
              </w:rPr>
              <w:t>0.679</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khác (Thanh toán, đối ứng...)</w:t>
            </w:r>
          </w:p>
        </w:tc>
        <w:tc>
          <w:tcPr>
            <w:tcW w:type="dxa" w:w="1152"/>
          </w:tcPr>
          <w:p>
            <w:pPr>
              <w:spacing w:after="40" w:line="240" w:lineRule="auto"/>
              <w:jc w:val="left"/>
            </w:pPr>
            <w:r/>
            <w:r>
              <w:rPr>
                <w:rFonts w:ascii="Times New Roman" w:hAnsi="Times New Roman"/>
                <w:sz w:val="17"/>
              </w:rPr>
              <w:t>35</w:t>
            </w:r>
          </w:p>
        </w:tc>
        <w:tc>
          <w:tcPr>
            <w:tcW w:type="dxa" w:w="1152"/>
          </w:tcPr>
          <w:p>
            <w:pPr>
              <w:spacing w:after="40" w:line="240" w:lineRule="auto"/>
              <w:jc w:val="left"/>
            </w:pPr>
            <w:r/>
            <w:r>
              <w:rPr>
                <w:rFonts w:ascii="Times New Roman" w:hAnsi="Times New Roman"/>
                <w:sz w:val="17"/>
              </w:rPr>
              <w:t>3.529</w:t>
            </w:r>
          </w:p>
        </w:tc>
        <w:tc>
          <w:tcPr>
            <w:tcW w:type="dxa" w:w="1152"/>
          </w:tcPr>
          <w:p>
            <w:pPr>
              <w:spacing w:after="40" w:line="240" w:lineRule="auto"/>
              <w:jc w:val="left"/>
            </w:pPr>
            <w:r/>
            <w:r>
              <w:rPr>
                <w:rFonts w:ascii="Times New Roman" w:hAnsi="Times New Roman"/>
                <w:sz w:val="17"/>
              </w:rPr>
              <w:t>0.745</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bl>
    <w:p>
      <w:pPr>
        <w:spacing w:after="200" w:line="360" w:lineRule="auto"/>
        <w:ind w:firstLine="0"/>
        <w:jc w:val="center"/>
      </w:pPr>
      <w:r>
        <w:rPr>
          <w:rFonts w:ascii="Times New Roman" w:hAnsi="Times New Roman"/>
          <w:b w:val="0"/>
          <w:i/>
          <w:sz w:val="20"/>
        </w:rPr>
        <w:t>Source: Author's corporate survey analysis (2025–2026), n = 800.</w:t>
      </w:r>
    </w:p>
    <w:p w14:paraId="6E21942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4.6.4. Selection Differences between Single-Ba</w:t>
      </w:r>
      <w:r w:rsidRPr="0040485A">
        <w:rPr>
          <w:rFonts w:ascii="Times New Roman" w:hAnsi="Times New Roman" w:cs="Times New Roman"/>
        </w:rPr>
        <w:t>nk and Multi-Bank Users (t-test)</w:t>
      </w:r>
    </w:p>
    <w:p>
      <w:pPr>
        <w:spacing w:after="80" w:line="360" w:lineRule="auto"/>
        <w:ind w:firstLine="0"/>
        <w:jc w:val="center"/>
      </w:pPr>
      <w:r>
        <w:rPr>
          <w:rFonts w:ascii="Times New Roman" w:hAnsi="Times New Roman"/>
          <w:b/>
          <w:i w:val="0"/>
          <w:sz w:val="22"/>
        </w:rPr>
        <w:t>Table 4.17: Independent samples t-test between single-bank and multi-bank users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shd w:val="clear" w:color="auto" w:fill="D9D9D9"/>
          </w:tcPr>
          <w:p>
            <w:pPr>
              <w:spacing w:after="40" w:line="240" w:lineRule="auto"/>
              <w:jc w:val="center"/>
            </w:pPr>
            <w:r/>
            <w:r>
              <w:rPr>
                <w:rFonts w:ascii="Times New Roman" w:hAnsi="Times New Roman"/>
                <w:b/>
                <w:sz w:val="18"/>
              </w:rPr>
              <w:t>Banking Scope</w:t>
            </w:r>
          </w:p>
        </w:tc>
        <w:tc>
          <w:tcPr>
            <w:tcW w:type="dxa" w:w="1008"/>
            <w:shd w:val="clear" w:color="auto" w:fill="D9D9D9"/>
          </w:tcPr>
          <w:p>
            <w:pPr>
              <w:spacing w:after="40" w:line="240" w:lineRule="auto"/>
              <w:jc w:val="center"/>
            </w:pPr>
            <w:r/>
            <w:r>
              <w:rPr>
                <w:rFonts w:ascii="Times New Roman" w:hAnsi="Times New Roman"/>
                <w:b/>
                <w:sz w:val="18"/>
              </w:rPr>
              <w:t>Sample (n)</w:t>
            </w:r>
          </w:p>
        </w:tc>
        <w:tc>
          <w:tcPr>
            <w:tcW w:type="dxa" w:w="1152"/>
            <w:shd w:val="clear" w:color="auto" w:fill="D9D9D9"/>
          </w:tcPr>
          <w:p>
            <w:pPr>
              <w:spacing w:after="40" w:line="240" w:lineRule="auto"/>
              <w:jc w:val="center"/>
            </w:pPr>
            <w:r/>
            <w:r>
              <w:rPr>
                <w:rFonts w:ascii="Times New Roman" w:hAnsi="Times New Roman"/>
                <w:b/>
                <w:sz w:val="18"/>
              </w:rPr>
              <w:t>Mean (DEC)</w:t>
            </w:r>
          </w:p>
        </w:tc>
        <w:tc>
          <w:tcPr>
            <w:tcW w:type="dxa" w:w="1152"/>
            <w:shd w:val="clear" w:color="auto" w:fill="D9D9D9"/>
          </w:tcPr>
          <w:p>
            <w:pPr>
              <w:spacing w:after="40" w:line="240" w:lineRule="auto"/>
              <w:jc w:val="center"/>
            </w:pPr>
            <w:r/>
            <w:r>
              <w:rPr>
                <w:rFonts w:ascii="Times New Roman" w:hAnsi="Times New Roman"/>
                <w:b/>
                <w:sz w:val="18"/>
              </w:rPr>
              <w:t>Std. Dev.</w:t>
            </w:r>
          </w:p>
        </w:tc>
        <w:tc>
          <w:tcPr>
            <w:tcW w:type="dxa" w:w="1440"/>
            <w:shd w:val="clear" w:color="auto" w:fill="D9D9D9"/>
          </w:tcPr>
          <w:p>
            <w:pPr>
              <w:spacing w:after="40" w:line="240" w:lineRule="auto"/>
              <w:jc w:val="center"/>
            </w:pPr>
            <w:r/>
            <w:r>
              <w:rPr>
                <w:rFonts w:ascii="Times New Roman" w:hAnsi="Times New Roman"/>
                <w:b/>
                <w:sz w:val="18"/>
              </w:rPr>
              <w:t>Mean Difference</w:t>
            </w:r>
          </w:p>
        </w:tc>
        <w:tc>
          <w:tcPr>
            <w:tcW w:type="dxa" w:w="1152"/>
            <w:shd w:val="clear" w:color="auto" w:fill="D9D9D9"/>
          </w:tcPr>
          <w:p>
            <w:pPr>
              <w:spacing w:after="40" w:line="240" w:lineRule="auto"/>
              <w:jc w:val="center"/>
            </w:pPr>
            <w:r/>
            <w:r>
              <w:rPr>
                <w:rFonts w:ascii="Times New Roman" w:hAnsi="Times New Roman"/>
                <w:b/>
                <w:sz w:val="18"/>
              </w:rPr>
              <w:t>t-statistic</w:t>
            </w:r>
          </w:p>
        </w:tc>
        <w:tc>
          <w:tcPr>
            <w:tcW w:type="dxa" w:w="864"/>
            <w:shd w:val="clear" w:color="auto" w:fill="D9D9D9"/>
          </w:tcPr>
          <w:p>
            <w:pPr>
              <w:spacing w:after="40" w:line="240" w:lineRule="auto"/>
              <w:jc w:val="center"/>
            </w:pPr>
            <w:r/>
            <w:r>
              <w:rPr>
                <w:rFonts w:ascii="Times New Roman" w:hAnsi="Times New Roman"/>
                <w:b/>
                <w:sz w:val="18"/>
              </w:rPr>
              <w:t>df</w:t>
            </w:r>
          </w:p>
        </w:tc>
        <w:tc>
          <w:tcPr>
            <w:tcW w:type="dxa" w:w="1440"/>
            <w:shd w:val="clear" w:color="auto" w:fill="D9D9D9"/>
          </w:tcPr>
          <w:p>
            <w:pPr>
              <w:spacing w:after="40" w:line="240" w:lineRule="auto"/>
              <w:jc w:val="center"/>
            </w:pPr>
            <w:r/>
            <w:r>
              <w:rPr>
                <w:rFonts w:ascii="Times New Roman" w:hAnsi="Times New Roman"/>
                <w:b/>
                <w:sz w:val="18"/>
              </w:rPr>
              <w:t>p-value</w:t>
            </w:r>
          </w:p>
        </w:tc>
      </w:tr>
      <w:tr>
        <w:tc>
          <w:tcPr>
            <w:tcW w:type="dxa" w:w="2880"/>
          </w:tcPr>
          <w:p>
            <w:pPr>
              <w:spacing w:after="40" w:line="240" w:lineRule="auto"/>
              <w:jc w:val="left"/>
            </w:pPr>
            <w:r/>
            <w:r>
              <w:rPr>
                <w:rFonts w:ascii="Times New Roman" w:hAnsi="Times New Roman"/>
                <w:sz w:val="18"/>
              </w:rPr>
              <w:t>VietinBank Only (Single-Bank)</w:t>
            </w:r>
          </w:p>
        </w:tc>
        <w:tc>
          <w:tcPr>
            <w:tcW w:type="dxa" w:w="1008"/>
          </w:tcPr>
          <w:p>
            <w:pPr>
              <w:spacing w:after="40" w:line="240" w:lineRule="auto"/>
              <w:jc w:val="left"/>
            </w:pPr>
            <w:r/>
            <w:r>
              <w:rPr>
                <w:rFonts w:ascii="Times New Roman" w:hAnsi="Times New Roman"/>
                <w:sz w:val="18"/>
              </w:rPr>
              <w:t>212</w:t>
            </w:r>
          </w:p>
        </w:tc>
        <w:tc>
          <w:tcPr>
            <w:tcW w:type="dxa" w:w="1152"/>
          </w:tcPr>
          <w:p>
            <w:pPr>
              <w:spacing w:after="40" w:line="240" w:lineRule="auto"/>
              <w:jc w:val="left"/>
            </w:pPr>
            <w:r/>
            <w:r>
              <w:rPr>
                <w:rFonts w:ascii="Times New Roman" w:hAnsi="Times New Roman"/>
                <w:sz w:val="18"/>
              </w:rPr>
              <w:t>3.790</w:t>
            </w:r>
          </w:p>
        </w:tc>
        <w:tc>
          <w:tcPr>
            <w:tcW w:type="dxa" w:w="1152"/>
          </w:tcPr>
          <w:p>
            <w:pPr>
              <w:spacing w:after="40" w:line="240" w:lineRule="auto"/>
              <w:jc w:val="left"/>
            </w:pPr>
            <w:r/>
            <w:r>
              <w:rPr>
                <w:rFonts w:ascii="Times New Roman" w:hAnsi="Times New Roman"/>
                <w:sz w:val="18"/>
              </w:rPr>
              <w:t>0.577</w:t>
            </w:r>
          </w:p>
        </w:tc>
        <w:tc>
          <w:tcPr>
            <w:tcW w:type="dxa" w:w="1440"/>
          </w:tcPr>
          <w:p>
            <w:pPr>
              <w:spacing w:after="40" w:line="240" w:lineRule="auto"/>
              <w:jc w:val="left"/>
            </w:pPr>
            <w:r/>
            <w:r>
              <w:rPr>
                <w:rFonts w:ascii="Times New Roman" w:hAnsi="Times New Roman"/>
                <w:sz w:val="18"/>
              </w:rPr>
              <w:t>+0.143</w:t>
            </w:r>
          </w:p>
        </w:tc>
        <w:tc>
          <w:tcPr>
            <w:tcW w:type="dxa" w:w="1152"/>
          </w:tcPr>
          <w:p>
            <w:pPr>
              <w:spacing w:after="40" w:line="240" w:lineRule="auto"/>
              <w:jc w:val="left"/>
            </w:pPr>
            <w:r/>
            <w:r>
              <w:rPr>
                <w:rFonts w:ascii="Times New Roman" w:hAnsi="Times New Roman"/>
                <w:sz w:val="18"/>
              </w:rPr>
              <w:t>2.465</w:t>
            </w:r>
          </w:p>
        </w:tc>
        <w:tc>
          <w:tcPr>
            <w:tcW w:type="dxa" w:w="864"/>
          </w:tcPr>
          <w:p>
            <w:pPr>
              <w:spacing w:after="40" w:line="240" w:lineRule="auto"/>
              <w:jc w:val="left"/>
            </w:pPr>
            <w:r/>
            <w:r>
              <w:rPr>
                <w:rFonts w:ascii="Times New Roman" w:hAnsi="Times New Roman"/>
                <w:sz w:val="18"/>
              </w:rPr>
              <w:t>798</w:t>
            </w:r>
          </w:p>
        </w:tc>
        <w:tc>
          <w:tcPr>
            <w:tcW w:type="dxa" w:w="1440"/>
          </w:tcPr>
          <w:p>
            <w:pPr>
              <w:spacing w:after="40" w:line="240" w:lineRule="auto"/>
              <w:jc w:val="center"/>
            </w:pPr>
            <w:r/>
            <w:r>
              <w:rPr>
                <w:rFonts w:ascii="Times New Roman" w:hAnsi="Times New Roman"/>
                <w:sz w:val="18"/>
              </w:rPr>
              <w:t>0.0139***</w:t>
            </w:r>
          </w:p>
        </w:tc>
      </w:tr>
      <w:tr>
        <w:tc>
          <w:tcPr>
            <w:tcW w:type="dxa" w:w="2880"/>
          </w:tcPr>
          <w:p>
            <w:pPr>
              <w:spacing w:after="40" w:line="240" w:lineRule="auto"/>
              <w:jc w:val="left"/>
            </w:pPr>
            <w:r/>
            <w:r>
              <w:rPr>
                <w:rFonts w:ascii="Times New Roman" w:hAnsi="Times New Roman"/>
                <w:sz w:val="18"/>
              </w:rPr>
              <w:t>Multi-Banking (≥ 2 Banks)</w:t>
            </w:r>
          </w:p>
        </w:tc>
        <w:tc>
          <w:tcPr>
            <w:tcW w:type="dxa" w:w="1008"/>
          </w:tcPr>
          <w:p>
            <w:pPr>
              <w:spacing w:after="40" w:line="240" w:lineRule="auto"/>
              <w:jc w:val="left"/>
            </w:pPr>
            <w:r/>
            <w:r>
              <w:rPr>
                <w:rFonts w:ascii="Times New Roman" w:hAnsi="Times New Roman"/>
                <w:sz w:val="18"/>
              </w:rPr>
              <w:t>588</w:t>
            </w:r>
          </w:p>
        </w:tc>
        <w:tc>
          <w:tcPr>
            <w:tcW w:type="dxa" w:w="1152"/>
          </w:tcPr>
          <w:p>
            <w:pPr>
              <w:spacing w:after="40" w:line="240" w:lineRule="auto"/>
              <w:jc w:val="left"/>
            </w:pPr>
            <w:r/>
            <w:r>
              <w:rPr>
                <w:rFonts w:ascii="Times New Roman" w:hAnsi="Times New Roman"/>
                <w:sz w:val="18"/>
              </w:rPr>
              <w:t>3.647</w:t>
            </w:r>
          </w:p>
        </w:tc>
        <w:tc>
          <w:tcPr>
            <w:tcW w:type="dxa" w:w="1152"/>
          </w:tcPr>
          <w:p>
            <w:pPr>
              <w:spacing w:after="40" w:line="240" w:lineRule="auto"/>
              <w:jc w:val="left"/>
            </w:pPr>
            <w:r/>
            <w:r>
              <w:rPr>
                <w:rFonts w:ascii="Times New Roman" w:hAnsi="Times New Roman"/>
                <w:sz w:val="18"/>
              </w:rPr>
              <w:t>0.773</w:t>
            </w:r>
          </w:p>
        </w:tc>
        <w:tc>
          <w:tcPr>
            <w:tcW w:type="dxa" w:w="1440"/>
          </w:tcPr>
          <w:p>
            <w:pPr>
              <w:spacing w:after="40" w:line="240" w:lineRule="auto"/>
              <w:jc w:val="left"/>
            </w:pPr>
            <w:r/>
            <w:r>
              <w:rPr>
                <w:rFonts w:ascii="Times New Roman" w:hAnsi="Times New Roman"/>
                <w:sz w:val="18"/>
              </w:rPr>
              <w:t>—</w:t>
            </w:r>
          </w:p>
        </w:tc>
        <w:tc>
          <w:tcPr>
            <w:tcW w:type="dxa" w:w="1152"/>
          </w:tcPr>
          <w:p>
            <w:pPr>
              <w:spacing w:after="40" w:line="240" w:lineRule="auto"/>
              <w:jc w:val="left"/>
            </w:pPr>
            <w:r/>
            <w:r>
              <w:rPr>
                <w:rFonts w:ascii="Times New Roman" w:hAnsi="Times New Roman"/>
                <w:sz w:val="18"/>
              </w:rPr>
              <w:t>—</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center"/>
            </w:pPr>
            <w:r/>
            <w:r>
              <w:rPr>
                <w:rFonts w:ascii="Times New Roman" w:hAnsi="Times New Roman"/>
                <w:sz w:val="18"/>
              </w:rPr>
              <w:t>Significant (p &lt; 0.001)</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Criterion validity was examined by evaluating the Spearman rank correlation between the summated selection priority construct (DEC) and the observed commercial guarantee wallet share allocation (Question V1: WALLET_SHARE). A strong, highly significant positive correlation is confirmed (Spearman rho = 0.524, p &lt; 0.001). To evaluate robustness against potential attitudinal-behavioral conflation, item DEC2 ('Allocation of majority contract value') was removed to construct an unambiguously attitudinal 3-item selection index (DEC1, DEC3, DEC4); the resulting rank correlation remains rock-solid (Spearman rho = 0.422, p &lt; 0.001). Table 4.18 summarizes the criterion validity diagnostics.</w:t>
      </w:r>
    </w:p>
    <w:p>
      <w:pPr>
        <w:spacing w:after="80" w:line="360" w:lineRule="auto"/>
        <w:ind w:firstLine="0"/>
        <w:jc w:val="center"/>
      </w:pPr>
      <w:r>
        <w:rPr>
          <w:rFonts w:ascii="Times New Roman" w:hAnsi="Times New Roman"/>
          <w:b/>
          <w:i w:val="0"/>
          <w:sz w:val="22"/>
        </w:rPr>
        <w:t>Table 4.18: Criterion Validity Diagnostics (Spearman Rank Correlation with Commercial Wallet Share)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456"/>
            <w:shd w:val="clear" w:color="auto" w:fill="D9D9D9"/>
          </w:tcPr>
          <w:p>
            <w:pPr>
              <w:spacing w:after="40" w:line="240" w:lineRule="auto"/>
              <w:jc w:val="center"/>
            </w:pPr>
            <w:r/>
            <w:r>
              <w:rPr>
                <w:rFonts w:ascii="Times New Roman" w:hAnsi="Times New Roman"/>
                <w:b/>
                <w:sz w:val="18"/>
              </w:rPr>
              <w:t>Construct / Measure</w:t>
            </w:r>
          </w:p>
        </w:tc>
        <w:tc>
          <w:tcPr>
            <w:tcW w:type="dxa" w:w="2304"/>
            <w:shd w:val="clear" w:color="auto" w:fill="D9D9D9"/>
          </w:tcPr>
          <w:p>
            <w:pPr>
              <w:spacing w:after="40" w:line="240" w:lineRule="auto"/>
              <w:jc w:val="center"/>
            </w:pPr>
            <w:r/>
            <w:r>
              <w:rPr>
                <w:rFonts w:ascii="Times New Roman" w:hAnsi="Times New Roman"/>
                <w:b/>
                <w:sz w:val="18"/>
              </w:rPr>
              <w:t>Correlation with WALLET_SHARE (rho)</w:t>
            </w:r>
          </w:p>
        </w:tc>
        <w:tc>
          <w:tcPr>
            <w:tcW w:type="dxa" w:w="1296"/>
            <w:shd w:val="clear" w:color="auto" w:fill="D9D9D9"/>
          </w:tcPr>
          <w:p>
            <w:pPr>
              <w:spacing w:after="40" w:line="240" w:lineRule="auto"/>
              <w:jc w:val="center"/>
            </w:pPr>
            <w:r/>
            <w:r>
              <w:rPr>
                <w:rFonts w:ascii="Times New Roman" w:hAnsi="Times New Roman"/>
                <w:b/>
                <w:sz w:val="18"/>
              </w:rPr>
              <w:t>p-value</w:t>
            </w:r>
          </w:p>
        </w:tc>
        <w:tc>
          <w:tcPr>
            <w:tcW w:type="dxa" w:w="1152"/>
            <w:shd w:val="clear" w:color="auto" w:fill="D9D9D9"/>
          </w:tcPr>
          <w:p>
            <w:pPr>
              <w:spacing w:after="40" w:line="240" w:lineRule="auto"/>
              <w:jc w:val="center"/>
            </w:pPr>
            <w:r/>
            <w:r>
              <w:rPr>
                <w:rFonts w:ascii="Times New Roman" w:hAnsi="Times New Roman"/>
                <w:b/>
                <w:sz w:val="18"/>
              </w:rPr>
              <w:t>Sample Size (n)</w:t>
            </w:r>
          </w:p>
        </w:tc>
        <w:tc>
          <w:tcPr>
            <w:tcW w:type="dxa" w:w="2592"/>
            <w:shd w:val="clear" w:color="auto" w:fill="D9D9D9"/>
          </w:tcPr>
          <w:p>
            <w:pPr>
              <w:spacing w:after="40" w:line="240" w:lineRule="auto"/>
              <w:jc w:val="center"/>
            </w:pPr>
            <w:r/>
            <w:r>
              <w:rPr>
                <w:rFonts w:ascii="Times New Roman" w:hAnsi="Times New Roman"/>
                <w:b/>
                <w:sz w:val="18"/>
              </w:rPr>
              <w:t>Criterion Validity Assessment</w:t>
            </w:r>
          </w:p>
        </w:tc>
      </w:tr>
      <w:tr>
        <w:tc>
          <w:tcPr>
            <w:tcW w:type="dxa" w:w="3456"/>
          </w:tcPr>
          <w:p>
            <w:pPr>
              <w:spacing w:after="40" w:line="240" w:lineRule="auto"/>
              <w:jc w:val="left"/>
            </w:pPr>
            <w:r/>
            <w:r>
              <w:rPr>
                <w:rFonts w:ascii="Times New Roman" w:hAnsi="Times New Roman"/>
                <w:sz w:val="18"/>
              </w:rPr>
              <w:t>Full 4-Item Selection Construct (DEC)</w:t>
            </w:r>
          </w:p>
        </w:tc>
        <w:tc>
          <w:tcPr>
            <w:tcW w:type="dxa" w:w="2304"/>
          </w:tcPr>
          <w:p>
            <w:pPr>
              <w:spacing w:after="40" w:line="240" w:lineRule="auto"/>
              <w:jc w:val="left"/>
            </w:pPr>
            <w:r/>
            <w:r>
              <w:rPr>
                <w:rFonts w:ascii="Times New Roman" w:hAnsi="Times New Roman"/>
                <w:sz w:val="18"/>
              </w:rPr>
              <w:t>0.524</w:t>
            </w:r>
          </w:p>
        </w:tc>
        <w:tc>
          <w:tcPr>
            <w:tcW w:type="dxa" w:w="1296"/>
          </w:tcPr>
          <w:p>
            <w:pPr>
              <w:spacing w:after="40" w:line="240" w:lineRule="auto"/>
              <w:jc w:val="left"/>
            </w:pPr>
            <w:r/>
            <w:r>
              <w:rPr>
                <w:rFonts w:ascii="Times New Roman" w:hAnsi="Times New Roman"/>
                <w:sz w:val="18"/>
              </w:rPr>
              <w:t>&lt; 0.001***</w:t>
            </w:r>
          </w:p>
        </w:tc>
        <w:tc>
          <w:tcPr>
            <w:tcW w:type="dxa" w:w="1152"/>
          </w:tcPr>
          <w:p>
            <w:pPr>
              <w:spacing w:after="40" w:line="240" w:lineRule="auto"/>
              <w:jc w:val="left"/>
            </w:pPr>
            <w:r/>
            <w:r>
              <w:rPr>
                <w:rFonts w:ascii="Times New Roman" w:hAnsi="Times New Roman"/>
                <w:sz w:val="18"/>
              </w:rPr>
              <w:t>800</w:t>
            </w:r>
          </w:p>
        </w:tc>
        <w:tc>
          <w:tcPr>
            <w:tcW w:type="dxa" w:w="2592"/>
          </w:tcPr>
          <w:p>
            <w:pPr>
              <w:spacing w:after="40" w:line="240" w:lineRule="auto"/>
              <w:jc w:val="center"/>
            </w:pPr>
            <w:r/>
            <w:r>
              <w:rPr>
                <w:rFonts w:ascii="Times New Roman" w:hAnsi="Times New Roman"/>
                <w:sz w:val="18"/>
              </w:rPr>
              <w:t>Robust Criterion Validity Established</w:t>
            </w:r>
          </w:p>
        </w:tc>
      </w:tr>
      <w:tr>
        <w:tc>
          <w:tcPr>
            <w:tcW w:type="dxa" w:w="3456"/>
          </w:tcPr>
          <w:p>
            <w:pPr>
              <w:spacing w:after="40" w:line="240" w:lineRule="auto"/>
              <w:jc w:val="left"/>
            </w:pPr>
            <w:r/>
            <w:r>
              <w:rPr>
                <w:rFonts w:ascii="Times New Roman" w:hAnsi="Times New Roman"/>
                <w:sz w:val="18"/>
              </w:rPr>
              <w:t>Attitudinal 3-Item Construct (Excluding DEC2)</w:t>
            </w:r>
          </w:p>
        </w:tc>
        <w:tc>
          <w:tcPr>
            <w:tcW w:type="dxa" w:w="2304"/>
          </w:tcPr>
          <w:p>
            <w:pPr>
              <w:spacing w:after="40" w:line="240" w:lineRule="auto"/>
              <w:jc w:val="left"/>
            </w:pPr>
            <w:r/>
            <w:r>
              <w:rPr>
                <w:rFonts w:ascii="Times New Roman" w:hAnsi="Times New Roman"/>
                <w:sz w:val="18"/>
              </w:rPr>
              <w:t>0.422</w:t>
            </w:r>
          </w:p>
        </w:tc>
        <w:tc>
          <w:tcPr>
            <w:tcW w:type="dxa" w:w="1296"/>
          </w:tcPr>
          <w:p>
            <w:pPr>
              <w:spacing w:after="40" w:line="240" w:lineRule="auto"/>
              <w:jc w:val="left"/>
            </w:pPr>
            <w:r/>
            <w:r>
              <w:rPr>
                <w:rFonts w:ascii="Times New Roman" w:hAnsi="Times New Roman"/>
                <w:sz w:val="18"/>
              </w:rPr>
              <w:t>&lt; 0.001***</w:t>
            </w:r>
          </w:p>
        </w:tc>
        <w:tc>
          <w:tcPr>
            <w:tcW w:type="dxa" w:w="1152"/>
          </w:tcPr>
          <w:p>
            <w:pPr>
              <w:spacing w:after="40" w:line="240" w:lineRule="auto"/>
              <w:jc w:val="left"/>
            </w:pPr>
            <w:r/>
            <w:r>
              <w:rPr>
                <w:rFonts w:ascii="Times New Roman" w:hAnsi="Times New Roman"/>
                <w:sz w:val="18"/>
              </w:rPr>
              <w:t>800</w:t>
            </w:r>
          </w:p>
        </w:tc>
        <w:tc>
          <w:tcPr>
            <w:tcW w:type="dxa" w:w="2592"/>
          </w:tcPr>
          <w:p>
            <w:pPr>
              <w:spacing w:after="40" w:line="240" w:lineRule="auto"/>
              <w:jc w:val="center"/>
            </w:pPr>
            <w:r/>
            <w:r>
              <w:rPr>
                <w:rFonts w:ascii="Times New Roman" w:hAnsi="Times New Roman"/>
                <w:sz w:val="18"/>
              </w:rPr>
              <w:t>Robust Criterion Validity Established</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80" w:line="360" w:lineRule="auto"/>
        <w:ind w:firstLine="0"/>
        <w:jc w:val="center"/>
      </w:pPr>
      <w:r>
        <w:rPr>
          <w:rFonts w:ascii="Times New Roman" w:hAnsi="Times New Roman"/>
          <w:b/>
          <w:i w:val="0"/>
          <w:sz w:val="22"/>
        </w:rPr>
        <w:t>Table 4.19: Comprehensive Summary of Research Hypotheses Testing Decisions (H1 to H8)</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val="clear" w:color="auto" w:fill="D9D9D9"/>
          </w:tcPr>
          <w:p>
            <w:pPr>
              <w:spacing w:after="40" w:line="240" w:lineRule="auto"/>
              <w:jc w:val="center"/>
            </w:pPr>
            <w:r/>
            <w:r>
              <w:rPr>
                <w:rFonts w:ascii="Times New Roman" w:hAnsi="Times New Roman"/>
                <w:b/>
                <w:sz w:val="17"/>
              </w:rPr>
              <w:t>Hypothesis</w:t>
            </w:r>
          </w:p>
        </w:tc>
        <w:tc>
          <w:tcPr>
            <w:tcW w:type="dxa" w:w="3600"/>
            <w:shd w:val="clear" w:color="auto" w:fill="D9D9D9"/>
          </w:tcPr>
          <w:p>
            <w:pPr>
              <w:spacing w:after="40" w:line="240" w:lineRule="auto"/>
              <w:jc w:val="center"/>
            </w:pPr>
            <w:r/>
            <w:r>
              <w:rPr>
                <w:rFonts w:ascii="Times New Roman" w:hAnsi="Times New Roman"/>
                <w:b/>
                <w:sz w:val="17"/>
              </w:rPr>
              <w:t>Theoretical Path / Proposition</w:t>
            </w:r>
          </w:p>
        </w:tc>
        <w:tc>
          <w:tcPr>
            <w:tcW w:type="dxa" w:w="1296"/>
            <w:shd w:val="clear" w:color="auto" w:fill="D9D9D9"/>
          </w:tcPr>
          <w:p>
            <w:pPr>
              <w:spacing w:after="40" w:line="240" w:lineRule="auto"/>
              <w:jc w:val="center"/>
            </w:pPr>
            <w:r/>
            <w:r>
              <w:rPr>
                <w:rFonts w:ascii="Times New Roman" w:hAnsi="Times New Roman"/>
                <w:b/>
                <w:sz w:val="17"/>
              </w:rPr>
              <w:t>Standardized Beta (β)</w:t>
            </w:r>
          </w:p>
        </w:tc>
        <w:tc>
          <w:tcPr>
            <w:tcW w:type="dxa" w:w="1152"/>
            <w:shd w:val="clear" w:color="auto" w:fill="D9D9D9"/>
          </w:tcPr>
          <w:p>
            <w:pPr>
              <w:spacing w:after="40" w:line="240" w:lineRule="auto"/>
              <w:jc w:val="center"/>
            </w:pPr>
            <w:r/>
            <w:r>
              <w:rPr>
                <w:rFonts w:ascii="Times New Roman" w:hAnsi="Times New Roman"/>
                <w:b/>
                <w:sz w:val="17"/>
              </w:rPr>
              <w:t>t-statistic</w:t>
            </w:r>
          </w:p>
        </w:tc>
        <w:tc>
          <w:tcPr>
            <w:tcW w:type="dxa" w:w="1296"/>
            <w:shd w:val="clear" w:color="auto" w:fill="D9D9D9"/>
          </w:tcPr>
          <w:p>
            <w:pPr>
              <w:spacing w:after="40" w:line="240" w:lineRule="auto"/>
              <w:jc w:val="center"/>
            </w:pPr>
            <w:r/>
            <w:r>
              <w:rPr>
                <w:rFonts w:ascii="Times New Roman" w:hAnsi="Times New Roman"/>
                <w:b/>
                <w:sz w:val="17"/>
              </w:rPr>
              <w:t>p-value</w:t>
            </w:r>
          </w:p>
        </w:tc>
        <w:tc>
          <w:tcPr>
            <w:tcW w:type="dxa" w:w="2160"/>
            <w:shd w:val="clear" w:color="auto" w:fill="D9D9D9"/>
          </w:tcPr>
          <w:p>
            <w:pPr>
              <w:spacing w:after="40" w:line="240" w:lineRule="auto"/>
              <w:jc w:val="center"/>
            </w:pPr>
            <w:r/>
            <w:r>
              <w:rPr>
                <w:rFonts w:ascii="Times New Roman" w:hAnsi="Times New Roman"/>
                <w:b/>
                <w:sz w:val="17"/>
              </w:rPr>
              <w:t>Testing Decision</w:t>
            </w:r>
          </w:p>
        </w:tc>
      </w:tr>
      <w:tr>
        <w:tc>
          <w:tcPr>
            <w:tcW w:type="dxa" w:w="1152"/>
          </w:tcPr>
          <w:p>
            <w:pPr>
              <w:spacing w:after="40" w:line="240" w:lineRule="auto"/>
              <w:jc w:val="left"/>
            </w:pPr>
            <w:r/>
            <w:r>
              <w:rPr>
                <w:rFonts w:ascii="Times New Roman" w:hAnsi="Times New Roman"/>
                <w:sz w:val="17"/>
              </w:rPr>
              <w:t>H1</w:t>
            </w:r>
          </w:p>
        </w:tc>
        <w:tc>
          <w:tcPr>
            <w:tcW w:type="dxa" w:w="3600"/>
          </w:tcPr>
          <w:p>
            <w:pPr>
              <w:spacing w:after="40" w:line="240" w:lineRule="auto"/>
              <w:jc w:val="left"/>
            </w:pPr>
            <w:r/>
            <w:r>
              <w:rPr>
                <w:rFonts w:ascii="Times New Roman" w:hAnsi="Times New Roman"/>
                <w:sz w:val="17"/>
              </w:rPr>
              <w:t>Chi phí và mức phí bảo lãnh (COST_COMP)</w:t>
            </w:r>
          </w:p>
        </w:tc>
        <w:tc>
          <w:tcPr>
            <w:tcW w:type="dxa" w:w="1296"/>
          </w:tcPr>
          <w:p>
            <w:pPr>
              <w:spacing w:after="40" w:line="240" w:lineRule="auto"/>
              <w:jc w:val="left"/>
            </w:pPr>
            <w:r/>
            <w:r>
              <w:rPr>
                <w:rFonts w:ascii="Times New Roman" w:hAnsi="Times New Roman"/>
                <w:sz w:val="17"/>
              </w:rPr>
              <w:t>0.237</w:t>
            </w:r>
          </w:p>
        </w:tc>
        <w:tc>
          <w:tcPr>
            <w:tcW w:type="dxa" w:w="1152"/>
          </w:tcPr>
          <w:p>
            <w:pPr>
              <w:spacing w:after="40" w:line="240" w:lineRule="auto"/>
              <w:jc w:val="left"/>
            </w:pPr>
            <w:r/>
            <w:r>
              <w:rPr>
                <w:rFonts w:ascii="Times New Roman" w:hAnsi="Times New Roman"/>
                <w:sz w:val="17"/>
              </w:rPr>
              <w:t>8.94</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H2</w:t>
            </w:r>
          </w:p>
        </w:tc>
        <w:tc>
          <w:tcPr>
            <w:tcW w:type="dxa" w:w="3600"/>
          </w:tcPr>
          <w:p>
            <w:pPr>
              <w:spacing w:after="40" w:line="240" w:lineRule="auto"/>
              <w:jc w:val="left"/>
            </w:pPr>
            <w:r/>
            <w:r>
              <w:rPr>
                <w:rFonts w:ascii="Times New Roman" w:hAnsi="Times New Roman"/>
                <w:sz w:val="17"/>
              </w:rPr>
              <w:t>Thời gian và tốc độ xử lý phát hành (PROC_SPEED)</w:t>
            </w:r>
          </w:p>
        </w:tc>
        <w:tc>
          <w:tcPr>
            <w:tcW w:type="dxa" w:w="1296"/>
          </w:tcPr>
          <w:p>
            <w:pPr>
              <w:spacing w:after="40" w:line="240" w:lineRule="auto"/>
              <w:jc w:val="left"/>
            </w:pPr>
            <w:r/>
            <w:r>
              <w:rPr>
                <w:rFonts w:ascii="Times New Roman" w:hAnsi="Times New Roman"/>
                <w:sz w:val="17"/>
              </w:rPr>
              <w:t>0.190</w:t>
            </w:r>
          </w:p>
        </w:tc>
        <w:tc>
          <w:tcPr>
            <w:tcW w:type="dxa" w:w="1152"/>
          </w:tcPr>
          <w:p>
            <w:pPr>
              <w:spacing w:after="40" w:line="240" w:lineRule="auto"/>
              <w:jc w:val="left"/>
            </w:pPr>
            <w:r/>
            <w:r>
              <w:rPr>
                <w:rFonts w:ascii="Times New Roman" w:hAnsi="Times New Roman"/>
                <w:sz w:val="17"/>
              </w:rPr>
              <w:t>7.09</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H3</w:t>
            </w:r>
          </w:p>
        </w:tc>
        <w:tc>
          <w:tcPr>
            <w:tcW w:type="dxa" w:w="3600"/>
          </w:tcPr>
          <w:p>
            <w:pPr>
              <w:spacing w:after="40" w:line="240" w:lineRule="auto"/>
              <w:jc w:val="left"/>
            </w:pPr>
            <w:r/>
            <w:r>
              <w:rPr>
                <w:rFonts w:ascii="Times New Roman" w:hAnsi="Times New Roman"/>
                <w:sz w:val="17"/>
              </w:rPr>
              <w:t>Tiện ích nền tảng số e-Guarantee (DIGITAL_CONV)</w:t>
            </w:r>
          </w:p>
        </w:tc>
        <w:tc>
          <w:tcPr>
            <w:tcW w:type="dxa" w:w="1296"/>
          </w:tcPr>
          <w:p>
            <w:pPr>
              <w:spacing w:after="40" w:line="240" w:lineRule="auto"/>
              <w:jc w:val="left"/>
            </w:pPr>
            <w:r/>
            <w:r>
              <w:rPr>
                <w:rFonts w:ascii="Times New Roman" w:hAnsi="Times New Roman"/>
                <w:sz w:val="17"/>
              </w:rPr>
              <w:t>0.115</w:t>
            </w:r>
          </w:p>
        </w:tc>
        <w:tc>
          <w:tcPr>
            <w:tcW w:type="dxa" w:w="1152"/>
          </w:tcPr>
          <w:p>
            <w:pPr>
              <w:spacing w:after="40" w:line="240" w:lineRule="auto"/>
              <w:jc w:val="left"/>
            </w:pPr>
            <w:r/>
            <w:r>
              <w:rPr>
                <w:rFonts w:ascii="Times New Roman" w:hAnsi="Times New Roman"/>
                <w:sz w:val="17"/>
              </w:rPr>
              <w:t>4.40</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H4</w:t>
            </w:r>
          </w:p>
        </w:tc>
        <w:tc>
          <w:tcPr>
            <w:tcW w:type="dxa" w:w="3600"/>
          </w:tcPr>
          <w:p>
            <w:pPr>
              <w:spacing w:after="40" w:line="240" w:lineRule="auto"/>
              <w:jc w:val="left"/>
            </w:pPr>
            <w:r/>
            <w:r>
              <w:rPr>
                <w:rFonts w:ascii="Times New Roman" w:hAnsi="Times New Roman"/>
                <w:sz w:val="17"/>
              </w:rPr>
              <w:t>Uy tín và thương hiệu ngân hàng (BANK_REP)</w:t>
            </w:r>
          </w:p>
        </w:tc>
        <w:tc>
          <w:tcPr>
            <w:tcW w:type="dxa" w:w="1296"/>
          </w:tcPr>
          <w:p>
            <w:pPr>
              <w:spacing w:after="40" w:line="240" w:lineRule="auto"/>
              <w:jc w:val="left"/>
            </w:pPr>
            <w:r/>
            <w:r>
              <w:rPr>
                <w:rFonts w:ascii="Times New Roman" w:hAnsi="Times New Roman"/>
                <w:sz w:val="17"/>
              </w:rPr>
              <w:t>0.159</w:t>
            </w:r>
          </w:p>
        </w:tc>
        <w:tc>
          <w:tcPr>
            <w:tcW w:type="dxa" w:w="1152"/>
          </w:tcPr>
          <w:p>
            <w:pPr>
              <w:spacing w:after="40" w:line="240" w:lineRule="auto"/>
              <w:jc w:val="left"/>
            </w:pPr>
            <w:r/>
            <w:r>
              <w:rPr>
                <w:rFonts w:ascii="Times New Roman" w:hAnsi="Times New Roman"/>
                <w:sz w:val="17"/>
              </w:rPr>
              <w:t>6.13</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H5</w:t>
            </w:r>
          </w:p>
        </w:tc>
        <w:tc>
          <w:tcPr>
            <w:tcW w:type="dxa" w:w="3600"/>
          </w:tcPr>
          <w:p>
            <w:pPr>
              <w:spacing w:after="40" w:line="240" w:lineRule="auto"/>
              <w:jc w:val="left"/>
            </w:pPr>
            <w:r/>
            <w:r>
              <w:rPr>
                <w:rFonts w:ascii="Times New Roman" w:hAnsi="Times New Roman"/>
                <w:sz w:val="17"/>
              </w:rPr>
              <w:t>Mối quan hệ ngân hàng - doanh nghiệp (RELATIONSHIP)</w:t>
            </w:r>
          </w:p>
        </w:tc>
        <w:tc>
          <w:tcPr>
            <w:tcW w:type="dxa" w:w="1296"/>
          </w:tcPr>
          <w:p>
            <w:pPr>
              <w:spacing w:after="40" w:line="240" w:lineRule="auto"/>
              <w:jc w:val="left"/>
            </w:pPr>
            <w:r/>
            <w:r>
              <w:rPr>
                <w:rFonts w:ascii="Times New Roman" w:hAnsi="Times New Roman"/>
                <w:sz w:val="17"/>
              </w:rPr>
              <w:t>0.219</w:t>
            </w:r>
          </w:p>
        </w:tc>
        <w:tc>
          <w:tcPr>
            <w:tcW w:type="dxa" w:w="1152"/>
          </w:tcPr>
          <w:p>
            <w:pPr>
              <w:spacing w:after="40" w:line="240" w:lineRule="auto"/>
              <w:jc w:val="left"/>
            </w:pPr>
            <w:r/>
            <w:r>
              <w:rPr>
                <w:rFonts w:ascii="Times New Roman" w:hAnsi="Times New Roman"/>
                <w:sz w:val="17"/>
              </w:rPr>
              <w:t>8.25</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H6</w:t>
            </w:r>
          </w:p>
        </w:tc>
        <w:tc>
          <w:tcPr>
            <w:tcW w:type="dxa" w:w="3600"/>
          </w:tcPr>
          <w:p>
            <w:pPr>
              <w:spacing w:after="40" w:line="240" w:lineRule="auto"/>
              <w:jc w:val="left"/>
            </w:pPr>
            <w:r/>
            <w:r>
              <w:rPr>
                <w:rFonts w:ascii="Times New Roman" w:hAnsi="Times New Roman"/>
                <w:sz w:val="17"/>
              </w:rPr>
              <w:t>Năng lực tư vấn và hỗ trợ của nhân viên (STAFF_QUAL)</w:t>
            </w:r>
          </w:p>
        </w:tc>
        <w:tc>
          <w:tcPr>
            <w:tcW w:type="dxa" w:w="1296"/>
          </w:tcPr>
          <w:p>
            <w:pPr>
              <w:spacing w:after="40" w:line="240" w:lineRule="auto"/>
              <w:jc w:val="left"/>
            </w:pPr>
            <w:r/>
            <w:r>
              <w:rPr>
                <w:rFonts w:ascii="Times New Roman" w:hAnsi="Times New Roman"/>
                <w:sz w:val="17"/>
              </w:rPr>
              <w:t>0.153</w:t>
            </w:r>
          </w:p>
        </w:tc>
        <w:tc>
          <w:tcPr>
            <w:tcW w:type="dxa" w:w="1152"/>
          </w:tcPr>
          <w:p>
            <w:pPr>
              <w:spacing w:after="40" w:line="240" w:lineRule="auto"/>
              <w:jc w:val="left"/>
            </w:pPr>
            <w:r/>
            <w:r>
              <w:rPr>
                <w:rFonts w:ascii="Times New Roman" w:hAnsi="Times New Roman"/>
                <w:sz w:val="17"/>
              </w:rPr>
              <w:t>5.93</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H7</w:t>
            </w:r>
          </w:p>
        </w:tc>
        <w:tc>
          <w:tcPr>
            <w:tcW w:type="dxa" w:w="3600"/>
          </w:tcPr>
          <w:p>
            <w:pPr>
              <w:spacing w:after="40" w:line="240" w:lineRule="auto"/>
              <w:jc w:val="left"/>
            </w:pPr>
            <w:r/>
            <w:r>
              <w:rPr>
                <w:rFonts w:ascii="Times New Roman" w:hAnsi="Times New Roman"/>
                <w:sz w:val="17"/>
              </w:rPr>
              <w:t>Chính sách TSBĐ và tỷ lệ ký quỹ (COLL_POLICY)</w:t>
            </w:r>
          </w:p>
        </w:tc>
        <w:tc>
          <w:tcPr>
            <w:tcW w:type="dxa" w:w="1296"/>
          </w:tcPr>
          <w:p>
            <w:pPr>
              <w:spacing w:after="40" w:line="240" w:lineRule="auto"/>
              <w:jc w:val="left"/>
            </w:pPr>
            <w:r/>
            <w:r>
              <w:rPr>
                <w:rFonts w:ascii="Times New Roman" w:hAnsi="Times New Roman"/>
                <w:sz w:val="17"/>
              </w:rPr>
              <w:t>0.169</w:t>
            </w:r>
          </w:p>
        </w:tc>
        <w:tc>
          <w:tcPr>
            <w:tcW w:type="dxa" w:w="1152"/>
          </w:tcPr>
          <w:p>
            <w:pPr>
              <w:spacing w:after="40" w:line="240" w:lineRule="auto"/>
              <w:jc w:val="left"/>
            </w:pPr>
            <w:r/>
            <w:r>
              <w:rPr>
                <w:rFonts w:ascii="Times New Roman" w:hAnsi="Times New Roman"/>
                <w:sz w:val="17"/>
              </w:rPr>
              <w:t>6.57</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H8</w:t>
            </w:r>
          </w:p>
        </w:tc>
        <w:tc>
          <w:tcPr>
            <w:tcW w:type="dxa" w:w="3600"/>
          </w:tcPr>
          <w:p>
            <w:pPr>
              <w:spacing w:after="40" w:line="240" w:lineRule="auto"/>
              <w:jc w:val="left"/>
            </w:pPr>
            <w:r/>
            <w:r>
              <w:rPr>
                <w:rFonts w:ascii="Times New Roman" w:hAnsi="Times New Roman"/>
                <w:sz w:val="17"/>
              </w:rPr>
              <w:t>Sự khác biệt theo đặc điểm doanh nghiệp (Đơn/Đa ngân hàng, Hình thức sở hữu, Doanh thu, Thâm niên, Sản phẩm)</w:t>
            </w:r>
          </w:p>
        </w:tc>
        <w:tc>
          <w:tcPr>
            <w:tcW w:type="dxa" w:w="1296"/>
          </w:tcPr>
          <w:p>
            <w:pPr>
              <w:spacing w:after="40" w:line="240" w:lineRule="auto"/>
              <w:jc w:val="left"/>
            </w:pPr>
            <w:r/>
            <w:r>
              <w:rPr>
                <w:rFonts w:ascii="Times New Roman" w:hAnsi="Times New Roman"/>
                <w:sz w:val="17"/>
              </w:rPr>
              <w:t>—</w:t>
            </w:r>
          </w:p>
        </w:tc>
        <w:tc>
          <w:tcPr>
            <w:tcW w:type="dxa" w:w="115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2160"/>
          </w:tcPr>
          <w:p>
            <w:pPr>
              <w:spacing w:after="40" w:line="240" w:lineRule="auto"/>
              <w:jc w:val="center"/>
            </w:pPr>
            <w:r/>
            <w:r>
              <w:rPr>
                <w:rFonts w:ascii="Times New Roman" w:hAnsi="Times New Roman"/>
                <w:sz w:val="17"/>
              </w:rPr>
              <w:t>Ủng hộ một phần (Partially Supported - Khác biệt có ý nghĩa ở Hình thức sở hữu p &lt; 0.01 và Đơn/Đa ngân hàng p &lt; 0.001; không khác biệt ở Doanh thu, Thâm niên, Sản phẩm)</w:t>
            </w:r>
          </w:p>
        </w:tc>
      </w:tr>
    </w:tbl>
    <w:p>
      <w:pPr>
        <w:spacing w:after="200" w:line="360" w:lineRule="auto"/>
        <w:ind w:firstLine="0"/>
        <w:jc w:val="center"/>
      </w:pPr>
      <w:r>
        <w:rPr>
          <w:rFonts w:ascii="Times New Roman" w:hAnsi="Times New Roman"/>
          <w:b w:val="0"/>
          <w:i/>
          <w:sz w:val="20"/>
        </w:rPr>
        <w:t>Source: Author's empirical research synthesis (2025–2026).</w:t>
      </w:r>
    </w:p>
    <w:p w14:paraId="193D140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4.7. Discussion of Empirical Findings</w:t>
      </w:r>
    </w:p>
    <w:p>
      <w:pPr>
        <w:spacing w:after="160" w:line="360" w:lineRule="auto"/>
        <w:ind w:firstLine="360"/>
        <w:jc w:val="both"/>
      </w:pPr>
      <w:r>
        <w:rPr>
          <w:rFonts w:ascii="Times New Roman" w:hAnsi="Times New Roman"/>
          <w:b w:val="0"/>
          <w:i w:val="0"/>
          <w:sz w:val="24"/>
        </w:rPr>
        <w:t>The empirical findings of this thesis offer rich theoretical and practical insights into corporate bank selection behavior within Vietnam's commercial banking system under Circular 61/2024/TT-NHNN and the Law on Credit Institutions 2024. By examining 800 corporate customers across 154 VietinBank branches, the research illuminates the multi-dimensional criteria governing bank guarantee choice.</w:t>
      </w:r>
    </w:p>
    <w:p>
      <w:pPr>
        <w:spacing w:after="160" w:line="360" w:lineRule="auto"/>
        <w:ind w:firstLine="360"/>
        <w:jc w:val="both"/>
      </w:pPr>
      <w:r>
        <w:rPr>
          <w:rFonts w:ascii="Times New Roman" w:hAnsi="Times New Roman"/>
          <w:b w:val="0"/>
          <w:i w:val="0"/>
          <w:sz w:val="24"/>
        </w:rPr>
        <w:t>First, the finding that Price Competitiveness (β = 0.237, p &lt; 0.001) represents the foremost determinant of bank guarantee choice directly corroborates contingent claim pricing theory (Merton, 1974) and empirical findings by Turnbull &amp; Gibbs (1989) and Kaur et al. (2021). In corporate finance, bank guarantees represent pure off-balance-sheet credit enhancements rather than funded borrowing. Guarantee commissions constitute non-recoverable direct overhead charges that directly erode corporate gross profit margins on competitive bidding contracts. In the hyper-competitive construction and engineering procurement sectors in Vietnam, where contractor bidding margins typically range between 3% and 7%, an issuance tariff difference of 20 to 30 basis points per annum produces substantial financial savings on large-scale project packages, making price competitiveness the primary initial screening hurdle.</w:t>
      </w:r>
    </w:p>
    <w:p>
      <w:pPr>
        <w:spacing w:after="160" w:line="360" w:lineRule="auto"/>
        <w:ind w:firstLine="360"/>
        <w:jc w:val="both"/>
      </w:pPr>
      <w:r>
        <w:rPr>
          <w:rFonts w:ascii="Times New Roman" w:hAnsi="Times New Roman"/>
          <w:b w:val="0"/>
          <w:i w:val="0"/>
          <w:sz w:val="24"/>
        </w:rPr>
        <w:t>Second, Relationship Banking &amp; Credit Limits (β = 0.219, p &lt; 0.001) emerges as the second most powerful determinant, substantiating relationship banking theory (Boot, 2000; Berger &amp; Udell, 1995) and delegated monitoring (Diamond, 1984). Corporate bank guarantees cannot be procured in isolation; they require underwriting capacity carved out of broader credit facilities. Enterprises with long-standing credit and deposit ties at VietinBank benefit from pre-approved umbrella lines, waiver of redundant financial re-appraisals, and rapid drawdown authorization. This institutional synergy creates substantial switching costs, cementing corporate loyalty.</w:t>
      </w:r>
    </w:p>
    <w:p>
      <w:pPr>
        <w:spacing w:after="160" w:line="360" w:lineRule="auto"/>
        <w:ind w:firstLine="360"/>
        <w:jc w:val="both"/>
      </w:pPr>
      <w:r>
        <w:rPr>
          <w:rFonts w:ascii="Times New Roman" w:hAnsi="Times New Roman"/>
          <w:b w:val="0"/>
          <w:i w:val="0"/>
          <w:sz w:val="24"/>
        </w:rPr>
        <w:t>Third, Processing Speed (β = 0.190, p &lt; 0.001) serves as an indispensable operational prerequisite. Bidding deadlines stipulated in bidding dossiers under the Bidding Law 2023 are legally rigid; a delay of even one hour in obtaining a bid security results in irrevocable disqualification. Corporate treasurers therefore place a vital premium on guaranteed issuance turnaround times.</w:t>
      </w:r>
    </w:p>
    <w:p>
      <w:pPr>
        <w:spacing w:after="160" w:line="360" w:lineRule="auto"/>
        <w:ind w:firstLine="360"/>
        <w:jc w:val="both"/>
      </w:pPr>
      <w:r>
        <w:rPr>
          <w:rFonts w:ascii="Times New Roman" w:hAnsi="Times New Roman"/>
          <w:b w:val="0"/>
          <w:i w:val="0"/>
          <w:sz w:val="24"/>
        </w:rPr>
        <w:t>Fourth, Collateral Policy and Margin Flexibility (β = 0.169, p &lt; 0.001) directly influences corporate working capital liquidity. In traditional commercial banking practice, high cash margin requirements (10%–30%) immobilize corporate liquid reserves. VietinBank's policy of offering reduced cash margin requirements (0%–5%) for creditworthy contractors significantly lowers the liquidity cost of participating in multiple simultaneous tenders.</w:t>
      </w:r>
    </w:p>
    <w:p>
      <w:pPr>
        <w:spacing w:after="160" w:line="360" w:lineRule="auto"/>
        <w:ind w:firstLine="360"/>
        <w:jc w:val="both"/>
      </w:pPr>
      <w:r>
        <w:rPr>
          <w:rFonts w:ascii="Times New Roman" w:hAnsi="Times New Roman"/>
          <w:b w:val="0"/>
          <w:i w:val="0"/>
          <w:sz w:val="24"/>
        </w:rPr>
        <w:t>Fifth, Bank Reputation (β = 0.159, p &lt; 0.001) validates information signaling theory (Ramakrishnan &amp; Thakor, 1984; Spence, 1973). In major commercial contracting and public procurement, the guarantee beneficiary (project owner or employer) scrutinizes the issuing bank's standing. VietinBank's stature as a leading state-owned commercial bank with sovereign-backed stability ensures immediate, unconditional acceptance across state procuring entities, international EPC contractors, and multilateral development financiers (World Bank, ADB).</w:t>
      </w:r>
    </w:p>
    <w:p>
      <w:pPr>
        <w:spacing w:after="160" w:line="360" w:lineRule="auto"/>
        <w:ind w:firstLine="360"/>
        <w:jc w:val="both"/>
      </w:pPr>
      <w:r>
        <w:rPr>
          <w:rFonts w:ascii="Times New Roman" w:hAnsi="Times New Roman"/>
          <w:b w:val="0"/>
          <w:i w:val="0"/>
          <w:sz w:val="24"/>
        </w:rPr>
        <w:t>Sixth, Staff Professionalism (β = 0.153, p &lt; 0.001) corroborates service quality theory (Parasuraman et al., 1988; Narteh, 2013). Guarantee contracts involve complex legal wording, strict forfeiture triggers, and compliance with international rules (ICC URDG 758). Relationship managers who demonstrate deep technical acumen, proactive risk consultation, and agile drafting support substantially mitigate operational and legal risks for corporate treasurers.</w:t>
      </w:r>
    </w:p>
    <w:p>
      <w:pPr>
        <w:spacing w:after="160" w:line="360" w:lineRule="auto"/>
        <w:ind w:firstLine="360"/>
        <w:jc w:val="both"/>
      </w:pPr>
      <w:r>
        <w:rPr>
          <w:rFonts w:ascii="Times New Roman" w:hAnsi="Times New Roman"/>
          <w:b w:val="0"/>
          <w:i w:val="0"/>
          <w:sz w:val="24"/>
        </w:rPr>
        <w:t>Finally, Digital e-Guarantee Convenience (β = 0.115, p &lt; 0.001) confirms the Technology Acceptance Model (Davis, 1989). While digital banking is ubiquitous in retail finance, its ranking as seventh in corporate guarantee selection reflects the unique nature of institutional B2B banking. Corporate treasurers view digital platforms (such as VietinBank eFAST) as an indispensable operational enabler, yet digital channels cannot compensate for uncompetitive fee structures, rigid collateral demands, or insufficient credit limits. Digital convenience acts as a critical hygiene factor that amplifies relationship satisfaction once foundational pricing and credit terms are secured.</w:t>
      </w:r>
    </w:p>
    <w:p w14:paraId="573525A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4.8. Managerial Implications &amp; Policy Recommendations for VietinBank</w:t>
      </w:r>
    </w:p>
    <w:p w14:paraId="2CF1855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4.8.1. Enhancing Core Service Capabilities (Response to Objective 1)</w:t>
      </w:r>
    </w:p>
    <w:p>
      <w:pPr>
        <w:spacing w:after="100" w:line="336" w:lineRule="auto"/>
        <w:ind w:left="576" w:hanging="288"/>
        <w:jc w:val="both"/>
      </w:pPr>
      <w:r>
        <w:rPr>
          <w:rFonts w:ascii="Times New Roman" w:hAnsi="Times New Roman"/>
          <w:sz w:val="24"/>
        </w:rPr>
        <w:t>– Standardization of Guarantee Formats: Establish a centralized repository of pre-approved guarantee templates strictly conforming to Circular 61/2024/TT-NHNN and ICC URDG 758. Standardizing templates eliminates protracted branch-level legal reviews, reducing document turnaround by up to 60%.</w:t>
      </w:r>
    </w:p>
    <w:p>
      <w:pPr>
        <w:spacing w:after="100" w:line="336" w:lineRule="auto"/>
        <w:ind w:left="576" w:hanging="288"/>
        <w:jc w:val="both"/>
      </w:pPr>
      <w:r>
        <w:rPr>
          <w:rFonts w:ascii="Times New Roman" w:hAnsi="Times New Roman"/>
          <w:sz w:val="24"/>
        </w:rPr>
        <w:t>– Corporate Relationship Manager Certification: Institute a mandatory technical accreditation curriculum in guarantee structuring, FIDIC conditions, and public procurement law for all commercial relationship managers, elevating advisory professionalism.</w:t>
      </w:r>
    </w:p>
    <w:p>
      <w:pPr>
        <w:spacing w:after="100" w:line="336" w:lineRule="auto"/>
        <w:ind w:left="576" w:hanging="288"/>
        <w:jc w:val="both"/>
      </w:pPr>
      <w:r>
        <w:rPr>
          <w:rFonts w:ascii="Times New Roman" w:hAnsi="Times New Roman"/>
          <w:sz w:val="24"/>
        </w:rPr>
        <w:t>– Centralized Beneficiary Verification Desk: Implement a 24/7 dedicated digital and telephonic verification desk at Head Office enabling instant beneficiary authentication of issued bonds, cementing market reputation.</w:t>
      </w:r>
    </w:p>
    <w:p w14:paraId="4894BA5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4.8.2. Strategies for Price Competitiveness &amp; P</w:t>
      </w:r>
      <w:r w:rsidRPr="0040485A">
        <w:rPr>
          <w:rFonts w:ascii="Times New Roman" w:hAnsi="Times New Roman" w:cs="Times New Roman"/>
        </w:rPr>
        <w:t>rocessing Speed (Response to Objective 2)</w:t>
      </w:r>
    </w:p>
    <w:p>
      <w:pPr>
        <w:spacing w:after="100" w:line="336" w:lineRule="auto"/>
        <w:ind w:left="576" w:hanging="288"/>
        <w:jc w:val="both"/>
      </w:pPr>
      <w:r>
        <w:rPr>
          <w:rFonts w:ascii="Times New Roman" w:hAnsi="Times New Roman"/>
          <w:sz w:val="24"/>
        </w:rPr>
        <w:t>– Tiered Volume-Based Tariff Architecture: Introduce an automated volume-indexed pricing schedule reducing guarantee fees by 10 to 25 basis points for enterprises committing cumulative annual guarantee turnover exceeding 50 billion VND, directly targeting the premier beta driver (β = 0.237).</w:t>
      </w:r>
    </w:p>
    <w:p>
      <w:pPr>
        <w:spacing w:after="100" w:line="336" w:lineRule="auto"/>
        <w:ind w:left="576" w:hanging="288"/>
        <w:jc w:val="both"/>
      </w:pPr>
      <w:r>
        <w:rPr>
          <w:rFonts w:ascii="Times New Roman" w:hAnsi="Times New Roman"/>
          <w:sz w:val="24"/>
        </w:rPr>
        <w:t>– Binding 2-Hour Issuance Protocol: Formulate a service-level agreement (SLA) guaranteeing standard bid bond issuance within 2 hours for corporate clients operating under pre-approved credit lines, transforming processing speed into a market differentiator.</w:t>
      </w:r>
    </w:p>
    <w:p>
      <w:pPr>
        <w:spacing w:after="100" w:line="336" w:lineRule="auto"/>
        <w:ind w:left="576" w:hanging="288"/>
        <w:jc w:val="both"/>
      </w:pPr>
      <w:r>
        <w:rPr>
          <w:rFonts w:ascii="Times New Roman" w:hAnsi="Times New Roman"/>
          <w:sz w:val="24"/>
        </w:rPr>
        <w:t>– Cash Margin Optimization Framework: Expand 0% cash margin eligibility for corporate contractors possessing credit ratings of A and above, alleviating working capital burdens.</w:t>
      </w:r>
    </w:p>
    <w:p w14:paraId="0CBC5DE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4.8.3. Tailored Guarantee Packages for Corporate Segments (Response to Objective 3)</w:t>
      </w:r>
    </w:p>
    <w:p>
      <w:pPr>
        <w:spacing w:after="100" w:line="336" w:lineRule="auto"/>
        <w:ind w:left="576" w:hanging="288"/>
        <w:jc w:val="both"/>
      </w:pPr>
      <w:r>
        <w:rPr>
          <w:rFonts w:ascii="Times New Roman" w:hAnsi="Times New Roman"/>
          <w:sz w:val="24"/>
        </w:rPr>
        <w:t>– SME Contractor Guarantee Accelerator: Design specialized guarantee packages for private SMEs featuring cash-flow-based underwriting and collateral margin relief, directly serving Vietnam's dominant corporate segment (73.00% of total sample).</w:t>
      </w:r>
    </w:p>
    <w:p>
      <w:pPr>
        <w:spacing w:after="100" w:line="336" w:lineRule="auto"/>
        <w:ind w:left="576" w:hanging="288"/>
        <w:jc w:val="both"/>
      </w:pPr>
      <w:r>
        <w:rPr>
          <w:rFonts w:ascii="Times New Roman" w:hAnsi="Times New Roman"/>
          <w:sz w:val="24"/>
        </w:rPr>
        <w:t>– Dedicated FDI Global Desk: Establish specialized multi-lingual guarantee desks and bilateral counter-guarantee agreements with foreign correspondent banks in Japan, South Korea, China, and Europe to service foreign direct investment contractors.</w:t>
      </w:r>
    </w:p>
    <w:p>
      <w:pPr>
        <w:spacing w:after="100" w:line="336" w:lineRule="auto"/>
        <w:ind w:left="576" w:hanging="288"/>
        <w:jc w:val="both"/>
      </w:pPr>
      <w:r>
        <w:rPr>
          <w:rFonts w:ascii="Times New Roman" w:hAnsi="Times New Roman"/>
          <w:sz w:val="24"/>
        </w:rPr>
        <w:t>– Large Corporate Umbrella Syndications: Structure unified multi-purpose working capital and guarantee limits for major state-owned and private conglomerates executing national infrastructure projects.</w:t>
      </w:r>
    </w:p>
    <w:p w14:paraId="316AAA9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4.8.4. Breakthrough Digital Transformation Strategy via VietinBank eFAST (Response to Objective 4)</w:t>
      </w:r>
    </w:p>
    <w:p>
      <w:pPr>
        <w:spacing w:after="100" w:line="336" w:lineRule="auto"/>
        <w:ind w:left="576" w:hanging="288"/>
        <w:jc w:val="both"/>
      </w:pPr>
      <w:r>
        <w:rPr>
          <w:rFonts w:ascii="Times New Roman" w:hAnsi="Times New Roman"/>
          <w:sz w:val="24"/>
        </w:rPr>
        <w:t>– Straight-Through Processing (STP) on eFAST: Develop an end-to-end automated pipeline enabling corporate clients to request, approve, digitally sign, and receive electronic guarantees within 15 minutes without branch visits.</w:t>
      </w:r>
    </w:p>
    <w:p>
      <w:pPr>
        <w:spacing w:after="100" w:line="336" w:lineRule="auto"/>
        <w:ind w:left="576" w:hanging="288"/>
        <w:jc w:val="both"/>
      </w:pPr>
      <w:r>
        <w:rPr>
          <w:rFonts w:ascii="Times New Roman" w:hAnsi="Times New Roman"/>
          <w:sz w:val="24"/>
        </w:rPr>
        <w:t>– Direct API Integration with National E-Procurement: Build a secure API gateway directly connecting VietinBank eFAST with the National E-Procurement System (muasamcong.mpi.gov.vn), enabling seamless bid bond submission.</w:t>
      </w:r>
    </w:p>
    <w:p>
      <w:pPr>
        <w:spacing w:after="100" w:line="336" w:lineRule="auto"/>
        <w:ind w:left="576" w:hanging="288"/>
        <w:jc w:val="both"/>
      </w:pPr>
      <w:r>
        <w:rPr>
          <w:rFonts w:ascii="Times New Roman" w:hAnsi="Times New Roman"/>
          <w:sz w:val="24"/>
        </w:rPr>
        <w:t>– Dynamic Cryptographic QR Verification: Embed tamper-proof digital certificates and cryptographic QR codes on all issued guarantees for instantaneous online validation by project owners.</w:t>
      </w:r>
    </w:p>
    <w:p w14:paraId="641FA75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4.9. Policy </w:t>
      </w:r>
      <w:r w:rsidRPr="0040485A">
        <w:rPr>
          <w:rFonts w:ascii="Times New Roman" w:hAnsi="Times New Roman" w:cs="Times New Roman"/>
        </w:rPr>
        <w:t>Recommendations for the State Bank of Vietnam</w:t>
      </w:r>
    </w:p>
    <w:p>
      <w:pPr>
        <w:spacing w:after="100" w:line="336" w:lineRule="auto"/>
        <w:ind w:left="576" w:hanging="288"/>
        <w:jc w:val="both"/>
      </w:pPr>
      <w:r>
        <w:rPr>
          <w:rFonts w:ascii="Times New Roman" w:hAnsi="Times New Roman"/>
          <w:sz w:val="24"/>
        </w:rPr>
        <w:t>– Harmonized Regulatory Guidelines for Electronic Guarantees: Issue comprehensive circular guidance standardizing the legal validity and mandatory acceptance of digitally signed e-guarantees across all government ministries, provincial authorities, and state-owned entities.</w:t>
      </w:r>
    </w:p>
    <w:p>
      <w:pPr>
        <w:spacing w:after="100" w:line="336" w:lineRule="auto"/>
        <w:ind w:left="576" w:hanging="288"/>
        <w:jc w:val="both"/>
      </w:pPr>
      <w:r>
        <w:rPr>
          <w:rFonts w:ascii="Times New Roman" w:hAnsi="Times New Roman"/>
          <w:sz w:val="24"/>
        </w:rPr>
        <w:t>– National Interbank Guarantee Registry under Credit Information Center (CIC): Establish a centralized database of issued bank guarantees to prevent duplicate collateral pledging and eliminate fraudulent bond issuance.</w:t>
      </w:r>
    </w:p>
    <w:p>
      <w:pPr>
        <w:spacing w:after="100" w:line="336" w:lineRule="auto"/>
        <w:ind w:left="576" w:hanging="288"/>
        <w:jc w:val="both"/>
      </w:pPr>
      <w:r>
        <w:rPr>
          <w:rFonts w:ascii="Times New Roman" w:hAnsi="Times New Roman"/>
          <w:sz w:val="24"/>
        </w:rPr>
        <w:t>– Risk-Weighted Capital Relief for Bid and Performance Bonds: Refine prudential capital adequacy standards under Circular 41/2016 by lowering the credit conversion factor (CCF) for standardized electronic bid bonds from 50% to 20%, encouraging commercial bank support.</w:t>
      </w:r>
    </w:p>
    <w:p w14:paraId="2D62B24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4.10. Research Limitations and Suggestions for Future Research</w:t>
      </w:r>
    </w:p>
    <w:p w14:paraId="3E5F390C" w14:textId="77777777" w:rsidR="00994AE3" w:rsidRPr="0040485A" w:rsidRDefault="008064C0">
      <w:pPr>
        <w:spacing w:after="160" w:line="360" w:lineRule="auto"/>
        <w:ind w:firstLine="360"/>
        <w:jc w:val="both"/>
        <w:rPr>
          <w:rFonts w:cs="Times New Roman"/>
        </w:rPr>
      </w:pPr>
      <w:r w:rsidRPr="0040485A">
        <w:rPr>
          <w:rFonts w:cs="Times New Roman"/>
        </w:rPr>
        <w:t xml:space="preserve">The findings reported above should be read against the limitations of the research design. Six are set out here, each followed by the direction it </w:t>
      </w:r>
      <w:r w:rsidRPr="0040485A">
        <w:rPr>
          <w:rFonts w:cs="Times New Roman"/>
        </w:rPr>
        <w:t>suggests for further work. They are stated as boundaries on what this study can establish rather than as defects, since most follow from choices made deliberately in Chapter 3 to keep the study feasible within the scope of a master's thesis.</w:t>
      </w:r>
    </w:p>
    <w:p w14:paraId="661C4B9C" w14:textId="77777777" w:rsidR="00994AE3" w:rsidRPr="0040485A" w:rsidRDefault="008064C0">
      <w:pPr>
        <w:spacing w:after="160" w:line="360" w:lineRule="auto"/>
        <w:ind w:firstLine="360"/>
        <w:jc w:val="both"/>
        <w:rPr>
          <w:rFonts w:cs="Times New Roman"/>
        </w:rPr>
      </w:pPr>
      <w:r w:rsidRPr="0040485A">
        <w:rPr>
          <w:rFonts w:cs="Times New Roman"/>
        </w:rPr>
        <w:t>First, the sam</w:t>
      </w:r>
      <w:r w:rsidRPr="0040485A">
        <w:rPr>
          <w:rFonts w:cs="Times New Roman"/>
        </w:rPr>
        <w:t>ple is drawn entirely from enterprises that are already customers of VietinBank. Enterprises that considered the bank and chose a competitor, and those that formerly used it and left, are absent from the frame. The consequence is that the model explains th</w:t>
      </w:r>
      <w:r w:rsidRPr="0040485A">
        <w:rPr>
          <w:rFonts w:cs="Times New Roman"/>
        </w:rPr>
        <w:t>e priority an existing client assigns to VietinBank and the share of guarantee business it concentrates there; it does not explain first-time bank choice across the market. The dependent construct and the managerial implications in Section 4.8 are framed a</w:t>
      </w:r>
      <w:r w:rsidRPr="0040485A">
        <w:rPr>
          <w:rFonts w:cs="Times New Roman"/>
        </w:rPr>
        <w:t>ccordingly, and the item DEC4, which places VietinBank explicitly against alternatives, mitigates but does not remove the restriction. The natural extension is a comparative design surveying enterprises that obtain guarantees from other banks, or a study o</w:t>
      </w:r>
      <w:r w:rsidRPr="0040485A">
        <w:rPr>
          <w:rFonts w:cs="Times New Roman"/>
        </w:rPr>
        <w:t>f enterprises that have switched issuing bank, either of which would identify the determinants of acquisition rather than retention.</w:t>
      </w:r>
    </w:p>
    <w:p w14:paraId="668DA019" w14:textId="77777777" w:rsidR="00994AE3" w:rsidRPr="0040485A" w:rsidRDefault="008064C0">
      <w:pPr>
        <w:spacing w:after="160" w:line="360" w:lineRule="auto"/>
        <w:ind w:firstLine="360"/>
        <w:jc w:val="both"/>
        <w:rPr>
          <w:rFonts w:cs="Times New Roman"/>
        </w:rPr>
      </w:pPr>
      <w:r w:rsidRPr="0040485A">
        <w:rPr>
          <w:rFonts w:cs="Times New Roman"/>
        </w:rPr>
        <w:t xml:space="preserve">Second, the design is cross-sectional. All variables are measured at one point in time, so the estimated relationships are </w:t>
      </w:r>
      <w:r w:rsidRPr="0040485A">
        <w:rPr>
          <w:rFonts w:cs="Times New Roman"/>
        </w:rPr>
        <w:t>associations and temporal precedence cannot be established. A favourable evaluation of processing speed may raise selection priority, but an enterprise that has already concentrated its business at the bank may equally evaluate that bank's service more gen</w:t>
      </w:r>
      <w:r w:rsidRPr="0040485A">
        <w:rPr>
          <w:rFonts w:cs="Times New Roman"/>
        </w:rPr>
        <w:t xml:space="preserve">erously. Disentangling the two requires a longitudinal design in which perceptions are measured before subsequent allocation decisions are observed, or a design using instrumental variables. Both are beyond the scope of this thesis and are recommended for </w:t>
      </w:r>
      <w:r w:rsidRPr="0040485A">
        <w:rPr>
          <w:rFonts w:cs="Times New Roman"/>
        </w:rPr>
        <w:t>future work.</w:t>
      </w:r>
    </w:p>
    <w:p w14:paraId="6243C5A8" w14:textId="77777777" w:rsidR="00994AE3" w:rsidRPr="0040485A" w:rsidRDefault="008064C0">
      <w:pPr>
        <w:spacing w:after="160" w:line="360" w:lineRule="auto"/>
        <w:ind w:firstLine="360"/>
        <w:jc w:val="both"/>
        <w:rPr>
          <w:rFonts w:cs="Times New Roman"/>
        </w:rPr>
      </w:pPr>
      <w:r w:rsidRPr="0040485A">
        <w:rPr>
          <w:rFonts w:cs="Times New Roman"/>
        </w:rPr>
        <w:t>Third, sampling was non-probabilistic. Because a complete list of qualifying enterprises could not be released, stratified convenience sampling was used, with regional quotas approximating the population distribution. Selection probabilities a</w:t>
      </w:r>
      <w:r w:rsidRPr="0040485A">
        <w:rPr>
          <w:rFonts w:cs="Times New Roman"/>
        </w:rPr>
        <w:t xml:space="preserve">re therefore unknown, sampling error cannot be estimated, and inference rests on the assumption that respondents do </w:t>
      </w:r>
      <w:r w:rsidRPr="0040485A">
        <w:rPr>
          <w:rFonts w:cs="Times New Roman"/>
        </w:rPr>
        <w:lastRenderedPageBreak/>
        <w:t>not differ systematically from non-respondents. Replication with a probability sample, which would require the cooperation of the bank in dr</w:t>
      </w:r>
      <w:r w:rsidRPr="0040485A">
        <w:rPr>
          <w:rFonts w:cs="Times New Roman"/>
        </w:rPr>
        <w:t>awing from its client register under appropriate confidentiality safeguards, would permit stronger inference.</w:t>
      </w:r>
    </w:p>
    <w:p w14:paraId="5D02B16B" w14:textId="77777777" w:rsidR="00994AE3" w:rsidRPr="0040485A" w:rsidRDefault="008064C0">
      <w:pPr>
        <w:spacing w:after="160" w:line="360" w:lineRule="auto"/>
        <w:ind w:firstLine="360"/>
        <w:jc w:val="both"/>
        <w:rPr>
          <w:rFonts w:cs="Times New Roman"/>
        </w:rPr>
      </w:pPr>
      <w:r w:rsidRPr="0040485A">
        <w:rPr>
          <w:rFonts w:cs="Times New Roman"/>
        </w:rPr>
        <w:t>Fourth, all constructs are measured through the perceptions of a single respondent per enterprise, using a single instrument administered at one t</w:t>
      </w:r>
      <w:r w:rsidRPr="0040485A">
        <w:rPr>
          <w:rFonts w:cs="Times New Roman"/>
        </w:rPr>
        <w:t>ime. This raises the possibility of common method bias (Podsakoff et al., 2003), and administration through the bank's own relationship channel adds a risk of social desirability bias. The procedural remedies described in Section 3.3.3 were applied, and th</w:t>
      </w:r>
      <w:r w:rsidRPr="0040485A">
        <w:rPr>
          <w:rFonts w:cs="Times New Roman"/>
        </w:rPr>
        <w:t>e descriptive evidence in Section 4.1 was inspected for the compressed dispersion characteristic of the problem. Future research could triangulate the perceptual measures against objective transaction records — realised guarantee volumes, fee rates actuall</w:t>
      </w:r>
      <w:r w:rsidRPr="0040485A">
        <w:rPr>
          <w:rFonts w:cs="Times New Roman"/>
        </w:rPr>
        <w:t>y charged, and observed channel usage — which would test whether stated priority corresponds to revealed behaviour.</w:t>
      </w:r>
    </w:p>
    <w:p w14:paraId="4B5D4B95" w14:textId="77777777" w:rsidR="00994AE3" w:rsidRPr="0040485A" w:rsidRDefault="008064C0">
      <w:pPr>
        <w:spacing w:after="160" w:line="360" w:lineRule="auto"/>
        <w:ind w:firstLine="360"/>
        <w:jc w:val="both"/>
        <w:rPr>
          <w:rFonts w:cs="Times New Roman"/>
        </w:rPr>
      </w:pPr>
      <w:r w:rsidRPr="0040485A">
        <w:rPr>
          <w:rFonts w:cs="Times New Roman"/>
        </w:rPr>
        <w:t>Fifth, the study covers a single bank. VietinBank's scale, ownership structure, branch network and digital maturity shape the evaluations re</w:t>
      </w:r>
      <w:r w:rsidRPr="0040485A">
        <w:rPr>
          <w:rFonts w:cs="Times New Roman"/>
        </w:rPr>
        <w:t>ported here, and the weights estimated for the seven constructs need not hold at banks differing on those dimensions. A smaller private bank cannot compete on the reputation dimension in the same way and may compete more aggressively on price and flexibili</w:t>
      </w:r>
      <w:r w:rsidRPr="0040485A">
        <w:rPr>
          <w:rFonts w:cs="Times New Roman"/>
        </w:rPr>
        <w:t>ty, which would plausibly alter the ranking. A multi-bank study, ideally spanning both state-owned and private institutions, would establish which findings are general and which are specific to a large incumbent.</w:t>
      </w:r>
    </w:p>
    <w:p w14:paraId="55297AAE" w14:textId="77777777" w:rsidR="00994AE3" w:rsidRPr="0040485A" w:rsidRDefault="008064C0">
      <w:pPr>
        <w:spacing w:after="160" w:line="360" w:lineRule="auto"/>
        <w:ind w:firstLine="360"/>
        <w:jc w:val="both"/>
        <w:rPr>
          <w:rFonts w:cs="Times New Roman"/>
        </w:rPr>
      </w:pPr>
      <w:r w:rsidRPr="0040485A">
        <w:rPr>
          <w:rFonts w:cs="Times New Roman"/>
        </w:rPr>
        <w:t>Sixth, the model is deliberately parsimonio</w:t>
      </w:r>
      <w:r w:rsidRPr="0040485A">
        <w:rPr>
          <w:rFonts w:cs="Times New Roman"/>
        </w:rPr>
        <w:t>us. Seven constructs were retained, and attributes such as branch network density, correspondent banking reach for cross-border guarantees, and the capacity to structure bespoke guarantee wording were excluded to protect degrees of freedom and to limit mul</w:t>
      </w:r>
      <w:r w:rsidRPr="0040485A">
        <w:rPr>
          <w:rFonts w:cs="Times New Roman"/>
        </w:rPr>
        <w:t>ticollinearity. Their exclusion is a modelling decision, not a finding that they are irrelevant, and the adjusted coefficient of determination reported in Section 4.5.1 indicates how much variation remains unexplained. Future work could examine these attri</w:t>
      </w:r>
      <w:r w:rsidRPr="0040485A">
        <w:rPr>
          <w:rFonts w:cs="Times New Roman"/>
        </w:rPr>
        <w:t>butes, particularly within the sub-population of exporting and foreign-invested enterprises for whom correspondent capability is likely to matter most. A further extension would introduce customer satisfaction as a mediating construct and estimate the mode</w:t>
      </w:r>
      <w:r w:rsidRPr="0040485A">
        <w:rPr>
          <w:rFonts w:cs="Times New Roman"/>
        </w:rPr>
        <w:t xml:space="preserve">l through structural equation modelling, following the approach of Phan Thi Hang Nga et al. (2024) and Ho Dinh Phi et al. (2023); the single-stage </w:t>
      </w:r>
      <w:r w:rsidRPr="0040485A">
        <w:rPr>
          <w:rFonts w:cs="Times New Roman"/>
        </w:rPr>
        <w:lastRenderedPageBreak/>
        <w:t>specification used here was chosen because the framework contains no mediating variable, but a mediated struc</w:t>
      </w:r>
      <w:r w:rsidRPr="0040485A">
        <w:rPr>
          <w:rFonts w:cs="Times New Roman"/>
        </w:rPr>
        <w:t>ture is a plausible alternative worth testing.</w:t>
      </w:r>
    </w:p>
    <w:p w14:paraId="3354401A" w14:textId="77777777" w:rsidR="00994AE3" w:rsidRPr="0040485A" w:rsidRDefault="008064C0">
      <w:pPr>
        <w:spacing w:after="160" w:line="360" w:lineRule="auto"/>
        <w:ind w:firstLine="360"/>
        <w:jc w:val="both"/>
        <w:rPr>
          <w:rFonts w:cs="Times New Roman"/>
        </w:rPr>
      </w:pPr>
      <w:r w:rsidRPr="0040485A">
        <w:rPr>
          <w:rFonts w:cs="Times New Roman"/>
        </w:rPr>
        <w:t>A final observation concerns timing rather than design. The survey was conducted shortly after Circular No. 61/2024/TT-NHNN took effect, at a point when adoption of electronic guarantees was still developing a</w:t>
      </w:r>
      <w:r w:rsidRPr="0040485A">
        <w:rPr>
          <w:rFonts w:cs="Times New Roman"/>
        </w:rPr>
        <w:t>cross both banks and beneficiaries. The coefficient estimated for DIGITAL_CONV therefore reflects an early stage of that transition. Repeating the study once electronic issuance has become routine would show whether digital capability functions as a durabl</w:t>
      </w:r>
      <w:r w:rsidRPr="0040485A">
        <w:rPr>
          <w:rFonts w:cs="Times New Roman"/>
        </w:rPr>
        <w:t>e point of differentiation or, as competitors close the gap, settles into a baseline expectation that no longer distinguishes one bank from another.</w:t>
      </w:r>
    </w:p>
    <w:p w14:paraId="2913718D" w14:textId="77777777" w:rsidR="00994AE3" w:rsidRPr="0040485A" w:rsidRDefault="008064C0">
      <w:pPr>
        <w:rPr>
          <w:rFonts w:cs="Times New Roman"/>
        </w:rPr>
      </w:pPr>
      <w:r w:rsidRPr="0040485A">
        <w:rPr>
          <w:rFonts w:cs="Times New Roman"/>
        </w:rPr>
        <w:br w:type="page"/>
      </w:r>
    </w:p>
    <w:p w14:paraId="69F801B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REFERENCES</w:t>
      </w:r>
    </w:p>
    <w:p w14:paraId="6A65CA7A" w14:textId="77777777" w:rsidR="00994AE3" w:rsidRPr="0040485A" w:rsidRDefault="008064C0">
      <w:pPr>
        <w:rPr>
          <w:rFonts w:cs="Times New Roman"/>
        </w:rPr>
      </w:pPr>
      <w:r w:rsidRPr="0040485A">
        <w:rPr>
          <w:rFonts w:cs="Times New Roman"/>
          <w:sz w:val="21"/>
        </w:rPr>
        <w:t>Al-Sabbagh, M. and Al-Khathlan, K. (2018) 'Factors influenci</w:t>
      </w:r>
      <w:r w:rsidRPr="0040485A">
        <w:rPr>
          <w:rFonts w:cs="Times New Roman"/>
          <w:sz w:val="21"/>
        </w:rPr>
        <w:t>ng corporate clients' choice of commercial banks for trade finance services', Journal of Financial Services Marketing, 23(2), pp. 71–82.</w:t>
      </w:r>
    </w:p>
    <w:p w14:paraId="5E1588BA" w14:textId="77777777" w:rsidR="00994AE3" w:rsidRPr="0040485A" w:rsidRDefault="008064C0">
      <w:pPr>
        <w:rPr>
          <w:rFonts w:cs="Times New Roman"/>
        </w:rPr>
      </w:pPr>
      <w:r w:rsidRPr="0040485A">
        <w:rPr>
          <w:rFonts w:cs="Times New Roman"/>
          <w:sz w:val="21"/>
        </w:rPr>
        <w:t>Berger, A.N. and Udell, G.F. (1995) 'Relationship Lending and Lines of Credit in Small Firm Finance', Journal of Busine</w:t>
      </w:r>
      <w:r w:rsidRPr="0040485A">
        <w:rPr>
          <w:rFonts w:cs="Times New Roman"/>
          <w:sz w:val="21"/>
        </w:rPr>
        <w:t>ss, 68(3), pp. 351–381.</w:t>
      </w:r>
    </w:p>
    <w:p w14:paraId="7B2B42AD" w14:textId="77777777" w:rsidR="00994AE3" w:rsidRPr="0040485A" w:rsidRDefault="008064C0">
      <w:pPr>
        <w:rPr>
          <w:rFonts w:cs="Times New Roman"/>
        </w:rPr>
      </w:pPr>
      <w:r w:rsidRPr="0040485A">
        <w:rPr>
          <w:rFonts w:cs="Times New Roman"/>
          <w:sz w:val="21"/>
        </w:rPr>
        <w:t>Bertrams, R.I.V.F. (2013) Bank Guarantees in International Trade. 4th edn. The Hague: Kluwer Law International.</w:t>
      </w:r>
    </w:p>
    <w:p w14:paraId="45A9D165" w14:textId="77777777" w:rsidR="00994AE3" w:rsidRPr="0040485A" w:rsidRDefault="008064C0">
      <w:pPr>
        <w:rPr>
          <w:rFonts w:cs="Times New Roman"/>
        </w:rPr>
      </w:pPr>
      <w:r w:rsidRPr="0040485A">
        <w:rPr>
          <w:rFonts w:cs="Times New Roman"/>
          <w:sz w:val="21"/>
        </w:rPr>
        <w:t>Boot, A.W.A. (2000) 'Relationship Banking: What Do We Know?', Journal of Financial Intermediation, 9(1), pp. 7–25.</w:t>
      </w:r>
    </w:p>
    <w:p w14:paraId="1ED2F4EC" w14:textId="77777777" w:rsidR="00994AE3" w:rsidRPr="0040485A" w:rsidRDefault="008064C0">
      <w:pPr>
        <w:rPr>
          <w:rFonts w:cs="Times New Roman"/>
        </w:rPr>
      </w:pPr>
      <w:r w:rsidRPr="0040485A">
        <w:rPr>
          <w:rFonts w:cs="Times New Roman"/>
          <w:sz w:val="21"/>
        </w:rPr>
        <w:t>Brisl</w:t>
      </w:r>
      <w:r w:rsidRPr="0040485A">
        <w:rPr>
          <w:rFonts w:cs="Times New Roman"/>
          <w:sz w:val="21"/>
        </w:rPr>
        <w:t>in, R.W. (1970) 'Back-Translation for Cross-Cultural Research', Journal of Cross-Cultural Psychology, 1(3), pp. 185–216.</w:t>
      </w:r>
    </w:p>
    <w:p w14:paraId="1E0AC46C" w14:textId="77777777" w:rsidR="00994AE3" w:rsidRPr="0040485A" w:rsidRDefault="008064C0">
      <w:pPr>
        <w:rPr>
          <w:rFonts w:cs="Times New Roman"/>
        </w:rPr>
      </w:pPr>
      <w:r w:rsidRPr="0040485A">
        <w:rPr>
          <w:rFonts w:cs="Times New Roman"/>
          <w:sz w:val="21"/>
        </w:rPr>
        <w:t>Carletti, E., Leonello, A. and Marquez, R. (2023) 'Loan guarantees, bank underwriting policies and financial fragility', Journal of Fin</w:t>
      </w:r>
      <w:r w:rsidRPr="0040485A">
        <w:rPr>
          <w:rFonts w:cs="Times New Roman"/>
          <w:sz w:val="21"/>
        </w:rPr>
        <w:t>ancial Economics, 149(2), pp. 260–295.</w:t>
      </w:r>
    </w:p>
    <w:p w14:paraId="1E1E300A" w14:textId="77777777" w:rsidR="00994AE3" w:rsidRPr="0040485A" w:rsidRDefault="008064C0">
      <w:pPr>
        <w:rPr>
          <w:rFonts w:cs="Times New Roman"/>
        </w:rPr>
      </w:pPr>
      <w:r w:rsidRPr="0040485A">
        <w:rPr>
          <w:rFonts w:cs="Times New Roman"/>
          <w:sz w:val="21"/>
        </w:rPr>
        <w:t>Cohen, J. (1988) Statistical Power Analysis for the Behavioral Sciences. 2nd edn. Hillsdale, NJ: Lawrence Erlbaum Associates.</w:t>
      </w:r>
    </w:p>
    <w:p w14:paraId="0725AA15" w14:textId="77777777" w:rsidR="00994AE3" w:rsidRPr="0040485A" w:rsidRDefault="008064C0">
      <w:pPr>
        <w:rPr>
          <w:rFonts w:cs="Times New Roman"/>
        </w:rPr>
      </w:pPr>
      <w:r w:rsidRPr="0040485A">
        <w:rPr>
          <w:rFonts w:cs="Times New Roman"/>
          <w:sz w:val="21"/>
        </w:rPr>
        <w:t>Davis, F.D. (1989) 'Perceived Usefulness, Perceived Ease of Use, and User Acceptance of Inf</w:t>
      </w:r>
      <w:r w:rsidRPr="0040485A">
        <w:rPr>
          <w:rFonts w:cs="Times New Roman"/>
          <w:sz w:val="21"/>
        </w:rPr>
        <w:t>ormation Technology', MIS Quarterly, 13(3), pp. 319–340.</w:t>
      </w:r>
    </w:p>
    <w:p w14:paraId="4AFA8ED1" w14:textId="77777777" w:rsidR="00994AE3" w:rsidRPr="0040485A" w:rsidRDefault="008064C0">
      <w:pPr>
        <w:rPr>
          <w:rFonts w:cs="Times New Roman"/>
        </w:rPr>
      </w:pPr>
      <w:r w:rsidRPr="0040485A">
        <w:rPr>
          <w:rFonts w:cs="Times New Roman"/>
          <w:sz w:val="21"/>
        </w:rPr>
        <w:t>Diamond, D.W. (1984) 'Financial Intermediation and Delegated Monitoring', Review of Economic Studies, 51(3), pp. 393–414.</w:t>
      </w:r>
    </w:p>
    <w:p w14:paraId="0945C1B2" w14:textId="77777777" w:rsidR="00994AE3" w:rsidRPr="0040485A" w:rsidRDefault="008064C0">
      <w:pPr>
        <w:rPr>
          <w:rFonts w:cs="Times New Roman"/>
        </w:rPr>
      </w:pPr>
      <w:r w:rsidRPr="0040485A">
        <w:rPr>
          <w:rFonts w:cs="Times New Roman"/>
          <w:sz w:val="21"/>
        </w:rPr>
        <w:t>Field, A. (2018) Discovering Statistics Using IBM SPSS Statistics. 5th edn. L</w:t>
      </w:r>
      <w:r w:rsidRPr="0040485A">
        <w:rPr>
          <w:rFonts w:cs="Times New Roman"/>
          <w:sz w:val="21"/>
        </w:rPr>
        <w:t>ondon: Sage Publications.</w:t>
      </w:r>
    </w:p>
    <w:p w14:paraId="54246E01" w14:textId="77777777" w:rsidR="00994AE3" w:rsidRPr="0040485A" w:rsidRDefault="008064C0">
      <w:pPr>
        <w:rPr>
          <w:rFonts w:cs="Times New Roman"/>
        </w:rPr>
      </w:pPr>
      <w:r w:rsidRPr="0040485A">
        <w:rPr>
          <w:rFonts w:cs="Times New Roman"/>
          <w:sz w:val="21"/>
        </w:rPr>
        <w:t>Hair, J.F., Black, W.C., Babin, B.J. and Anderson, R.E. (2019) Multivariate Data Analysis. 8th edn. Andover: Cengage Learning.</w:t>
      </w:r>
    </w:p>
    <w:p w14:paraId="149CF9E0" w14:textId="77777777" w:rsidR="00994AE3" w:rsidRPr="0040485A" w:rsidRDefault="008064C0">
      <w:pPr>
        <w:rPr>
          <w:rFonts w:cs="Times New Roman"/>
        </w:rPr>
      </w:pPr>
      <w:r w:rsidRPr="0040485A">
        <w:rPr>
          <w:rFonts w:cs="Times New Roman"/>
          <w:sz w:val="21"/>
        </w:rPr>
        <w:t xml:space="preserve">Ho Dinh Phi et al. (2023) 'Effect of Service Quality on Customer Loyalty: the Mediation of </w:t>
      </w:r>
      <w:r w:rsidRPr="0040485A">
        <w:rPr>
          <w:rFonts w:cs="Times New Roman"/>
          <w:sz w:val="21"/>
        </w:rPr>
        <w:t>Customer Satisfaction and Corporate Reputation in Banking Industry', Eurasian Journal of Business and Management, 11(3), pp. 145–160.</w:t>
      </w:r>
    </w:p>
    <w:p w14:paraId="652AD439" w14:textId="77777777" w:rsidR="00994AE3" w:rsidRPr="0040485A" w:rsidRDefault="008064C0">
      <w:pPr>
        <w:rPr>
          <w:rFonts w:cs="Times New Roman"/>
        </w:rPr>
      </w:pPr>
      <w:r w:rsidRPr="0040485A">
        <w:rPr>
          <w:rFonts w:cs="Times New Roman"/>
          <w:sz w:val="21"/>
        </w:rPr>
        <w:t>International Chamber of Commerce (2010) Uniform Rules for Demand Guarantees (URDG 758). ICC Publication No. 758. Paris: I</w:t>
      </w:r>
      <w:r w:rsidRPr="0040485A">
        <w:rPr>
          <w:rFonts w:cs="Times New Roman"/>
          <w:sz w:val="21"/>
        </w:rPr>
        <w:t>CC.</w:t>
      </w:r>
    </w:p>
    <w:p w14:paraId="371C8458" w14:textId="77777777" w:rsidR="00994AE3" w:rsidRPr="0040485A" w:rsidRDefault="008064C0">
      <w:pPr>
        <w:rPr>
          <w:rFonts w:cs="Times New Roman"/>
        </w:rPr>
      </w:pPr>
      <w:r w:rsidRPr="0040485A">
        <w:rPr>
          <w:rFonts w:cs="Times New Roman"/>
          <w:sz w:val="21"/>
        </w:rPr>
        <w:t>Kaur, M. et al. (2021) 'The determinants of bank selection criteria of SMEs: a fuzzy analytic hierarchy approach', Journal of Science and Technology Policy Management, 12(4), pp. 580–605.</w:t>
      </w:r>
    </w:p>
    <w:p w14:paraId="5C0E048D" w14:textId="77777777" w:rsidR="00994AE3" w:rsidRPr="0040485A" w:rsidRDefault="008064C0">
      <w:pPr>
        <w:rPr>
          <w:rFonts w:cs="Times New Roman"/>
        </w:rPr>
      </w:pPr>
      <w:r w:rsidRPr="0040485A">
        <w:rPr>
          <w:rFonts w:cs="Times New Roman"/>
          <w:sz w:val="21"/>
        </w:rPr>
        <w:t>Le Van Dung (2021) 'The nature of payment guarantee relationship</w:t>
      </w:r>
      <w:r w:rsidRPr="0040485A">
        <w:rPr>
          <w:rFonts w:cs="Times New Roman"/>
          <w:sz w:val="21"/>
        </w:rPr>
        <w:t>s at credit institutions', Industry and Trade Magazine, 8(April), pp. 45–52.</w:t>
      </w:r>
    </w:p>
    <w:p w14:paraId="20D1743C" w14:textId="77777777" w:rsidR="00994AE3" w:rsidRPr="0040485A" w:rsidRDefault="008064C0">
      <w:pPr>
        <w:rPr>
          <w:rFonts w:cs="Times New Roman"/>
        </w:rPr>
      </w:pPr>
      <w:r w:rsidRPr="0040485A">
        <w:rPr>
          <w:rFonts w:cs="Times New Roman"/>
          <w:sz w:val="21"/>
        </w:rPr>
        <w:t>Merton, R.C. (1974) 'On the Pricing of Corporate Debt: The Risk Structure of Interest Rates', Journal of Finance, 29(2), pp. 449–470.</w:t>
      </w:r>
    </w:p>
    <w:p w14:paraId="1E64E190" w14:textId="77777777" w:rsidR="00994AE3" w:rsidRPr="0040485A" w:rsidRDefault="008064C0">
      <w:pPr>
        <w:rPr>
          <w:rFonts w:cs="Times New Roman"/>
        </w:rPr>
      </w:pPr>
      <w:r w:rsidRPr="0040485A">
        <w:rPr>
          <w:rFonts w:cs="Times New Roman"/>
          <w:sz w:val="21"/>
        </w:rPr>
        <w:t>Narteh, B. (2013) 'SME bank selection and pat</w:t>
      </w:r>
      <w:r w:rsidRPr="0040485A">
        <w:rPr>
          <w:rFonts w:cs="Times New Roman"/>
          <w:sz w:val="21"/>
        </w:rPr>
        <w:t>ronage behaviour in the Ghanaian banking industry', Management Research Review, 36(11), pp. 1061–1080.</w:t>
      </w:r>
    </w:p>
    <w:p w14:paraId="1F2E1AE5" w14:textId="77777777" w:rsidR="00994AE3" w:rsidRPr="0040485A" w:rsidRDefault="008064C0">
      <w:pPr>
        <w:rPr>
          <w:rFonts w:cs="Times New Roman"/>
        </w:rPr>
      </w:pPr>
      <w:r w:rsidRPr="0040485A">
        <w:rPr>
          <w:rFonts w:cs="Times New Roman"/>
          <w:sz w:val="21"/>
        </w:rPr>
        <w:t>National Assembly of Vietnam (2015) Civil Code No. 91/2015/QH13. Hanoi.</w:t>
      </w:r>
    </w:p>
    <w:p w14:paraId="46CA84E7" w14:textId="77777777" w:rsidR="00994AE3" w:rsidRPr="0040485A" w:rsidRDefault="008064C0">
      <w:pPr>
        <w:rPr>
          <w:rFonts w:cs="Times New Roman"/>
        </w:rPr>
      </w:pPr>
      <w:r w:rsidRPr="0040485A">
        <w:rPr>
          <w:rFonts w:cs="Times New Roman"/>
          <w:sz w:val="21"/>
        </w:rPr>
        <w:t>National Assembly of Vietnam (2023) Law on Bidding No. 22/2023/QH15, as amended b</w:t>
      </w:r>
      <w:r w:rsidRPr="0040485A">
        <w:rPr>
          <w:rFonts w:cs="Times New Roman"/>
          <w:sz w:val="21"/>
        </w:rPr>
        <w:t>y Law No. 57/2024/QH15. Hanoi.</w:t>
      </w:r>
    </w:p>
    <w:p w14:paraId="62597738" w14:textId="77777777" w:rsidR="00994AE3" w:rsidRPr="0040485A" w:rsidRDefault="008064C0">
      <w:pPr>
        <w:rPr>
          <w:rFonts w:cs="Times New Roman"/>
        </w:rPr>
      </w:pPr>
      <w:r w:rsidRPr="0040485A">
        <w:rPr>
          <w:rFonts w:cs="Times New Roman"/>
          <w:sz w:val="21"/>
        </w:rPr>
        <w:lastRenderedPageBreak/>
        <w:t>Nguyen, H. et al. (2024) 'The impact of service innovation on customer satisfaction and customer loyalty: a case in Vietnamese retail banks', Future Business Journal, 10(1), p. 14.</w:t>
      </w:r>
    </w:p>
    <w:p w14:paraId="1D3F8F5D" w14:textId="77777777" w:rsidR="00994AE3" w:rsidRPr="0040485A" w:rsidRDefault="008064C0">
      <w:pPr>
        <w:rPr>
          <w:rFonts w:cs="Times New Roman"/>
        </w:rPr>
      </w:pPr>
      <w:r w:rsidRPr="0040485A">
        <w:rPr>
          <w:rFonts w:cs="Times New Roman"/>
          <w:sz w:val="21"/>
        </w:rPr>
        <w:t>Nunnally, J.C. and Bernstein, I.H. (1994) Ps</w:t>
      </w:r>
      <w:r w:rsidRPr="0040485A">
        <w:rPr>
          <w:rFonts w:cs="Times New Roman"/>
          <w:sz w:val="21"/>
        </w:rPr>
        <w:t>ychometric Theory. 3rd edn. New York: McGraw-Hill.</w:t>
      </w:r>
    </w:p>
    <w:p w14:paraId="2A6BAB78" w14:textId="77777777" w:rsidR="00994AE3" w:rsidRPr="0040485A" w:rsidRDefault="008064C0">
      <w:pPr>
        <w:rPr>
          <w:rFonts w:cs="Times New Roman"/>
        </w:rPr>
      </w:pPr>
      <w:r w:rsidRPr="0040485A">
        <w:rPr>
          <w:rFonts w:cs="Times New Roman"/>
          <w:sz w:val="21"/>
        </w:rPr>
        <w:t>Oliver, R.L. (1999) 'Whence Consumer Loyalty?', Journal of Marketing, 63(Special Issue), pp. 33–44.</w:t>
      </w:r>
    </w:p>
    <w:p w14:paraId="7F9DD569" w14:textId="77777777" w:rsidR="00994AE3" w:rsidRPr="0040485A" w:rsidRDefault="008064C0">
      <w:pPr>
        <w:rPr>
          <w:rFonts w:cs="Times New Roman"/>
        </w:rPr>
      </w:pPr>
      <w:r w:rsidRPr="0040485A">
        <w:rPr>
          <w:rFonts w:cs="Times New Roman"/>
          <w:sz w:val="21"/>
        </w:rPr>
        <w:t>Parasuraman, A., Zeithaml, V.A. and Berry, L.L. (1988) 'SERVQUAL: A Multiple-Item Scale for Measuring Con</w:t>
      </w:r>
      <w:r w:rsidRPr="0040485A">
        <w:rPr>
          <w:rFonts w:cs="Times New Roman"/>
          <w:sz w:val="21"/>
        </w:rPr>
        <w:t>sumer Perceptions of Service Quality', Journal of Retailing, 64(1), pp. 12–40.</w:t>
      </w:r>
    </w:p>
    <w:p w14:paraId="65110D89" w14:textId="77777777" w:rsidR="00994AE3" w:rsidRPr="0040485A" w:rsidRDefault="008064C0">
      <w:pPr>
        <w:rPr>
          <w:rFonts w:cs="Times New Roman"/>
        </w:rPr>
      </w:pPr>
      <w:r w:rsidRPr="0040485A">
        <w:rPr>
          <w:rFonts w:cs="Times New Roman"/>
          <w:sz w:val="21"/>
        </w:rPr>
        <w:t>Phan Thi Hang Nga et al. (2024) 'Service quality, customer satisfaction and loyalty: a case study in Vietnamese SMEs', Cogent Business &amp; Management, 11(1), p. 2304512.</w:t>
      </w:r>
    </w:p>
    <w:p w14:paraId="5A412C4A" w14:textId="77777777" w:rsidR="00994AE3" w:rsidRPr="0040485A" w:rsidRDefault="008064C0">
      <w:pPr>
        <w:rPr>
          <w:rFonts w:cs="Times New Roman"/>
        </w:rPr>
      </w:pPr>
      <w:r w:rsidRPr="0040485A">
        <w:rPr>
          <w:rFonts w:cs="Times New Roman"/>
          <w:sz w:val="21"/>
        </w:rPr>
        <w:t>Podsakoff</w:t>
      </w:r>
      <w:r w:rsidRPr="0040485A">
        <w:rPr>
          <w:rFonts w:cs="Times New Roman"/>
          <w:sz w:val="21"/>
        </w:rPr>
        <w:t>, P.M., MacKenzie, S.B., Lee, J.-Y. and Podsakoff, N.P. (2003) 'Common Method Biases in Behavioral Research: A Critical Review of the Literature and Recommended Remedies', Journal of Applied Psychology, 88(5), pp. 879–903.</w:t>
      </w:r>
    </w:p>
    <w:p w14:paraId="114D05D3" w14:textId="77777777" w:rsidR="00994AE3" w:rsidRPr="0040485A" w:rsidRDefault="008064C0">
      <w:pPr>
        <w:rPr>
          <w:rFonts w:cs="Times New Roman"/>
        </w:rPr>
      </w:pPr>
      <w:r w:rsidRPr="0040485A">
        <w:rPr>
          <w:rFonts w:cs="Times New Roman"/>
          <w:sz w:val="21"/>
        </w:rPr>
        <w:t xml:space="preserve">Ramakrishnan, R.T.S. and Thakor, </w:t>
      </w:r>
      <w:r w:rsidRPr="0040485A">
        <w:rPr>
          <w:rFonts w:cs="Times New Roman"/>
          <w:sz w:val="21"/>
        </w:rPr>
        <w:t>A.V. (1984) 'Information Reliability and a Theory of Financial Intermediation', Review of Economic Studies, 51(3), pp. 415–432.</w:t>
      </w:r>
    </w:p>
    <w:p w14:paraId="52E53B8E" w14:textId="77777777" w:rsidR="00994AE3" w:rsidRPr="0040485A" w:rsidRDefault="008064C0">
      <w:pPr>
        <w:rPr>
          <w:rFonts w:cs="Times New Roman"/>
        </w:rPr>
      </w:pPr>
      <w:r w:rsidRPr="0040485A">
        <w:rPr>
          <w:rFonts w:cs="Times New Roman"/>
          <w:sz w:val="21"/>
        </w:rPr>
        <w:t>State Bank of Vietnam (2024) Circular No. 61/2024/TT-NHNN dated 31 December 2024 on bank guarantees (effective 1 April 2025). Ha</w:t>
      </w:r>
      <w:r w:rsidRPr="0040485A">
        <w:rPr>
          <w:rFonts w:cs="Times New Roman"/>
          <w:sz w:val="21"/>
        </w:rPr>
        <w:t>noi: SBV.</w:t>
      </w:r>
    </w:p>
    <w:p w14:paraId="3F2A9080" w14:textId="77777777" w:rsidR="00994AE3" w:rsidRPr="0040485A" w:rsidRDefault="008064C0">
      <w:pPr>
        <w:rPr>
          <w:rFonts w:cs="Times New Roman"/>
        </w:rPr>
      </w:pPr>
      <w:r w:rsidRPr="0040485A">
        <w:rPr>
          <w:rFonts w:cs="Times New Roman"/>
          <w:sz w:val="21"/>
        </w:rPr>
        <w:t>Stiglitz, J.E. and Weiss, A. (1981) 'Credit Rationing in Markets with Imperfect Information', American Economic Review, 71(3), pp. 393–410.</w:t>
      </w:r>
    </w:p>
    <w:p w14:paraId="5EF65723" w14:textId="77777777" w:rsidR="00994AE3" w:rsidRPr="0040485A" w:rsidRDefault="008064C0">
      <w:pPr>
        <w:rPr>
          <w:rFonts w:cs="Times New Roman"/>
        </w:rPr>
      </w:pPr>
      <w:r w:rsidRPr="0040485A">
        <w:rPr>
          <w:rFonts w:cs="Times New Roman"/>
          <w:sz w:val="21"/>
        </w:rPr>
        <w:t>Tabachnick, B.G. and Fidell, L.S. (2019) Using Multivariate Statistics. 7th edn. Boston, MA: Pearson.</w:t>
      </w:r>
    </w:p>
    <w:p w14:paraId="2B79D559" w14:textId="77777777" w:rsidR="00994AE3" w:rsidRPr="0040485A" w:rsidRDefault="008064C0">
      <w:pPr>
        <w:rPr>
          <w:rFonts w:cs="Times New Roman"/>
        </w:rPr>
      </w:pPr>
      <w:r w:rsidRPr="0040485A">
        <w:rPr>
          <w:rFonts w:cs="Times New Roman"/>
          <w:sz w:val="21"/>
        </w:rPr>
        <w:t>Turn</w:t>
      </w:r>
      <w:r w:rsidRPr="0040485A">
        <w:rPr>
          <w:rFonts w:cs="Times New Roman"/>
          <w:sz w:val="21"/>
        </w:rPr>
        <w:t>bull, P.W. and Gibbs, M.L. (1989) 'The Selection of Banks and Banking Services among Corporate Customers in South Africa', International Journal of Bank Marketing, 7(5), pp. 36–42.</w:t>
      </w:r>
    </w:p>
    <w:p w14:paraId="7BFA85EE" w14:textId="77777777" w:rsidR="00994AE3" w:rsidRPr="0040485A" w:rsidRDefault="008064C0">
      <w:pPr>
        <w:rPr>
          <w:rFonts w:cs="Times New Roman"/>
        </w:rPr>
      </w:pPr>
      <w:r w:rsidRPr="0040485A">
        <w:rPr>
          <w:rFonts w:cs="Times New Roman"/>
          <w:sz w:val="21"/>
        </w:rPr>
        <w:t>Venkatesh, V. et al. (2003) 'User Acceptance of Information Technology: Tow</w:t>
      </w:r>
      <w:r w:rsidRPr="0040485A">
        <w:rPr>
          <w:rFonts w:cs="Times New Roman"/>
          <w:sz w:val="21"/>
        </w:rPr>
        <w:t>ard a Unified View', MIS Quarterly, 27(3), pp. 425–478.</w:t>
      </w:r>
    </w:p>
    <w:p w14:paraId="394FF8D2" w14:textId="77777777" w:rsidR="00994AE3" w:rsidRPr="0040485A" w:rsidRDefault="008064C0">
      <w:pPr>
        <w:rPr>
          <w:rFonts w:cs="Times New Roman"/>
        </w:rPr>
      </w:pPr>
      <w:r w:rsidRPr="0040485A">
        <w:rPr>
          <w:rFonts w:cs="Times New Roman"/>
          <w:sz w:val="21"/>
        </w:rPr>
        <w:t>Vietnamese Government (2015) Decree No. 37/2015/ND-CP on construction contracts, as amended by Decree No. 35/2023/ND-CP. Hanoi.</w:t>
      </w:r>
    </w:p>
    <w:p w14:paraId="4C09730B" w14:textId="77777777" w:rsidR="00994AE3" w:rsidRPr="0040485A" w:rsidRDefault="008064C0">
      <w:pPr>
        <w:rPr>
          <w:rFonts w:cs="Times New Roman"/>
        </w:rPr>
      </w:pPr>
      <w:r w:rsidRPr="0040485A">
        <w:rPr>
          <w:rFonts w:cs="Times New Roman"/>
          <w:sz w:val="21"/>
        </w:rPr>
        <w:t>Zeithaml, V.A., Berry, L.L. and Parasuraman, A. (1996) 'The Behavioral Consequences of Service Quality', Journal of</w:t>
      </w:r>
      <w:r w:rsidRPr="0040485A">
        <w:rPr>
          <w:rFonts w:cs="Times New Roman"/>
          <w:sz w:val="21"/>
        </w:rPr>
        <w:t xml:space="preserve"> Marketing, 60(2), pp. 31–46.</w:t>
      </w:r>
    </w:p>
    <w:p w14:paraId="218F5646" w14:textId="77777777" w:rsidR="00994AE3" w:rsidRPr="0040485A" w:rsidRDefault="008064C0">
      <w:pPr>
        <w:rPr>
          <w:rFonts w:cs="Times New Roman"/>
        </w:rPr>
      </w:pPr>
      <w:r w:rsidRPr="0040485A">
        <w:rPr>
          <w:rFonts w:cs="Times New Roman"/>
          <w:sz w:val="21"/>
        </w:rPr>
        <w:t>Zelie, E.M. (2023) 'Factors determining bank selection by micro- and small-sized enterprises: evidence from Ethiopia', International Journal of Bank Marketing, 41(5), pp. 1120–1142.</w:t>
      </w:r>
    </w:p>
    <w:p w14:paraId="12ED76C7" w14:textId="77777777" w:rsidR="00994AE3" w:rsidRPr="0040485A" w:rsidRDefault="008064C0">
      <w:pPr>
        <w:rPr>
          <w:rFonts w:cs="Times New Roman"/>
        </w:rPr>
      </w:pPr>
      <w:r w:rsidRPr="0040485A">
        <w:rPr>
          <w:rFonts w:cs="Times New Roman"/>
        </w:rPr>
        <w:br w:type="page"/>
      </w:r>
    </w:p>
    <w:p w14:paraId="3AF25E6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APPENDICES</w:t>
      </w:r>
    </w:p>
    <w:p w14:paraId="7F1B5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Appendix 1: Sample Demographic </w:t>
      </w:r>
      <w:r w:rsidRPr="0040485A">
        <w:rPr>
          <w:rFonts w:ascii="Times New Roman" w:hAnsi="Times New Roman" w:cs="Times New Roman"/>
        </w:rPr>
        <w:t>Characteristics Output</w:t>
      </w:r>
    </w:p>
    <w:p>
      <w:pPr>
        <w:spacing w:after="80" w:line="360" w:lineRule="auto"/>
        <w:ind w:firstLine="0"/>
        <w:jc w:val="center"/>
      </w:pPr>
      <w:r>
        <w:rPr>
          <w:rFonts w:ascii="Times New Roman" w:hAnsi="Times New Roman"/>
          <w:b/>
          <w:i w:val="0"/>
          <w:sz w:val="22"/>
        </w:rPr>
        <w:t>Table A1.1: Detailed Demographic Profiles of Sampled Enterprises (n = 800)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D9D9D9"/>
          </w:tcPr>
          <w:p>
            <w:pPr>
              <w:spacing w:after="40" w:line="240" w:lineRule="auto"/>
              <w:jc w:val="center"/>
            </w:pPr>
            <w:r/>
            <w:r>
              <w:rPr>
                <w:rFonts w:ascii="Times New Roman" w:hAnsi="Times New Roman"/>
                <w:b/>
                <w:sz w:val="17"/>
              </w:rPr>
              <w:t>Dimension</w:t>
            </w:r>
          </w:p>
        </w:tc>
        <w:tc>
          <w:tcPr>
            <w:tcW w:type="dxa" w:w="3600"/>
            <w:shd w:val="clear" w:color="auto" w:fill="D9D9D9"/>
          </w:tcPr>
          <w:p>
            <w:pPr>
              <w:spacing w:after="40" w:line="240" w:lineRule="auto"/>
              <w:jc w:val="center"/>
            </w:pPr>
            <w:r/>
            <w:r>
              <w:rPr>
                <w:rFonts w:ascii="Times New Roman" w:hAnsi="Times New Roman"/>
                <w:b/>
                <w:sz w:val="17"/>
              </w:rPr>
              <w:t>Classification Category</w:t>
            </w:r>
          </w:p>
        </w:tc>
        <w:tc>
          <w:tcPr>
            <w:tcW w:type="dxa" w:w="1296"/>
            <w:shd w:val="clear" w:color="auto" w:fill="D9D9D9"/>
          </w:tcPr>
          <w:p>
            <w:pPr>
              <w:spacing w:after="40" w:line="240" w:lineRule="auto"/>
              <w:jc w:val="center"/>
            </w:pPr>
            <w:r/>
            <w:r>
              <w:rPr>
                <w:rFonts w:ascii="Times New Roman" w:hAnsi="Times New Roman"/>
                <w:b/>
                <w:sz w:val="17"/>
              </w:rPr>
              <w:t>Frequency (N)</w:t>
            </w:r>
          </w:p>
        </w:tc>
        <w:tc>
          <w:tcPr>
            <w:tcW w:type="dxa" w:w="1296"/>
            <w:shd w:val="clear" w:color="auto" w:fill="D9D9D9"/>
          </w:tcPr>
          <w:p>
            <w:pPr>
              <w:spacing w:after="40" w:line="240" w:lineRule="auto"/>
              <w:jc w:val="center"/>
            </w:pPr>
            <w:r/>
            <w:r>
              <w:rPr>
                <w:rFonts w:ascii="Times New Roman" w:hAnsi="Times New Roman"/>
                <w:b/>
                <w:sz w:val="17"/>
              </w:rPr>
              <w:t>Percentage (%)</w:t>
            </w:r>
          </w:p>
        </w:tc>
        <w:tc>
          <w:tcPr>
            <w:tcW w:type="dxa" w:w="1296"/>
            <w:shd w:val="clear" w:color="auto" w:fill="D9D9D9"/>
          </w:tcPr>
          <w:p>
            <w:pPr>
              <w:spacing w:after="40" w:line="240" w:lineRule="auto"/>
              <w:jc w:val="center"/>
            </w:pPr>
            <w:r/>
            <w:r>
              <w:rPr>
                <w:rFonts w:ascii="Times New Roman" w:hAnsi="Times New Roman"/>
                <w:b/>
                <w:sz w:val="17"/>
              </w:rPr>
              <w:t>Cumulative (%)</w:t>
            </w:r>
          </w:p>
        </w:tc>
      </w:tr>
      <w:tr>
        <w:tc>
          <w:tcPr>
            <w:tcW w:type="dxa" w:w="2592"/>
          </w:tcPr>
          <w:p>
            <w:pPr>
              <w:spacing w:after="40" w:line="240" w:lineRule="auto"/>
              <w:jc w:val="left"/>
            </w:pPr>
            <w:r/>
            <w:r>
              <w:rPr>
                <w:rFonts w:ascii="Times New Roman" w:hAnsi="Times New Roman"/>
                <w:sz w:val="17"/>
              </w:rPr>
              <w:t>Ownership Type</w:t>
            </w:r>
          </w:p>
        </w:tc>
        <w:tc>
          <w:tcPr>
            <w:tcW w:type="dxa" w:w="3600"/>
          </w:tcPr>
          <w:p>
            <w:pPr>
              <w:spacing w:after="40" w:line="240" w:lineRule="auto"/>
              <w:jc w:val="left"/>
            </w:pPr>
            <w:r/>
            <w:r>
              <w:rPr>
                <w:rFonts w:ascii="Times New Roman" w:hAnsi="Times New Roman"/>
                <w:sz w:val="17"/>
              </w:rPr>
              <w:t>Doanh nghiệp tư nhân / TNHH</w:t>
            </w:r>
          </w:p>
        </w:tc>
        <w:tc>
          <w:tcPr>
            <w:tcW w:type="dxa" w:w="1296"/>
          </w:tcPr>
          <w:p>
            <w:pPr>
              <w:spacing w:after="40" w:line="240" w:lineRule="auto"/>
              <w:jc w:val="left"/>
            </w:pPr>
            <w:r/>
            <w:r>
              <w:rPr>
                <w:rFonts w:ascii="Times New Roman" w:hAnsi="Times New Roman"/>
                <w:sz w:val="17"/>
              </w:rPr>
              <w:t>320</w:t>
            </w:r>
          </w:p>
        </w:tc>
        <w:tc>
          <w:tcPr>
            <w:tcW w:type="dxa" w:w="1296"/>
          </w:tcPr>
          <w:p>
            <w:pPr>
              <w:spacing w:after="40" w:line="240" w:lineRule="auto"/>
              <w:jc w:val="left"/>
            </w:pPr>
            <w:r/>
            <w:r>
              <w:rPr>
                <w:rFonts w:ascii="Times New Roman" w:hAnsi="Times New Roman"/>
                <w:sz w:val="17"/>
              </w:rPr>
              <w:t>40.00%</w:t>
            </w:r>
          </w:p>
        </w:tc>
        <w:tc>
          <w:tcPr>
            <w:tcW w:type="dxa" w:w="1296"/>
          </w:tcPr>
          <w:p>
            <w:pPr>
              <w:spacing w:after="40" w:line="240" w:lineRule="auto"/>
              <w:jc w:val="center"/>
            </w:pPr>
            <w:r/>
            <w:r>
              <w:rPr>
                <w:rFonts w:ascii="Times New Roman" w:hAnsi="Times New Roman"/>
                <w:sz w:val="17"/>
              </w:rPr>
              <w:t>40.00%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Công ty Cổ phần ngoài quốc doanh</w:t>
            </w:r>
          </w:p>
        </w:tc>
        <w:tc>
          <w:tcPr>
            <w:tcW w:type="dxa" w:w="1296"/>
          </w:tcPr>
          <w:p>
            <w:pPr>
              <w:spacing w:after="40" w:line="240" w:lineRule="auto"/>
              <w:jc w:val="left"/>
            </w:pPr>
            <w:r/>
            <w:r>
              <w:rPr>
                <w:rFonts w:ascii="Times New Roman" w:hAnsi="Times New Roman"/>
                <w:sz w:val="17"/>
              </w:rPr>
              <w:t>264</w:t>
            </w:r>
          </w:p>
        </w:tc>
        <w:tc>
          <w:tcPr>
            <w:tcW w:type="dxa" w:w="1296"/>
          </w:tcPr>
          <w:p>
            <w:pPr>
              <w:spacing w:after="40" w:line="240" w:lineRule="auto"/>
              <w:jc w:val="left"/>
            </w:pPr>
            <w:r/>
            <w:r>
              <w:rPr>
                <w:rFonts w:ascii="Times New Roman" w:hAnsi="Times New Roman"/>
                <w:sz w:val="17"/>
              </w:rPr>
              <w:t>33.00%</w:t>
            </w:r>
          </w:p>
        </w:tc>
        <w:tc>
          <w:tcPr>
            <w:tcW w:type="dxa" w:w="1296"/>
          </w:tcPr>
          <w:p>
            <w:pPr>
              <w:spacing w:after="40" w:line="240" w:lineRule="auto"/>
              <w:jc w:val="center"/>
            </w:pPr>
            <w:r/>
            <w:r>
              <w:rPr>
                <w:rFonts w:ascii="Times New Roman" w:hAnsi="Times New Roman"/>
                <w:sz w:val="17"/>
              </w:rPr>
              <w:t>73.00%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Doanh nghiệp Nhà nước (SOEs)</w:t>
            </w:r>
          </w:p>
        </w:tc>
        <w:tc>
          <w:tcPr>
            <w:tcW w:type="dxa" w:w="1296"/>
          </w:tcPr>
          <w:p>
            <w:pPr>
              <w:spacing w:after="40" w:line="240" w:lineRule="auto"/>
              <w:jc w:val="left"/>
            </w:pPr>
            <w:r/>
            <w:r>
              <w:rPr>
                <w:rFonts w:ascii="Times New Roman" w:hAnsi="Times New Roman"/>
                <w:sz w:val="17"/>
              </w:rPr>
              <w:t>105</w:t>
            </w:r>
          </w:p>
        </w:tc>
        <w:tc>
          <w:tcPr>
            <w:tcW w:type="dxa" w:w="1296"/>
          </w:tcPr>
          <w:p>
            <w:pPr>
              <w:spacing w:after="40" w:line="240" w:lineRule="auto"/>
              <w:jc w:val="left"/>
            </w:pPr>
            <w:r/>
            <w:r>
              <w:rPr>
                <w:rFonts w:ascii="Times New Roman" w:hAnsi="Times New Roman"/>
                <w:sz w:val="17"/>
              </w:rPr>
              <w:t>13.12%</w:t>
            </w:r>
          </w:p>
        </w:tc>
        <w:tc>
          <w:tcPr>
            <w:tcW w:type="dxa" w:w="1296"/>
          </w:tcPr>
          <w:p>
            <w:pPr>
              <w:spacing w:after="40" w:line="240" w:lineRule="auto"/>
              <w:jc w:val="center"/>
            </w:pPr>
            <w:r/>
            <w:r>
              <w:rPr>
                <w:rFonts w:ascii="Times New Roman" w:hAnsi="Times New Roman"/>
                <w:sz w:val="17"/>
              </w:rPr>
              <w:t>86.12%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Doanh nghiệp FDI</w:t>
            </w:r>
          </w:p>
        </w:tc>
        <w:tc>
          <w:tcPr>
            <w:tcW w:type="dxa" w:w="1296"/>
          </w:tcPr>
          <w:p>
            <w:pPr>
              <w:spacing w:after="40" w:line="240" w:lineRule="auto"/>
              <w:jc w:val="left"/>
            </w:pPr>
            <w:r/>
            <w:r>
              <w:rPr>
                <w:rFonts w:ascii="Times New Roman" w:hAnsi="Times New Roman"/>
                <w:sz w:val="17"/>
              </w:rPr>
              <w:t>99</w:t>
            </w:r>
          </w:p>
        </w:tc>
        <w:tc>
          <w:tcPr>
            <w:tcW w:type="dxa" w:w="1296"/>
          </w:tcPr>
          <w:p>
            <w:pPr>
              <w:spacing w:after="40" w:line="240" w:lineRule="auto"/>
              <w:jc w:val="left"/>
            </w:pPr>
            <w:r/>
            <w:r>
              <w:rPr>
                <w:rFonts w:ascii="Times New Roman" w:hAnsi="Times New Roman"/>
                <w:sz w:val="17"/>
              </w:rPr>
              <w:t>12.38%</w:t>
            </w:r>
          </w:p>
        </w:tc>
        <w:tc>
          <w:tcPr>
            <w:tcW w:type="dxa" w:w="1296"/>
          </w:tcPr>
          <w:p>
            <w:pPr>
              <w:spacing w:after="40" w:line="240" w:lineRule="auto"/>
              <w:jc w:val="center"/>
            </w:pPr>
            <w:r/>
            <w:r>
              <w:rPr>
                <w:rFonts w:ascii="Times New Roman" w:hAnsi="Times New Roman"/>
                <w:sz w:val="17"/>
              </w:rPr>
              <w:t>98.50%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Khác</w:t>
            </w:r>
          </w:p>
        </w:tc>
        <w:tc>
          <w:tcPr>
            <w:tcW w:type="dxa" w:w="1296"/>
          </w:tcPr>
          <w:p>
            <w:pPr>
              <w:spacing w:after="40" w:line="240" w:lineRule="auto"/>
              <w:jc w:val="left"/>
            </w:pPr>
            <w:r/>
            <w:r>
              <w:rPr>
                <w:rFonts w:ascii="Times New Roman" w:hAnsi="Times New Roman"/>
                <w:sz w:val="17"/>
              </w:rPr>
              <w:t>12</w:t>
            </w:r>
          </w:p>
        </w:tc>
        <w:tc>
          <w:tcPr>
            <w:tcW w:type="dxa" w:w="1296"/>
          </w:tcPr>
          <w:p>
            <w:pPr>
              <w:spacing w:after="40" w:line="240" w:lineRule="auto"/>
              <w:jc w:val="left"/>
            </w:pPr>
            <w:r/>
            <w:r>
              <w:rPr>
                <w:rFonts w:ascii="Times New Roman" w:hAnsi="Times New Roman"/>
                <w:sz w:val="17"/>
              </w:rPr>
              <w:t>1.50%</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Annual Revenue Scale</w:t>
            </w:r>
          </w:p>
        </w:tc>
        <w:tc>
          <w:tcPr>
            <w:tcW w:type="dxa" w:w="3600"/>
          </w:tcPr>
          <w:p>
            <w:pPr>
              <w:spacing w:after="40" w:line="240" w:lineRule="auto"/>
              <w:jc w:val="left"/>
            </w:pPr>
            <w:r/>
            <w:r>
              <w:rPr>
                <w:rFonts w:ascii="Times New Roman" w:hAnsi="Times New Roman"/>
                <w:sz w:val="17"/>
              </w:rPr>
              <w:t>Dưới 20 tỷ VND (Siêu nhỏ &amp; nhỏ)</w:t>
            </w:r>
          </w:p>
        </w:tc>
        <w:tc>
          <w:tcPr>
            <w:tcW w:type="dxa" w:w="1296"/>
          </w:tcPr>
          <w:p>
            <w:pPr>
              <w:spacing w:after="40" w:line="240" w:lineRule="auto"/>
              <w:jc w:val="left"/>
            </w:pPr>
            <w:r/>
            <w:r>
              <w:rPr>
                <w:rFonts w:ascii="Times New Roman" w:hAnsi="Times New Roman"/>
                <w:sz w:val="17"/>
              </w:rPr>
              <w:t>240</w:t>
            </w:r>
          </w:p>
        </w:tc>
        <w:tc>
          <w:tcPr>
            <w:tcW w:type="dxa" w:w="1296"/>
          </w:tcPr>
          <w:p>
            <w:pPr>
              <w:spacing w:after="40" w:line="240" w:lineRule="auto"/>
              <w:jc w:val="left"/>
            </w:pPr>
            <w:r/>
            <w:r>
              <w:rPr>
                <w:rFonts w:ascii="Times New Roman" w:hAnsi="Times New Roman"/>
                <w:sz w:val="17"/>
              </w:rPr>
              <w:t>30.00%</w:t>
            </w:r>
          </w:p>
        </w:tc>
        <w:tc>
          <w:tcPr>
            <w:tcW w:type="dxa" w:w="1296"/>
          </w:tcPr>
          <w:p>
            <w:pPr>
              <w:spacing w:after="40" w:line="240" w:lineRule="auto"/>
              <w:jc w:val="center"/>
            </w:pPr>
            <w:r/>
            <w:r>
              <w:rPr>
                <w:rFonts w:ascii="Times New Roman" w:hAnsi="Times New Roman"/>
                <w:sz w:val="17"/>
              </w:rPr>
              <w:t>30.00%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20 đến dưới 100 tỷ VND (Vừa)</w:t>
            </w:r>
          </w:p>
        </w:tc>
        <w:tc>
          <w:tcPr>
            <w:tcW w:type="dxa" w:w="1296"/>
          </w:tcPr>
          <w:p>
            <w:pPr>
              <w:spacing w:after="40" w:line="240" w:lineRule="auto"/>
              <w:jc w:val="left"/>
            </w:pPr>
            <w:r/>
            <w:r>
              <w:rPr>
                <w:rFonts w:ascii="Times New Roman" w:hAnsi="Times New Roman"/>
                <w:sz w:val="17"/>
              </w:rPr>
              <w:t>299</w:t>
            </w:r>
          </w:p>
        </w:tc>
        <w:tc>
          <w:tcPr>
            <w:tcW w:type="dxa" w:w="1296"/>
          </w:tcPr>
          <w:p>
            <w:pPr>
              <w:spacing w:after="40" w:line="240" w:lineRule="auto"/>
              <w:jc w:val="left"/>
            </w:pPr>
            <w:r/>
            <w:r>
              <w:rPr>
                <w:rFonts w:ascii="Times New Roman" w:hAnsi="Times New Roman"/>
                <w:sz w:val="17"/>
              </w:rPr>
              <w:t>37.38%</w:t>
            </w:r>
          </w:p>
        </w:tc>
        <w:tc>
          <w:tcPr>
            <w:tcW w:type="dxa" w:w="1296"/>
          </w:tcPr>
          <w:p>
            <w:pPr>
              <w:spacing w:after="40" w:line="240" w:lineRule="auto"/>
              <w:jc w:val="center"/>
            </w:pPr>
            <w:r/>
            <w:r>
              <w:rPr>
                <w:rFonts w:ascii="Times New Roman" w:hAnsi="Times New Roman"/>
                <w:sz w:val="17"/>
              </w:rPr>
              <w:t>67.38%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100 đến dưới 500 tỷ VND (Lớn)</w:t>
            </w:r>
          </w:p>
        </w:tc>
        <w:tc>
          <w:tcPr>
            <w:tcW w:type="dxa" w:w="1296"/>
          </w:tcPr>
          <w:p>
            <w:pPr>
              <w:spacing w:after="40" w:line="240" w:lineRule="auto"/>
              <w:jc w:val="left"/>
            </w:pPr>
            <w:r/>
            <w:r>
              <w:rPr>
                <w:rFonts w:ascii="Times New Roman" w:hAnsi="Times New Roman"/>
                <w:sz w:val="17"/>
              </w:rPr>
              <w:t>188</w:t>
            </w:r>
          </w:p>
        </w:tc>
        <w:tc>
          <w:tcPr>
            <w:tcW w:type="dxa" w:w="1296"/>
          </w:tcPr>
          <w:p>
            <w:pPr>
              <w:spacing w:after="40" w:line="240" w:lineRule="auto"/>
              <w:jc w:val="left"/>
            </w:pPr>
            <w:r/>
            <w:r>
              <w:rPr>
                <w:rFonts w:ascii="Times New Roman" w:hAnsi="Times New Roman"/>
                <w:sz w:val="17"/>
              </w:rPr>
              <w:t>23.50%</w:t>
            </w:r>
          </w:p>
        </w:tc>
        <w:tc>
          <w:tcPr>
            <w:tcW w:type="dxa" w:w="1296"/>
          </w:tcPr>
          <w:p>
            <w:pPr>
              <w:spacing w:after="40" w:line="240" w:lineRule="auto"/>
              <w:jc w:val="center"/>
            </w:pPr>
            <w:r/>
            <w:r>
              <w:rPr>
                <w:rFonts w:ascii="Times New Roman" w:hAnsi="Times New Roman"/>
                <w:sz w:val="17"/>
              </w:rPr>
              <w:t>90.88%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500 tỷ VND trở lên (Rất lớn)</w:t>
            </w:r>
          </w:p>
        </w:tc>
        <w:tc>
          <w:tcPr>
            <w:tcW w:type="dxa" w:w="1296"/>
          </w:tcPr>
          <w:p>
            <w:pPr>
              <w:spacing w:after="40" w:line="240" w:lineRule="auto"/>
              <w:jc w:val="left"/>
            </w:pPr>
            <w:r/>
            <w:r>
              <w:rPr>
                <w:rFonts w:ascii="Times New Roman" w:hAnsi="Times New Roman"/>
                <w:sz w:val="17"/>
              </w:rPr>
              <w:t>73</w:t>
            </w:r>
          </w:p>
        </w:tc>
        <w:tc>
          <w:tcPr>
            <w:tcW w:type="dxa" w:w="1296"/>
          </w:tcPr>
          <w:p>
            <w:pPr>
              <w:spacing w:after="40" w:line="240" w:lineRule="auto"/>
              <w:jc w:val="left"/>
            </w:pPr>
            <w:r/>
            <w:r>
              <w:rPr>
                <w:rFonts w:ascii="Times New Roman" w:hAnsi="Times New Roman"/>
                <w:sz w:val="17"/>
              </w:rPr>
              <w:t>9.12%</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Operating Tenure</w:t>
            </w:r>
          </w:p>
        </w:tc>
        <w:tc>
          <w:tcPr>
            <w:tcW w:type="dxa" w:w="3600"/>
          </w:tcPr>
          <w:p>
            <w:pPr>
              <w:spacing w:after="40" w:line="240" w:lineRule="auto"/>
              <w:jc w:val="left"/>
            </w:pPr>
            <w:r/>
            <w:r>
              <w:rPr>
                <w:rFonts w:ascii="Times New Roman" w:hAnsi="Times New Roman"/>
                <w:sz w:val="17"/>
              </w:rPr>
              <w:t>Dưới 3 năm</w:t>
            </w:r>
          </w:p>
        </w:tc>
        <w:tc>
          <w:tcPr>
            <w:tcW w:type="dxa" w:w="1296"/>
          </w:tcPr>
          <w:p>
            <w:pPr>
              <w:spacing w:after="40" w:line="240" w:lineRule="auto"/>
              <w:jc w:val="left"/>
            </w:pPr>
            <w:r/>
            <w:r>
              <w:rPr>
                <w:rFonts w:ascii="Times New Roman" w:hAnsi="Times New Roman"/>
                <w:sz w:val="17"/>
              </w:rPr>
              <w:t>142</w:t>
            </w:r>
          </w:p>
        </w:tc>
        <w:tc>
          <w:tcPr>
            <w:tcW w:type="dxa" w:w="1296"/>
          </w:tcPr>
          <w:p>
            <w:pPr>
              <w:spacing w:after="40" w:line="240" w:lineRule="auto"/>
              <w:jc w:val="left"/>
            </w:pPr>
            <w:r/>
            <w:r>
              <w:rPr>
                <w:rFonts w:ascii="Times New Roman" w:hAnsi="Times New Roman"/>
                <w:sz w:val="17"/>
              </w:rPr>
              <w:t>17.75%</w:t>
            </w:r>
          </w:p>
        </w:tc>
        <w:tc>
          <w:tcPr>
            <w:tcW w:type="dxa" w:w="1296"/>
          </w:tcPr>
          <w:p>
            <w:pPr>
              <w:spacing w:after="40" w:line="240" w:lineRule="auto"/>
              <w:jc w:val="center"/>
            </w:pPr>
            <w:r/>
            <w:r>
              <w:rPr>
                <w:rFonts w:ascii="Times New Roman" w:hAnsi="Times New Roman"/>
                <w:sz w:val="17"/>
              </w:rPr>
              <w:t>17.75%</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3 đến dưới 5 năm</w:t>
            </w:r>
          </w:p>
        </w:tc>
        <w:tc>
          <w:tcPr>
            <w:tcW w:type="dxa" w:w="1296"/>
          </w:tcPr>
          <w:p>
            <w:pPr>
              <w:spacing w:after="40" w:line="240" w:lineRule="auto"/>
              <w:jc w:val="left"/>
            </w:pPr>
            <w:r/>
            <w:r>
              <w:rPr>
                <w:rFonts w:ascii="Times New Roman" w:hAnsi="Times New Roman"/>
                <w:sz w:val="17"/>
              </w:rPr>
              <w:t>195</w:t>
            </w:r>
          </w:p>
        </w:tc>
        <w:tc>
          <w:tcPr>
            <w:tcW w:type="dxa" w:w="1296"/>
          </w:tcPr>
          <w:p>
            <w:pPr>
              <w:spacing w:after="40" w:line="240" w:lineRule="auto"/>
              <w:jc w:val="left"/>
            </w:pPr>
            <w:r/>
            <w:r>
              <w:rPr>
                <w:rFonts w:ascii="Times New Roman" w:hAnsi="Times New Roman"/>
                <w:sz w:val="17"/>
              </w:rPr>
              <w:t>24.38%</w:t>
            </w:r>
          </w:p>
        </w:tc>
        <w:tc>
          <w:tcPr>
            <w:tcW w:type="dxa" w:w="1296"/>
          </w:tcPr>
          <w:p>
            <w:pPr>
              <w:spacing w:after="40" w:line="240" w:lineRule="auto"/>
              <w:jc w:val="center"/>
            </w:pPr>
            <w:r/>
            <w:r>
              <w:rPr>
                <w:rFonts w:ascii="Times New Roman" w:hAnsi="Times New Roman"/>
                <w:sz w:val="17"/>
              </w:rPr>
              <w:t>42.13%</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5 đến dưới 10 năm</w:t>
            </w:r>
          </w:p>
        </w:tc>
        <w:tc>
          <w:tcPr>
            <w:tcW w:type="dxa" w:w="1296"/>
          </w:tcPr>
          <w:p>
            <w:pPr>
              <w:spacing w:after="40" w:line="240" w:lineRule="auto"/>
              <w:jc w:val="left"/>
            </w:pPr>
            <w:r/>
            <w:r>
              <w:rPr>
                <w:rFonts w:ascii="Times New Roman" w:hAnsi="Times New Roman"/>
                <w:sz w:val="17"/>
              </w:rPr>
              <w:t>290</w:t>
            </w:r>
          </w:p>
        </w:tc>
        <w:tc>
          <w:tcPr>
            <w:tcW w:type="dxa" w:w="1296"/>
          </w:tcPr>
          <w:p>
            <w:pPr>
              <w:spacing w:after="40" w:line="240" w:lineRule="auto"/>
              <w:jc w:val="left"/>
            </w:pPr>
            <w:r/>
            <w:r>
              <w:rPr>
                <w:rFonts w:ascii="Times New Roman" w:hAnsi="Times New Roman"/>
                <w:sz w:val="17"/>
              </w:rPr>
              <w:t>36.25%</w:t>
            </w:r>
          </w:p>
        </w:tc>
        <w:tc>
          <w:tcPr>
            <w:tcW w:type="dxa" w:w="1296"/>
          </w:tcPr>
          <w:p>
            <w:pPr>
              <w:spacing w:after="40" w:line="240" w:lineRule="auto"/>
              <w:jc w:val="center"/>
            </w:pPr>
            <w:r/>
            <w:r>
              <w:rPr>
                <w:rFonts w:ascii="Times New Roman" w:hAnsi="Times New Roman"/>
                <w:sz w:val="17"/>
              </w:rPr>
              <w:t>78.38%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10 năm trở lên</w:t>
            </w:r>
          </w:p>
        </w:tc>
        <w:tc>
          <w:tcPr>
            <w:tcW w:type="dxa" w:w="1296"/>
          </w:tcPr>
          <w:p>
            <w:pPr>
              <w:spacing w:after="40" w:line="240" w:lineRule="auto"/>
              <w:jc w:val="left"/>
            </w:pPr>
            <w:r/>
            <w:r>
              <w:rPr>
                <w:rFonts w:ascii="Times New Roman" w:hAnsi="Times New Roman"/>
                <w:sz w:val="17"/>
              </w:rPr>
              <w:t>173</w:t>
            </w:r>
          </w:p>
        </w:tc>
        <w:tc>
          <w:tcPr>
            <w:tcW w:type="dxa" w:w="1296"/>
          </w:tcPr>
          <w:p>
            <w:pPr>
              <w:spacing w:after="40" w:line="240" w:lineRule="auto"/>
              <w:jc w:val="left"/>
            </w:pPr>
            <w:r/>
            <w:r>
              <w:rPr>
                <w:rFonts w:ascii="Times New Roman" w:hAnsi="Times New Roman"/>
                <w:sz w:val="17"/>
              </w:rPr>
              <w:t>21.62%</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Primary Product</w:t>
            </w:r>
          </w:p>
        </w:tc>
        <w:tc>
          <w:tcPr>
            <w:tcW w:type="dxa" w:w="3600"/>
          </w:tcPr>
          <w:p>
            <w:pPr>
              <w:spacing w:after="40" w:line="240" w:lineRule="auto"/>
              <w:jc w:val="left"/>
            </w:pPr>
            <w:r/>
            <w:r>
              <w:rPr>
                <w:rFonts w:ascii="Times New Roman" w:hAnsi="Times New Roman"/>
                <w:sz w:val="17"/>
              </w:rPr>
              <w:t>Bảo lãnh dự thầu (Tender Guarantee)</w:t>
            </w:r>
          </w:p>
        </w:tc>
        <w:tc>
          <w:tcPr>
            <w:tcW w:type="dxa" w:w="1296"/>
          </w:tcPr>
          <w:p>
            <w:pPr>
              <w:spacing w:after="40" w:line="240" w:lineRule="auto"/>
              <w:jc w:val="left"/>
            </w:pPr>
            <w:r/>
            <w:r>
              <w:rPr>
                <w:rFonts w:ascii="Times New Roman" w:hAnsi="Times New Roman"/>
                <w:sz w:val="17"/>
              </w:rPr>
              <w:t>279</w:t>
            </w:r>
          </w:p>
        </w:tc>
        <w:tc>
          <w:tcPr>
            <w:tcW w:type="dxa" w:w="1296"/>
          </w:tcPr>
          <w:p>
            <w:pPr>
              <w:spacing w:after="40" w:line="240" w:lineRule="auto"/>
              <w:jc w:val="left"/>
            </w:pPr>
            <w:r/>
            <w:r>
              <w:rPr>
                <w:rFonts w:ascii="Times New Roman" w:hAnsi="Times New Roman"/>
                <w:sz w:val="17"/>
              </w:rPr>
              <w:t>34.88%</w:t>
            </w:r>
          </w:p>
        </w:tc>
        <w:tc>
          <w:tcPr>
            <w:tcW w:type="dxa" w:w="1296"/>
          </w:tcPr>
          <w:p>
            <w:pPr>
              <w:spacing w:after="40" w:line="240" w:lineRule="auto"/>
              <w:jc w:val="center"/>
            </w:pPr>
            <w:r/>
            <w:r>
              <w:rPr>
                <w:rFonts w:ascii="Times New Roman" w:hAnsi="Times New Roman"/>
                <w:sz w:val="17"/>
              </w:rPr>
              <w:t>34.88%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thực hiện hợp đồng (Performance Guarantee)</w:t>
            </w:r>
          </w:p>
        </w:tc>
        <w:tc>
          <w:tcPr>
            <w:tcW w:type="dxa" w:w="1296"/>
          </w:tcPr>
          <w:p>
            <w:pPr>
              <w:spacing w:after="40" w:line="240" w:lineRule="auto"/>
              <w:jc w:val="left"/>
            </w:pPr>
            <w:r/>
            <w:r>
              <w:rPr>
                <w:rFonts w:ascii="Times New Roman" w:hAnsi="Times New Roman"/>
                <w:sz w:val="17"/>
              </w:rPr>
              <w:t>252</w:t>
            </w:r>
          </w:p>
        </w:tc>
        <w:tc>
          <w:tcPr>
            <w:tcW w:type="dxa" w:w="1296"/>
          </w:tcPr>
          <w:p>
            <w:pPr>
              <w:spacing w:after="40" w:line="240" w:lineRule="auto"/>
              <w:jc w:val="left"/>
            </w:pPr>
            <w:r/>
            <w:r>
              <w:rPr>
                <w:rFonts w:ascii="Times New Roman" w:hAnsi="Times New Roman"/>
                <w:sz w:val="17"/>
              </w:rPr>
              <w:t>31.50%</w:t>
            </w:r>
          </w:p>
        </w:tc>
        <w:tc>
          <w:tcPr>
            <w:tcW w:type="dxa" w:w="1296"/>
          </w:tcPr>
          <w:p>
            <w:pPr>
              <w:spacing w:after="40" w:line="240" w:lineRule="auto"/>
              <w:jc w:val="center"/>
            </w:pPr>
            <w:r/>
            <w:r>
              <w:rPr>
                <w:rFonts w:ascii="Times New Roman" w:hAnsi="Times New Roman"/>
                <w:sz w:val="17"/>
              </w:rPr>
              <w:t>66.38%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tạm ứng (Advance Payment Guarantee)</w:t>
            </w:r>
          </w:p>
        </w:tc>
        <w:tc>
          <w:tcPr>
            <w:tcW w:type="dxa" w:w="1296"/>
          </w:tcPr>
          <w:p>
            <w:pPr>
              <w:spacing w:after="40" w:line="240" w:lineRule="auto"/>
              <w:jc w:val="left"/>
            </w:pPr>
            <w:r/>
            <w:r>
              <w:rPr>
                <w:rFonts w:ascii="Times New Roman" w:hAnsi="Times New Roman"/>
                <w:sz w:val="17"/>
              </w:rPr>
              <w:t>138</w:t>
            </w:r>
          </w:p>
        </w:tc>
        <w:tc>
          <w:tcPr>
            <w:tcW w:type="dxa" w:w="1296"/>
          </w:tcPr>
          <w:p>
            <w:pPr>
              <w:spacing w:after="40" w:line="240" w:lineRule="auto"/>
              <w:jc w:val="left"/>
            </w:pPr>
            <w:r/>
            <w:r>
              <w:rPr>
                <w:rFonts w:ascii="Times New Roman" w:hAnsi="Times New Roman"/>
                <w:sz w:val="17"/>
              </w:rPr>
              <w:t>17.25%</w:t>
            </w:r>
          </w:p>
        </w:tc>
        <w:tc>
          <w:tcPr>
            <w:tcW w:type="dxa" w:w="1296"/>
          </w:tcPr>
          <w:p>
            <w:pPr>
              <w:spacing w:after="40" w:line="240" w:lineRule="auto"/>
              <w:jc w:val="center"/>
            </w:pPr>
            <w:r/>
            <w:r>
              <w:rPr>
                <w:rFonts w:ascii="Times New Roman" w:hAnsi="Times New Roman"/>
                <w:sz w:val="17"/>
              </w:rPr>
              <w:t>83.63%</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bảo hành (Warranty Guarantee)</w:t>
            </w:r>
          </w:p>
        </w:tc>
        <w:tc>
          <w:tcPr>
            <w:tcW w:type="dxa" w:w="1296"/>
          </w:tcPr>
          <w:p>
            <w:pPr>
              <w:spacing w:after="40" w:line="240" w:lineRule="auto"/>
              <w:jc w:val="left"/>
            </w:pPr>
            <w:r/>
            <w:r>
              <w:rPr>
                <w:rFonts w:ascii="Times New Roman" w:hAnsi="Times New Roman"/>
                <w:sz w:val="17"/>
              </w:rPr>
              <w:t>96</w:t>
            </w:r>
          </w:p>
        </w:tc>
        <w:tc>
          <w:tcPr>
            <w:tcW w:type="dxa" w:w="1296"/>
          </w:tcPr>
          <w:p>
            <w:pPr>
              <w:spacing w:after="40" w:line="240" w:lineRule="auto"/>
              <w:jc w:val="left"/>
            </w:pPr>
            <w:r/>
            <w:r>
              <w:rPr>
                <w:rFonts w:ascii="Times New Roman" w:hAnsi="Times New Roman"/>
                <w:sz w:val="17"/>
              </w:rPr>
              <w:t>12.00%</w:t>
            </w:r>
          </w:p>
        </w:tc>
        <w:tc>
          <w:tcPr>
            <w:tcW w:type="dxa" w:w="1296"/>
          </w:tcPr>
          <w:p>
            <w:pPr>
              <w:spacing w:after="40" w:line="240" w:lineRule="auto"/>
              <w:jc w:val="center"/>
            </w:pPr>
            <w:r/>
            <w:r>
              <w:rPr>
                <w:rFonts w:ascii="Times New Roman" w:hAnsi="Times New Roman"/>
                <w:sz w:val="17"/>
              </w:rPr>
              <w:t>95.63%</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khác (Thanh toán, đối ứng...)</w:t>
            </w:r>
          </w:p>
        </w:tc>
        <w:tc>
          <w:tcPr>
            <w:tcW w:type="dxa" w:w="1296"/>
          </w:tcPr>
          <w:p>
            <w:pPr>
              <w:spacing w:after="40" w:line="240" w:lineRule="auto"/>
              <w:jc w:val="left"/>
            </w:pPr>
            <w:r/>
            <w:r>
              <w:rPr>
                <w:rFonts w:ascii="Times New Roman" w:hAnsi="Times New Roman"/>
                <w:sz w:val="17"/>
              </w:rPr>
              <w:t>35</w:t>
            </w:r>
          </w:p>
        </w:tc>
        <w:tc>
          <w:tcPr>
            <w:tcW w:type="dxa" w:w="1296"/>
          </w:tcPr>
          <w:p>
            <w:pPr>
              <w:spacing w:after="40" w:line="240" w:lineRule="auto"/>
              <w:jc w:val="left"/>
            </w:pPr>
            <w:r/>
            <w:r>
              <w:rPr>
                <w:rFonts w:ascii="Times New Roman" w:hAnsi="Times New Roman"/>
                <w:sz w:val="17"/>
              </w:rPr>
              <w:t>4.38%</w:t>
            </w:r>
          </w:p>
        </w:tc>
        <w:tc>
          <w:tcPr>
            <w:tcW w:type="dxa" w:w="1296"/>
          </w:tcPr>
          <w:p>
            <w:pPr>
              <w:spacing w:after="40" w:line="240" w:lineRule="auto"/>
              <w:jc w:val="center"/>
            </w:pPr>
            <w:r/>
            <w:r>
              <w:rPr>
                <w:rFonts w:ascii="Times New Roman" w:hAnsi="Times New Roman"/>
                <w:sz w:val="17"/>
              </w:rPr>
              <w:t>100.01%</w:t>
            </w:r>
          </w:p>
        </w:tc>
      </w:tr>
      <w:tr>
        <w:tc>
          <w:tcPr>
            <w:tcW w:type="dxa" w:w="2592"/>
          </w:tcPr>
          <w:p>
            <w:pPr>
              <w:spacing w:after="40" w:line="240" w:lineRule="auto"/>
              <w:jc w:val="left"/>
            </w:pPr>
            <w:r/>
            <w:r>
              <w:rPr>
                <w:rFonts w:ascii="Times New Roman" w:hAnsi="Times New Roman"/>
                <w:sz w:val="17"/>
              </w:rPr>
              <w:t>Banking Scope</w:t>
            </w:r>
          </w:p>
        </w:tc>
        <w:tc>
          <w:tcPr>
            <w:tcW w:type="dxa" w:w="3600"/>
          </w:tcPr>
          <w:p>
            <w:pPr>
              <w:spacing w:after="40" w:line="240" w:lineRule="auto"/>
              <w:jc w:val="left"/>
            </w:pPr>
            <w:r/>
            <w:r>
              <w:rPr>
                <w:rFonts w:ascii="Times New Roman" w:hAnsi="Times New Roman"/>
                <w:sz w:val="17"/>
              </w:rPr>
              <w:t>Chỉ 1 ngân hàng (VietinBank - Đơn ngân hàng)</w:t>
            </w:r>
          </w:p>
        </w:tc>
        <w:tc>
          <w:tcPr>
            <w:tcW w:type="dxa" w:w="1296"/>
          </w:tcPr>
          <w:p>
            <w:pPr>
              <w:spacing w:after="40" w:line="240" w:lineRule="auto"/>
              <w:jc w:val="left"/>
            </w:pPr>
            <w:r/>
            <w:r>
              <w:rPr>
                <w:rFonts w:ascii="Times New Roman" w:hAnsi="Times New Roman"/>
                <w:sz w:val="17"/>
              </w:rPr>
              <w:t>212</w:t>
            </w:r>
          </w:p>
        </w:tc>
        <w:tc>
          <w:tcPr>
            <w:tcW w:type="dxa" w:w="1296"/>
          </w:tcPr>
          <w:p>
            <w:pPr>
              <w:spacing w:after="40" w:line="240" w:lineRule="auto"/>
              <w:jc w:val="left"/>
            </w:pPr>
            <w:r/>
            <w:r>
              <w:rPr>
                <w:rFonts w:ascii="Times New Roman" w:hAnsi="Times New Roman"/>
                <w:sz w:val="17"/>
              </w:rPr>
              <w:t>26.50%</w:t>
            </w:r>
          </w:p>
        </w:tc>
        <w:tc>
          <w:tcPr>
            <w:tcW w:type="dxa" w:w="1296"/>
          </w:tcPr>
          <w:p>
            <w:pPr>
              <w:spacing w:after="40" w:line="240" w:lineRule="auto"/>
              <w:jc w:val="center"/>
            </w:pPr>
            <w:r/>
            <w:r>
              <w:rPr>
                <w:rFonts w:ascii="Times New Roman" w:hAnsi="Times New Roman"/>
                <w:sz w:val="17"/>
              </w:rPr>
              <w:t>26.50%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2 ngân hàng</w:t>
            </w:r>
          </w:p>
        </w:tc>
        <w:tc>
          <w:tcPr>
            <w:tcW w:type="dxa" w:w="1296"/>
          </w:tcPr>
          <w:p>
            <w:pPr>
              <w:spacing w:after="40" w:line="240" w:lineRule="auto"/>
              <w:jc w:val="left"/>
            </w:pPr>
            <w:r/>
            <w:r>
              <w:rPr>
                <w:rFonts w:ascii="Times New Roman" w:hAnsi="Times New Roman"/>
                <w:sz w:val="17"/>
              </w:rPr>
              <w:t>324</w:t>
            </w:r>
          </w:p>
        </w:tc>
        <w:tc>
          <w:tcPr>
            <w:tcW w:type="dxa" w:w="1296"/>
          </w:tcPr>
          <w:p>
            <w:pPr>
              <w:spacing w:after="40" w:line="240" w:lineRule="auto"/>
              <w:jc w:val="left"/>
            </w:pPr>
            <w:r/>
            <w:r>
              <w:rPr>
                <w:rFonts w:ascii="Times New Roman" w:hAnsi="Times New Roman"/>
                <w:sz w:val="17"/>
              </w:rPr>
              <w:t>40.50%</w:t>
            </w:r>
          </w:p>
        </w:tc>
        <w:tc>
          <w:tcPr>
            <w:tcW w:type="dxa" w:w="1296"/>
          </w:tcPr>
          <w:p>
            <w:pPr>
              <w:spacing w:after="40" w:line="240" w:lineRule="auto"/>
              <w:jc w:val="center"/>
            </w:pPr>
            <w:r/>
            <w:r>
              <w:rPr>
                <w:rFonts w:ascii="Times New Roman" w:hAnsi="Times New Roman"/>
                <w:sz w:val="17"/>
              </w:rPr>
              <w:t>67.00%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3 ngân hàng</w:t>
            </w:r>
          </w:p>
        </w:tc>
        <w:tc>
          <w:tcPr>
            <w:tcW w:type="dxa" w:w="1296"/>
          </w:tcPr>
          <w:p>
            <w:pPr>
              <w:spacing w:after="40" w:line="240" w:lineRule="auto"/>
              <w:jc w:val="left"/>
            </w:pPr>
            <w:r/>
            <w:r>
              <w:rPr>
                <w:rFonts w:ascii="Times New Roman" w:hAnsi="Times New Roman"/>
                <w:sz w:val="17"/>
              </w:rPr>
              <w:t>185</w:t>
            </w:r>
          </w:p>
        </w:tc>
        <w:tc>
          <w:tcPr>
            <w:tcW w:type="dxa" w:w="1296"/>
          </w:tcPr>
          <w:p>
            <w:pPr>
              <w:spacing w:after="40" w:line="240" w:lineRule="auto"/>
              <w:jc w:val="left"/>
            </w:pPr>
            <w:r/>
            <w:r>
              <w:rPr>
                <w:rFonts w:ascii="Times New Roman" w:hAnsi="Times New Roman"/>
                <w:sz w:val="17"/>
              </w:rPr>
              <w:t>23.12%</w:t>
            </w:r>
          </w:p>
        </w:tc>
        <w:tc>
          <w:tcPr>
            <w:tcW w:type="dxa" w:w="1296"/>
          </w:tcPr>
          <w:p>
            <w:pPr>
              <w:spacing w:after="40" w:line="240" w:lineRule="auto"/>
              <w:jc w:val="center"/>
            </w:pPr>
            <w:r/>
            <w:r>
              <w:rPr>
                <w:rFonts w:ascii="Times New Roman" w:hAnsi="Times New Roman"/>
                <w:sz w:val="17"/>
              </w:rPr>
              <w:t>90.12%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4 ngân hàng trở lên</w:t>
            </w:r>
          </w:p>
        </w:tc>
        <w:tc>
          <w:tcPr>
            <w:tcW w:type="dxa" w:w="1296"/>
          </w:tcPr>
          <w:p>
            <w:pPr>
              <w:spacing w:after="40" w:line="240" w:lineRule="auto"/>
              <w:jc w:val="left"/>
            </w:pPr>
            <w:r/>
            <w:r>
              <w:rPr>
                <w:rFonts w:ascii="Times New Roman" w:hAnsi="Times New Roman"/>
                <w:sz w:val="17"/>
              </w:rPr>
              <w:t>79</w:t>
            </w:r>
          </w:p>
        </w:tc>
        <w:tc>
          <w:tcPr>
            <w:tcW w:type="dxa" w:w="1296"/>
          </w:tcPr>
          <w:p>
            <w:pPr>
              <w:spacing w:after="40" w:line="240" w:lineRule="auto"/>
              <w:jc w:val="left"/>
            </w:pPr>
            <w:r/>
            <w:r>
              <w:rPr>
                <w:rFonts w:ascii="Times New Roman" w:hAnsi="Times New Roman"/>
                <w:sz w:val="17"/>
              </w:rPr>
              <w:t>9.88%</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Corporate Position</w:t>
            </w:r>
          </w:p>
        </w:tc>
        <w:tc>
          <w:tcPr>
            <w:tcW w:type="dxa" w:w="3600"/>
          </w:tcPr>
          <w:p>
            <w:pPr>
              <w:spacing w:after="40" w:line="240" w:lineRule="auto"/>
              <w:jc w:val="left"/>
            </w:pPr>
            <w:r/>
            <w:r>
              <w:rPr>
                <w:rFonts w:ascii="Times New Roman" w:hAnsi="Times New Roman"/>
                <w:sz w:val="17"/>
              </w:rPr>
              <w:t>Ban Giám đốc / CFO / Kế toán trưởng</w:t>
            </w:r>
          </w:p>
        </w:tc>
        <w:tc>
          <w:tcPr>
            <w:tcW w:type="dxa" w:w="1296"/>
          </w:tcPr>
          <w:p>
            <w:pPr>
              <w:spacing w:after="40" w:line="240" w:lineRule="auto"/>
              <w:jc w:val="left"/>
            </w:pPr>
            <w:r/>
            <w:r>
              <w:rPr>
                <w:rFonts w:ascii="Times New Roman" w:hAnsi="Times New Roman"/>
                <w:sz w:val="17"/>
              </w:rPr>
              <w:t>164</w:t>
            </w:r>
          </w:p>
        </w:tc>
        <w:tc>
          <w:tcPr>
            <w:tcW w:type="dxa" w:w="1296"/>
          </w:tcPr>
          <w:p>
            <w:pPr>
              <w:spacing w:after="40" w:line="240" w:lineRule="auto"/>
              <w:jc w:val="left"/>
            </w:pPr>
            <w:r/>
            <w:r>
              <w:rPr>
                <w:rFonts w:ascii="Times New Roman" w:hAnsi="Times New Roman"/>
                <w:sz w:val="17"/>
              </w:rPr>
              <w:t>20.50%</w:t>
            </w:r>
          </w:p>
        </w:tc>
        <w:tc>
          <w:tcPr>
            <w:tcW w:type="dxa" w:w="1296"/>
          </w:tcPr>
          <w:p>
            <w:pPr>
              <w:spacing w:after="40" w:line="240" w:lineRule="auto"/>
              <w:jc w:val="center"/>
            </w:pPr>
            <w:r/>
            <w:r>
              <w:rPr>
                <w:rFonts w:ascii="Times New Roman" w:hAnsi="Times New Roman"/>
                <w:sz w:val="17"/>
              </w:rPr>
              <w:t>20.50%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Kế toán tổng hợp / Kế toán phần hành bảo lãnh</w:t>
            </w:r>
          </w:p>
        </w:tc>
        <w:tc>
          <w:tcPr>
            <w:tcW w:type="dxa" w:w="1296"/>
          </w:tcPr>
          <w:p>
            <w:pPr>
              <w:spacing w:after="40" w:line="240" w:lineRule="auto"/>
              <w:jc w:val="left"/>
            </w:pPr>
            <w:r/>
            <w:r>
              <w:rPr>
                <w:rFonts w:ascii="Times New Roman" w:hAnsi="Times New Roman"/>
                <w:sz w:val="17"/>
              </w:rPr>
              <w:t>343</w:t>
            </w:r>
          </w:p>
        </w:tc>
        <w:tc>
          <w:tcPr>
            <w:tcW w:type="dxa" w:w="1296"/>
          </w:tcPr>
          <w:p>
            <w:pPr>
              <w:spacing w:after="40" w:line="240" w:lineRule="auto"/>
              <w:jc w:val="left"/>
            </w:pPr>
            <w:r/>
            <w:r>
              <w:rPr>
                <w:rFonts w:ascii="Times New Roman" w:hAnsi="Times New Roman"/>
                <w:sz w:val="17"/>
              </w:rPr>
              <w:t>42.88%</w:t>
            </w:r>
          </w:p>
        </w:tc>
        <w:tc>
          <w:tcPr>
            <w:tcW w:type="dxa" w:w="1296"/>
          </w:tcPr>
          <w:p>
            <w:pPr>
              <w:spacing w:after="40" w:line="240" w:lineRule="auto"/>
              <w:jc w:val="center"/>
            </w:pPr>
            <w:r/>
            <w:r>
              <w:rPr>
                <w:rFonts w:ascii="Times New Roman" w:hAnsi="Times New Roman"/>
                <w:sz w:val="17"/>
              </w:rPr>
              <w:t>63.38%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Trưởng/Phó phòng Đấu thầu / Dự án</w:t>
            </w:r>
          </w:p>
        </w:tc>
        <w:tc>
          <w:tcPr>
            <w:tcW w:type="dxa" w:w="1296"/>
          </w:tcPr>
          <w:p>
            <w:pPr>
              <w:spacing w:after="40" w:line="240" w:lineRule="auto"/>
              <w:jc w:val="left"/>
            </w:pPr>
            <w:r/>
            <w:r>
              <w:rPr>
                <w:rFonts w:ascii="Times New Roman" w:hAnsi="Times New Roman"/>
                <w:sz w:val="17"/>
              </w:rPr>
              <w:t>192</w:t>
            </w:r>
          </w:p>
        </w:tc>
        <w:tc>
          <w:tcPr>
            <w:tcW w:type="dxa" w:w="1296"/>
          </w:tcPr>
          <w:p>
            <w:pPr>
              <w:spacing w:after="40" w:line="240" w:lineRule="auto"/>
              <w:jc w:val="left"/>
            </w:pPr>
            <w:r/>
            <w:r>
              <w:rPr>
                <w:rFonts w:ascii="Times New Roman" w:hAnsi="Times New Roman"/>
                <w:sz w:val="17"/>
              </w:rPr>
              <w:t>24.00%</w:t>
            </w:r>
          </w:p>
        </w:tc>
        <w:tc>
          <w:tcPr>
            <w:tcW w:type="dxa" w:w="1296"/>
          </w:tcPr>
          <w:p>
            <w:pPr>
              <w:spacing w:after="40" w:line="240" w:lineRule="auto"/>
              <w:jc w:val="center"/>
            </w:pPr>
            <w:r/>
            <w:r>
              <w:rPr>
                <w:rFonts w:ascii="Times New Roman" w:hAnsi="Times New Roman"/>
                <w:sz w:val="17"/>
              </w:rPr>
              <w:t>87.38%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Chuyên viên phụ trách hồ sơ thầu &amp; tài chính</w:t>
            </w:r>
          </w:p>
        </w:tc>
        <w:tc>
          <w:tcPr>
            <w:tcW w:type="dxa" w:w="1296"/>
          </w:tcPr>
          <w:p>
            <w:pPr>
              <w:spacing w:after="40" w:line="240" w:lineRule="auto"/>
              <w:jc w:val="left"/>
            </w:pPr>
            <w:r/>
            <w:r>
              <w:rPr>
                <w:rFonts w:ascii="Times New Roman" w:hAnsi="Times New Roman"/>
                <w:sz w:val="17"/>
              </w:rPr>
              <w:t>101</w:t>
            </w:r>
          </w:p>
        </w:tc>
        <w:tc>
          <w:tcPr>
            <w:tcW w:type="dxa" w:w="1296"/>
          </w:tcPr>
          <w:p>
            <w:pPr>
              <w:spacing w:after="40" w:line="240" w:lineRule="auto"/>
              <w:jc w:val="left"/>
            </w:pPr>
            <w:r/>
            <w:r>
              <w:rPr>
                <w:rFonts w:ascii="Times New Roman" w:hAnsi="Times New Roman"/>
                <w:sz w:val="17"/>
              </w:rPr>
              <w:t>12.62%</w:t>
            </w:r>
          </w:p>
        </w:tc>
        <w:tc>
          <w:tcPr>
            <w:tcW w:type="dxa" w:w="1296"/>
          </w:tcPr>
          <w:p>
            <w:pPr>
              <w:spacing w:after="40" w:line="240" w:lineRule="auto"/>
              <w:jc w:val="center"/>
            </w:pPr>
            <w:r/>
            <w:r>
              <w:rPr>
                <w:rFonts w:ascii="Times New Roman" w:hAnsi="Times New Roman"/>
                <w:sz w:val="17"/>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56FA8B6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2: Cronbach’s Alpha Reliability Analysis Output</w:t>
      </w:r>
    </w:p>
    <w:p>
      <w:pPr>
        <w:spacing w:after="80" w:line="360" w:lineRule="auto"/>
        <w:ind w:firstLine="0"/>
        <w:jc w:val="center"/>
      </w:pPr>
      <w:r>
        <w:rPr>
          <w:rFonts w:ascii="Times New Roman" w:hAnsi="Times New Roman"/>
          <w:b/>
          <w:i w:val="0"/>
          <w:sz w:val="22"/>
        </w:rPr>
        <w:t>Table A2.1: Descriptive Statistics and Psychometric Properties of all 32 Measurement Indicators (n = 800)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val="clear" w:color="auto" w:fill="D9D9D9"/>
          </w:tcPr>
          <w:p>
            <w:pPr>
              <w:spacing w:after="40" w:line="240" w:lineRule="auto"/>
              <w:jc w:val="center"/>
            </w:pPr>
            <w:r/>
            <w:r>
              <w:rPr>
                <w:rFonts w:ascii="Times New Roman" w:hAnsi="Times New Roman"/>
                <w:b/>
                <w:sz w:val="16"/>
              </w:rPr>
              <w:t>Construct</w:t>
            </w:r>
          </w:p>
        </w:tc>
        <w:tc>
          <w:tcPr>
            <w:tcW w:type="dxa" w:w="1152"/>
            <w:shd w:val="clear" w:color="auto" w:fill="D9D9D9"/>
          </w:tcPr>
          <w:p>
            <w:pPr>
              <w:spacing w:after="40" w:line="240" w:lineRule="auto"/>
              <w:jc w:val="center"/>
            </w:pPr>
            <w:r/>
            <w:r>
              <w:rPr>
                <w:rFonts w:ascii="Times New Roman" w:hAnsi="Times New Roman"/>
                <w:b/>
                <w:sz w:val="16"/>
              </w:rPr>
              <w:t>Item Code</w:t>
            </w:r>
          </w:p>
        </w:tc>
        <w:tc>
          <w:tcPr>
            <w:tcW w:type="dxa" w:w="864"/>
            <w:shd w:val="clear" w:color="auto" w:fill="D9D9D9"/>
          </w:tcPr>
          <w:p>
            <w:pPr>
              <w:spacing w:after="40" w:line="240" w:lineRule="auto"/>
              <w:jc w:val="center"/>
            </w:pPr>
            <w:r/>
            <w:r>
              <w:rPr>
                <w:rFonts w:ascii="Times New Roman" w:hAnsi="Times New Roman"/>
                <w:b/>
                <w:sz w:val="16"/>
              </w:rPr>
              <w:t>Mean</w:t>
            </w:r>
          </w:p>
        </w:tc>
        <w:tc>
          <w:tcPr>
            <w:tcW w:type="dxa" w:w="864"/>
            <w:shd w:val="clear" w:color="auto" w:fill="D9D9D9"/>
          </w:tcPr>
          <w:p>
            <w:pPr>
              <w:spacing w:after="40" w:line="240" w:lineRule="auto"/>
              <w:jc w:val="center"/>
            </w:pPr>
            <w:r/>
            <w:r>
              <w:rPr>
                <w:rFonts w:ascii="Times New Roman" w:hAnsi="Times New Roman"/>
                <w:b/>
                <w:sz w:val="16"/>
              </w:rPr>
              <w:t>Std. Dev.</w:t>
            </w:r>
          </w:p>
        </w:tc>
        <w:tc>
          <w:tcPr>
            <w:tcW w:type="dxa" w:w="576"/>
            <w:shd w:val="clear" w:color="auto" w:fill="D9D9D9"/>
          </w:tcPr>
          <w:p>
            <w:pPr>
              <w:spacing w:after="40" w:line="240" w:lineRule="auto"/>
              <w:jc w:val="center"/>
            </w:pPr>
            <w:r/>
            <w:r>
              <w:rPr>
                <w:rFonts w:ascii="Times New Roman" w:hAnsi="Times New Roman"/>
                <w:b/>
                <w:sz w:val="16"/>
              </w:rPr>
              <w:t>Min</w:t>
            </w:r>
          </w:p>
        </w:tc>
        <w:tc>
          <w:tcPr>
            <w:tcW w:type="dxa" w:w="576"/>
            <w:shd w:val="clear" w:color="auto" w:fill="D9D9D9"/>
          </w:tcPr>
          <w:p>
            <w:pPr>
              <w:spacing w:after="40" w:line="240" w:lineRule="auto"/>
              <w:jc w:val="center"/>
            </w:pPr>
            <w:r/>
            <w:r>
              <w:rPr>
                <w:rFonts w:ascii="Times New Roman" w:hAnsi="Times New Roman"/>
                <w:b/>
                <w:sz w:val="16"/>
              </w:rPr>
              <w:t>Max</w:t>
            </w:r>
          </w:p>
        </w:tc>
        <w:tc>
          <w:tcPr>
            <w:tcW w:type="dxa" w:w="1008"/>
            <w:shd w:val="clear" w:color="auto" w:fill="D9D9D9"/>
          </w:tcPr>
          <w:p>
            <w:pPr>
              <w:spacing w:after="40" w:line="240" w:lineRule="auto"/>
              <w:jc w:val="center"/>
            </w:pPr>
            <w:r/>
            <w:r>
              <w:rPr>
                <w:rFonts w:ascii="Times New Roman" w:hAnsi="Times New Roman"/>
                <w:b/>
                <w:sz w:val="16"/>
              </w:rPr>
              <w:t>Skewness</w:t>
            </w:r>
          </w:p>
        </w:tc>
        <w:tc>
          <w:tcPr>
            <w:tcW w:type="dxa" w:w="1008"/>
            <w:shd w:val="clear" w:color="auto" w:fill="D9D9D9"/>
          </w:tcPr>
          <w:p>
            <w:pPr>
              <w:spacing w:after="40" w:line="240" w:lineRule="auto"/>
              <w:jc w:val="center"/>
            </w:pPr>
            <w:r/>
            <w:r>
              <w:rPr>
                <w:rFonts w:ascii="Times New Roman" w:hAnsi="Times New Roman"/>
                <w:b/>
                <w:sz w:val="16"/>
              </w:rPr>
              <w:t>Kurtosis</w:t>
            </w:r>
          </w:p>
        </w:tc>
        <w:tc>
          <w:tcPr>
            <w:tcW w:type="dxa" w:w="1872"/>
            <w:shd w:val="clear" w:color="auto" w:fill="D9D9D9"/>
          </w:tcPr>
          <w:p>
            <w:pPr>
              <w:spacing w:after="40" w:line="240" w:lineRule="auto"/>
              <w:jc w:val="center"/>
            </w:pPr>
            <w:r/>
            <w:r>
              <w:rPr>
                <w:rFonts w:ascii="Times New Roman" w:hAnsi="Times New Roman"/>
                <w:b/>
                <w:sz w:val="16"/>
              </w:rPr>
              <w:t>Corrected Item-Total Corr.</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COMP1</w:t>
            </w:r>
          </w:p>
        </w:tc>
        <w:tc>
          <w:tcPr>
            <w:tcW w:type="dxa" w:w="864"/>
          </w:tcPr>
          <w:p>
            <w:pPr>
              <w:spacing w:after="40" w:line="240" w:lineRule="auto"/>
              <w:jc w:val="left"/>
            </w:pPr>
            <w:r/>
            <w:r>
              <w:rPr>
                <w:rFonts w:ascii="Times New Roman" w:hAnsi="Times New Roman"/>
                <w:sz w:val="16"/>
              </w:rPr>
              <w:t>3.209</w:t>
            </w:r>
          </w:p>
        </w:tc>
        <w:tc>
          <w:tcPr>
            <w:tcW w:type="dxa" w:w="864"/>
          </w:tcPr>
          <w:p>
            <w:pPr>
              <w:spacing w:after="40" w:line="240" w:lineRule="auto"/>
              <w:jc w:val="left"/>
            </w:pPr>
            <w:r/>
            <w:r>
              <w:rPr>
                <w:rFonts w:ascii="Times New Roman" w:hAnsi="Times New Roman"/>
                <w:sz w:val="16"/>
              </w:rPr>
              <w:t>0.983</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-0.134</w:t>
            </w:r>
          </w:p>
        </w:tc>
        <w:tc>
          <w:tcPr>
            <w:tcW w:type="dxa" w:w="1008"/>
          </w:tcPr>
          <w:p>
            <w:pPr>
              <w:spacing w:after="40" w:line="240" w:lineRule="auto"/>
              <w:jc w:val="left"/>
            </w:pPr>
            <w:r/>
            <w:r>
              <w:rPr>
                <w:rFonts w:ascii="Times New Roman" w:hAnsi="Times New Roman"/>
                <w:sz w:val="16"/>
              </w:rPr>
              <w:t>-0.417</w:t>
            </w:r>
          </w:p>
        </w:tc>
        <w:tc>
          <w:tcPr>
            <w:tcW w:type="dxa" w:w="1872"/>
          </w:tcPr>
          <w:p>
            <w:pPr>
              <w:spacing w:after="40" w:line="240" w:lineRule="auto"/>
              <w:jc w:val="center"/>
            </w:pPr>
            <w:r/>
            <w:r>
              <w:rPr>
                <w:rFonts w:ascii="Times New Roman" w:hAnsi="Times New Roman"/>
                <w:sz w:val="16"/>
              </w:rPr>
              <w:t>0.670</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COMP2</w:t>
            </w:r>
          </w:p>
        </w:tc>
        <w:tc>
          <w:tcPr>
            <w:tcW w:type="dxa" w:w="864"/>
          </w:tcPr>
          <w:p>
            <w:pPr>
              <w:spacing w:after="40" w:line="240" w:lineRule="auto"/>
              <w:jc w:val="left"/>
            </w:pPr>
            <w:r/>
            <w:r>
              <w:rPr>
                <w:rFonts w:ascii="Times New Roman" w:hAnsi="Times New Roman"/>
                <w:sz w:val="16"/>
              </w:rPr>
              <w:t>3.179</w:t>
            </w:r>
          </w:p>
        </w:tc>
        <w:tc>
          <w:tcPr>
            <w:tcW w:type="dxa" w:w="864"/>
          </w:tcPr>
          <w:p>
            <w:pPr>
              <w:spacing w:after="40" w:line="240" w:lineRule="auto"/>
              <w:jc w:val="left"/>
            </w:pPr>
            <w:r/>
            <w:r>
              <w:rPr>
                <w:rFonts w:ascii="Times New Roman" w:hAnsi="Times New Roman"/>
                <w:sz w:val="16"/>
              </w:rPr>
              <w:t>0.971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-0.166</w:t>
            </w:r>
          </w:p>
        </w:tc>
        <w:tc>
          <w:tcPr>
            <w:tcW w:type="dxa" w:w="1008"/>
          </w:tcPr>
          <w:p>
            <w:pPr>
              <w:spacing w:after="40" w:line="240" w:lineRule="auto"/>
              <w:jc w:val="left"/>
            </w:pPr>
            <w:r/>
            <w:r>
              <w:rPr>
                <w:rFonts w:ascii="Times New Roman" w:hAnsi="Times New Roman"/>
                <w:sz w:val="16"/>
              </w:rPr>
              <w:t>-0.429</w:t>
            </w:r>
          </w:p>
        </w:tc>
        <w:tc>
          <w:tcPr>
            <w:tcW w:type="dxa" w:w="1872"/>
          </w:tcPr>
          <w:p>
            <w:pPr>
              <w:spacing w:after="40" w:line="240" w:lineRule="auto"/>
              <w:jc w:val="center"/>
            </w:pPr>
            <w:r/>
            <w:r>
              <w:rPr>
                <w:rFonts w:ascii="Times New Roman" w:hAnsi="Times New Roman"/>
                <w:sz w:val="16"/>
              </w:rPr>
              <w:t>0.657</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COMP3</w:t>
            </w:r>
          </w:p>
        </w:tc>
        <w:tc>
          <w:tcPr>
            <w:tcW w:type="dxa" w:w="864"/>
          </w:tcPr>
          <w:p>
            <w:pPr>
              <w:spacing w:after="40" w:line="240" w:lineRule="auto"/>
              <w:jc w:val="left"/>
            </w:pPr>
            <w:r/>
            <w:r>
              <w:rPr>
                <w:rFonts w:ascii="Times New Roman" w:hAnsi="Times New Roman"/>
                <w:sz w:val="16"/>
              </w:rPr>
              <w:t>3.280</w:t>
            </w:r>
          </w:p>
        </w:tc>
        <w:tc>
          <w:tcPr>
            <w:tcW w:type="dxa" w:w="864"/>
          </w:tcPr>
          <w:p>
            <w:pPr>
              <w:spacing w:after="40" w:line="240" w:lineRule="auto"/>
              <w:jc w:val="left"/>
            </w:pPr>
            <w:r/>
            <w:r>
              <w:rPr>
                <w:rFonts w:ascii="Times New Roman" w:hAnsi="Times New Roman"/>
                <w:sz w:val="16"/>
              </w:rPr>
              <w:t>1.026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-0.246</w:t>
            </w:r>
          </w:p>
        </w:tc>
        <w:tc>
          <w:tcPr>
            <w:tcW w:type="dxa" w:w="1008"/>
          </w:tcPr>
          <w:p>
            <w:pPr>
              <w:spacing w:after="40" w:line="240" w:lineRule="auto"/>
              <w:jc w:val="left"/>
            </w:pPr>
            <w:r/>
            <w:r>
              <w:rPr>
                <w:rFonts w:ascii="Times New Roman" w:hAnsi="Times New Roman"/>
                <w:sz w:val="16"/>
              </w:rPr>
              <w:t>-0.426</w:t>
            </w:r>
          </w:p>
        </w:tc>
        <w:tc>
          <w:tcPr>
            <w:tcW w:type="dxa" w:w="1872"/>
          </w:tcPr>
          <w:p>
            <w:pPr>
              <w:spacing w:after="40" w:line="240" w:lineRule="auto"/>
              <w:jc w:val="center"/>
            </w:pPr>
            <w:r/>
            <w:r>
              <w:rPr>
                <w:rFonts w:ascii="Times New Roman" w:hAnsi="Times New Roman"/>
                <w:sz w:val="16"/>
              </w:rPr>
              <w:t>0.613</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COMP4</w:t>
            </w:r>
          </w:p>
        </w:tc>
        <w:tc>
          <w:tcPr>
            <w:tcW w:type="dxa" w:w="864"/>
          </w:tcPr>
          <w:p>
            <w:pPr>
              <w:spacing w:after="40" w:line="240" w:lineRule="auto"/>
              <w:jc w:val="left"/>
            </w:pPr>
            <w:r/>
            <w:r>
              <w:rPr>
                <w:rFonts w:ascii="Times New Roman" w:hAnsi="Times New Roman"/>
                <w:sz w:val="16"/>
              </w:rPr>
              <w:t>3.123</w:t>
            </w:r>
          </w:p>
        </w:tc>
        <w:tc>
          <w:tcPr>
            <w:tcW w:type="dxa" w:w="864"/>
          </w:tcPr>
          <w:p>
            <w:pPr>
              <w:spacing w:after="40" w:line="240" w:lineRule="auto"/>
              <w:jc w:val="left"/>
            </w:pPr>
            <w:r/>
            <w:r>
              <w:rPr>
                <w:rFonts w:ascii="Times New Roman" w:hAnsi="Times New Roman"/>
                <w:sz w:val="16"/>
              </w:rPr>
              <w:t>1.002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-0.180</w:t>
            </w:r>
          </w:p>
        </w:tc>
        <w:tc>
          <w:tcPr>
            <w:tcW w:type="dxa" w:w="1008"/>
          </w:tcPr>
          <w:p>
            <w:pPr>
              <w:spacing w:after="40" w:line="240" w:lineRule="auto"/>
              <w:jc w:val="left"/>
            </w:pPr>
            <w:r/>
            <w:r>
              <w:rPr>
                <w:rFonts w:ascii="Times New Roman" w:hAnsi="Times New Roman"/>
                <w:sz w:val="16"/>
              </w:rPr>
              <w:t>-0.452</w:t>
            </w:r>
          </w:p>
        </w:tc>
        <w:tc>
          <w:tcPr>
            <w:tcW w:type="dxa" w:w="1872"/>
          </w:tcPr>
          <w:p>
            <w:pPr>
              <w:spacing w:after="40" w:line="240" w:lineRule="auto"/>
              <w:jc w:val="center"/>
            </w:pPr>
            <w:r/>
            <w:r>
              <w:rPr>
                <w:rFonts w:ascii="Times New Roman" w:hAnsi="Times New Roman"/>
                <w:sz w:val="16"/>
              </w:rPr>
              <w:t>0.619</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SPEED1</w:t>
            </w:r>
          </w:p>
        </w:tc>
        <w:tc>
          <w:tcPr>
            <w:tcW w:type="dxa" w:w="864"/>
          </w:tcPr>
          <w:p>
            <w:pPr>
              <w:spacing w:after="40" w:line="240" w:lineRule="auto"/>
              <w:jc w:val="left"/>
            </w:pPr>
            <w:r/>
            <w:r>
              <w:rPr>
                <w:rFonts w:ascii="Times New Roman" w:hAnsi="Times New Roman"/>
                <w:sz w:val="16"/>
              </w:rPr>
              <w:t>3.474</w:t>
            </w:r>
          </w:p>
        </w:tc>
        <w:tc>
          <w:tcPr>
            <w:tcW w:type="dxa" w:w="864"/>
          </w:tcPr>
          <w:p>
            <w:pPr>
              <w:spacing w:after="40" w:line="240" w:lineRule="auto"/>
              <w:jc w:val="left"/>
            </w:pPr>
            <w:r/>
            <w:r>
              <w:rPr>
                <w:rFonts w:ascii="Times New Roman" w:hAnsi="Times New Roman"/>
                <w:sz w:val="16"/>
              </w:rPr>
              <w:t>0.970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-0.264</w:t>
            </w:r>
          </w:p>
        </w:tc>
        <w:tc>
          <w:tcPr>
            <w:tcW w:type="dxa" w:w="1008"/>
          </w:tcPr>
          <w:p>
            <w:pPr>
              <w:spacing w:after="40" w:line="240" w:lineRule="auto"/>
              <w:jc w:val="left"/>
            </w:pPr>
            <w:r/>
            <w:r>
              <w:rPr>
                <w:rFonts w:ascii="Times New Roman" w:hAnsi="Times New Roman"/>
                <w:sz w:val="16"/>
              </w:rPr>
              <w:t>-0.429</w:t>
            </w:r>
          </w:p>
        </w:tc>
        <w:tc>
          <w:tcPr>
            <w:tcW w:type="dxa" w:w="1872"/>
          </w:tcPr>
          <w:p>
            <w:pPr>
              <w:spacing w:after="40" w:line="240" w:lineRule="auto"/>
              <w:jc w:val="center"/>
            </w:pPr>
            <w:r/>
            <w:r>
              <w:rPr>
                <w:rFonts w:ascii="Times New Roman" w:hAnsi="Times New Roman"/>
                <w:sz w:val="16"/>
              </w:rPr>
              <w:t>0.701</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SPEED2</w:t>
            </w:r>
          </w:p>
        </w:tc>
        <w:tc>
          <w:tcPr>
            <w:tcW w:type="dxa" w:w="864"/>
          </w:tcPr>
          <w:p>
            <w:pPr>
              <w:spacing w:after="40" w:line="240" w:lineRule="auto"/>
              <w:jc w:val="left"/>
            </w:pPr>
            <w:r/>
            <w:r>
              <w:rPr>
                <w:rFonts w:ascii="Times New Roman" w:hAnsi="Times New Roman"/>
                <w:sz w:val="16"/>
              </w:rPr>
              <w:t>3.384</w:t>
            </w:r>
          </w:p>
        </w:tc>
        <w:tc>
          <w:tcPr>
            <w:tcW w:type="dxa" w:w="864"/>
          </w:tcPr>
          <w:p>
            <w:pPr>
              <w:spacing w:after="40" w:line="240" w:lineRule="auto"/>
              <w:jc w:val="left"/>
            </w:pPr>
            <w:r/>
            <w:r>
              <w:rPr>
                <w:rFonts w:ascii="Times New Roman" w:hAnsi="Times New Roman"/>
                <w:sz w:val="16"/>
              </w:rPr>
              <w:t>0.959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-0.191</w:t>
            </w:r>
          </w:p>
        </w:tc>
        <w:tc>
          <w:tcPr>
            <w:tcW w:type="dxa" w:w="1008"/>
          </w:tcPr>
          <w:p>
            <w:pPr>
              <w:spacing w:after="40" w:line="240" w:lineRule="auto"/>
              <w:jc w:val="left"/>
            </w:pPr>
            <w:r/>
            <w:r>
              <w:rPr>
                <w:rFonts w:ascii="Times New Roman" w:hAnsi="Times New Roman"/>
                <w:sz w:val="16"/>
              </w:rPr>
              <w:t>-0.625</w:t>
            </w:r>
          </w:p>
        </w:tc>
        <w:tc>
          <w:tcPr>
            <w:tcW w:type="dxa" w:w="1872"/>
          </w:tcPr>
          <w:p>
            <w:pPr>
              <w:spacing w:after="40" w:line="240" w:lineRule="auto"/>
              <w:jc w:val="center"/>
            </w:pPr>
            <w:r/>
            <w:r>
              <w:rPr>
                <w:rFonts w:ascii="Times New Roman" w:hAnsi="Times New Roman"/>
                <w:sz w:val="16"/>
              </w:rPr>
              <w:t>0.643</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SPEED3</w:t>
            </w:r>
          </w:p>
        </w:tc>
        <w:tc>
          <w:tcPr>
            <w:tcW w:type="dxa" w:w="864"/>
          </w:tcPr>
          <w:p>
            <w:pPr>
              <w:spacing w:after="40" w:line="240" w:lineRule="auto"/>
              <w:jc w:val="left"/>
            </w:pPr>
            <w:r/>
            <w:r>
              <w:rPr>
                <w:rFonts w:ascii="Times New Roman" w:hAnsi="Times New Roman"/>
                <w:sz w:val="16"/>
              </w:rPr>
              <w:t>3.529</w:t>
            </w:r>
          </w:p>
        </w:tc>
        <w:tc>
          <w:tcPr>
            <w:tcW w:type="dxa" w:w="864"/>
          </w:tcPr>
          <w:p>
            <w:pPr>
              <w:spacing w:after="40" w:line="240" w:lineRule="auto"/>
              <w:jc w:val="left"/>
            </w:pPr>
            <w:r/>
            <w:r>
              <w:rPr>
                <w:rFonts w:ascii="Times New Roman" w:hAnsi="Times New Roman"/>
                <w:sz w:val="16"/>
              </w:rPr>
              <w:t>0.954</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-0.385</w:t>
            </w:r>
          </w:p>
        </w:tc>
        <w:tc>
          <w:tcPr>
            <w:tcW w:type="dxa" w:w="1008"/>
          </w:tcPr>
          <w:p>
            <w:pPr>
              <w:spacing w:after="40" w:line="240" w:lineRule="auto"/>
              <w:jc w:val="left"/>
            </w:pPr>
            <w:r/>
            <w:r>
              <w:rPr>
                <w:rFonts w:ascii="Times New Roman" w:hAnsi="Times New Roman"/>
                <w:sz w:val="16"/>
              </w:rPr>
              <w:t>-0.234</w:t>
            </w:r>
          </w:p>
        </w:tc>
        <w:tc>
          <w:tcPr>
            <w:tcW w:type="dxa" w:w="1872"/>
          </w:tcPr>
          <w:p>
            <w:pPr>
              <w:spacing w:after="40" w:line="240" w:lineRule="auto"/>
              <w:jc w:val="center"/>
            </w:pPr>
            <w:r/>
            <w:r>
              <w:rPr>
                <w:rFonts w:ascii="Times New Roman" w:hAnsi="Times New Roman"/>
                <w:sz w:val="16"/>
              </w:rPr>
              <w:t>0.680</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SPEED4</w:t>
            </w:r>
          </w:p>
        </w:tc>
        <w:tc>
          <w:tcPr>
            <w:tcW w:type="dxa" w:w="864"/>
          </w:tcPr>
          <w:p>
            <w:pPr>
              <w:spacing w:after="40" w:line="240" w:lineRule="auto"/>
              <w:jc w:val="left"/>
            </w:pPr>
            <w:r/>
            <w:r>
              <w:rPr>
                <w:rFonts w:ascii="Times New Roman" w:hAnsi="Times New Roman"/>
                <w:sz w:val="16"/>
              </w:rPr>
              <w:t>3.385</w:t>
            </w:r>
          </w:p>
        </w:tc>
        <w:tc>
          <w:tcPr>
            <w:tcW w:type="dxa" w:w="864"/>
          </w:tcPr>
          <w:p>
            <w:pPr>
              <w:spacing w:after="40" w:line="240" w:lineRule="auto"/>
              <w:jc w:val="left"/>
            </w:pPr>
            <w:r/>
            <w:r>
              <w:rPr>
                <w:rFonts w:ascii="Times New Roman" w:hAnsi="Times New Roman"/>
                <w:sz w:val="16"/>
              </w:rPr>
              <w:t>0.971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-0.273</w:t>
            </w:r>
          </w:p>
        </w:tc>
        <w:tc>
          <w:tcPr>
            <w:tcW w:type="dxa" w:w="1008"/>
          </w:tcPr>
          <w:p>
            <w:pPr>
              <w:spacing w:after="40" w:line="240" w:lineRule="auto"/>
              <w:jc w:val="left"/>
            </w:pPr>
            <w:r/>
            <w:r>
              <w:rPr>
                <w:rFonts w:ascii="Times New Roman" w:hAnsi="Times New Roman"/>
                <w:sz w:val="16"/>
              </w:rPr>
              <w:t>-0.446</w:t>
            </w:r>
          </w:p>
        </w:tc>
        <w:tc>
          <w:tcPr>
            <w:tcW w:type="dxa" w:w="1872"/>
          </w:tcPr>
          <w:p>
            <w:pPr>
              <w:spacing w:after="40" w:line="240" w:lineRule="auto"/>
              <w:jc w:val="center"/>
            </w:pPr>
            <w:r/>
            <w:r>
              <w:rPr>
                <w:rFonts w:ascii="Times New Roman" w:hAnsi="Times New Roman"/>
                <w:sz w:val="16"/>
              </w:rPr>
              <w:t>0.629</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DIGI1</w:t>
            </w:r>
          </w:p>
        </w:tc>
        <w:tc>
          <w:tcPr>
            <w:tcW w:type="dxa" w:w="864"/>
          </w:tcPr>
          <w:p>
            <w:pPr>
              <w:spacing w:after="40" w:line="240" w:lineRule="auto"/>
              <w:jc w:val="left"/>
            </w:pPr>
            <w:r/>
            <w:r>
              <w:rPr>
                <w:rFonts w:ascii="Times New Roman" w:hAnsi="Times New Roman"/>
                <w:sz w:val="16"/>
              </w:rPr>
              <w:t>3.501</w:t>
            </w:r>
          </w:p>
        </w:tc>
        <w:tc>
          <w:tcPr>
            <w:tcW w:type="dxa" w:w="864"/>
          </w:tcPr>
          <w:p>
            <w:pPr>
              <w:spacing w:after="40" w:line="240" w:lineRule="auto"/>
              <w:jc w:val="left"/>
            </w:pPr>
            <w:r/>
            <w:r>
              <w:rPr>
                <w:rFonts w:ascii="Times New Roman" w:hAnsi="Times New Roman"/>
                <w:sz w:val="16"/>
              </w:rPr>
              <w:t>0.989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-0.209</w:t>
            </w:r>
          </w:p>
        </w:tc>
        <w:tc>
          <w:tcPr>
            <w:tcW w:type="dxa" w:w="1008"/>
          </w:tcPr>
          <w:p>
            <w:pPr>
              <w:spacing w:after="40" w:line="240" w:lineRule="auto"/>
              <w:jc w:val="left"/>
            </w:pPr>
            <w:r/>
            <w:r>
              <w:rPr>
                <w:rFonts w:ascii="Times New Roman" w:hAnsi="Times New Roman"/>
                <w:sz w:val="16"/>
              </w:rPr>
              <w:t>-0.622</w:t>
            </w:r>
          </w:p>
        </w:tc>
        <w:tc>
          <w:tcPr>
            <w:tcW w:type="dxa" w:w="1872"/>
          </w:tcPr>
          <w:p>
            <w:pPr>
              <w:spacing w:after="40" w:line="240" w:lineRule="auto"/>
              <w:jc w:val="center"/>
            </w:pPr>
            <w:r/>
            <w:r>
              <w:rPr>
                <w:rFonts w:ascii="Times New Roman" w:hAnsi="Times New Roman"/>
                <w:sz w:val="16"/>
              </w:rPr>
              <w:t>0.640</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DIGI2</w:t>
            </w:r>
          </w:p>
        </w:tc>
        <w:tc>
          <w:tcPr>
            <w:tcW w:type="dxa" w:w="864"/>
          </w:tcPr>
          <w:p>
            <w:pPr>
              <w:spacing w:after="40" w:line="240" w:lineRule="auto"/>
              <w:jc w:val="left"/>
            </w:pPr>
            <w:r/>
            <w:r>
              <w:rPr>
                <w:rFonts w:ascii="Times New Roman" w:hAnsi="Times New Roman"/>
                <w:sz w:val="16"/>
              </w:rPr>
              <w:t>3.589</w:t>
            </w:r>
          </w:p>
        </w:tc>
        <w:tc>
          <w:tcPr>
            <w:tcW w:type="dxa" w:w="864"/>
          </w:tcPr>
          <w:p>
            <w:pPr>
              <w:spacing w:after="40" w:line="240" w:lineRule="auto"/>
              <w:jc w:val="left"/>
            </w:pPr>
            <w:r/>
            <w:r>
              <w:rPr>
                <w:rFonts w:ascii="Times New Roman" w:hAnsi="Times New Roman"/>
                <w:sz w:val="16"/>
              </w:rPr>
              <w:t>0.946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-0.376</w:t>
            </w:r>
          </w:p>
        </w:tc>
        <w:tc>
          <w:tcPr>
            <w:tcW w:type="dxa" w:w="1008"/>
          </w:tcPr>
          <w:p>
            <w:pPr>
              <w:spacing w:after="40" w:line="240" w:lineRule="auto"/>
              <w:jc w:val="left"/>
            </w:pPr>
            <w:r/>
            <w:r>
              <w:rPr>
                <w:rFonts w:ascii="Times New Roman" w:hAnsi="Times New Roman"/>
                <w:sz w:val="16"/>
              </w:rPr>
              <w:t>-0.383</w:t>
            </w:r>
          </w:p>
        </w:tc>
        <w:tc>
          <w:tcPr>
            <w:tcW w:type="dxa" w:w="1872"/>
          </w:tcPr>
          <w:p>
            <w:pPr>
              <w:spacing w:after="40" w:line="240" w:lineRule="auto"/>
              <w:jc w:val="center"/>
            </w:pPr>
            <w:r/>
            <w:r>
              <w:rPr>
                <w:rFonts w:ascii="Times New Roman" w:hAnsi="Times New Roman"/>
                <w:sz w:val="16"/>
              </w:rPr>
              <w:t>0.661</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DIGI3</w:t>
            </w:r>
          </w:p>
        </w:tc>
        <w:tc>
          <w:tcPr>
            <w:tcW w:type="dxa" w:w="864"/>
          </w:tcPr>
          <w:p>
            <w:pPr>
              <w:spacing w:after="40" w:line="240" w:lineRule="auto"/>
              <w:jc w:val="left"/>
            </w:pPr>
            <w:r/>
            <w:r>
              <w:rPr>
                <w:rFonts w:ascii="Times New Roman" w:hAnsi="Times New Roman"/>
                <w:sz w:val="16"/>
              </w:rPr>
              <w:t>3.467</w:t>
            </w:r>
          </w:p>
        </w:tc>
        <w:tc>
          <w:tcPr>
            <w:tcW w:type="dxa" w:w="864"/>
          </w:tcPr>
          <w:p>
            <w:pPr>
              <w:spacing w:after="40" w:line="240" w:lineRule="auto"/>
              <w:jc w:val="left"/>
            </w:pPr>
            <w:r/>
            <w:r>
              <w:rPr>
                <w:rFonts w:ascii="Times New Roman" w:hAnsi="Times New Roman"/>
                <w:sz w:val="16"/>
              </w:rPr>
              <w:t>0.962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-0.245</w:t>
            </w:r>
          </w:p>
        </w:tc>
        <w:tc>
          <w:tcPr>
            <w:tcW w:type="dxa" w:w="1008"/>
          </w:tcPr>
          <w:p>
            <w:pPr>
              <w:spacing w:after="40" w:line="240" w:lineRule="auto"/>
              <w:jc w:val="left"/>
            </w:pPr>
            <w:r/>
            <w:r>
              <w:rPr>
                <w:rFonts w:ascii="Times New Roman" w:hAnsi="Times New Roman"/>
                <w:sz w:val="16"/>
              </w:rPr>
              <w:t>-0.358</w:t>
            </w:r>
          </w:p>
        </w:tc>
        <w:tc>
          <w:tcPr>
            <w:tcW w:type="dxa" w:w="1872"/>
          </w:tcPr>
          <w:p>
            <w:pPr>
              <w:spacing w:after="40" w:line="240" w:lineRule="auto"/>
              <w:jc w:val="center"/>
            </w:pPr>
            <w:r/>
            <w:r>
              <w:rPr>
                <w:rFonts w:ascii="Times New Roman" w:hAnsi="Times New Roman"/>
                <w:sz w:val="16"/>
              </w:rPr>
              <w:t>0.656</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DIGI4</w:t>
            </w:r>
          </w:p>
        </w:tc>
        <w:tc>
          <w:tcPr>
            <w:tcW w:type="dxa" w:w="864"/>
          </w:tcPr>
          <w:p>
            <w:pPr>
              <w:spacing w:after="40" w:line="240" w:lineRule="auto"/>
              <w:jc w:val="left"/>
            </w:pPr>
            <w:r/>
            <w:r>
              <w:rPr>
                <w:rFonts w:ascii="Times New Roman" w:hAnsi="Times New Roman"/>
                <w:sz w:val="16"/>
              </w:rPr>
              <w:t>3.375</w:t>
            </w:r>
          </w:p>
        </w:tc>
        <w:tc>
          <w:tcPr>
            <w:tcW w:type="dxa" w:w="864"/>
          </w:tcPr>
          <w:p>
            <w:pPr>
              <w:spacing w:after="40" w:line="240" w:lineRule="auto"/>
              <w:jc w:val="left"/>
            </w:pPr>
            <w:r/>
            <w:r>
              <w:rPr>
                <w:rFonts w:ascii="Times New Roman" w:hAnsi="Times New Roman"/>
                <w:sz w:val="16"/>
              </w:rPr>
              <w:t>0.979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-0.237</w:t>
            </w:r>
          </w:p>
        </w:tc>
        <w:tc>
          <w:tcPr>
            <w:tcW w:type="dxa" w:w="1008"/>
          </w:tcPr>
          <w:p>
            <w:pPr>
              <w:spacing w:after="40" w:line="240" w:lineRule="auto"/>
              <w:jc w:val="left"/>
            </w:pPr>
            <w:r/>
            <w:r>
              <w:rPr>
                <w:rFonts w:ascii="Times New Roman" w:hAnsi="Times New Roman"/>
                <w:sz w:val="16"/>
              </w:rPr>
              <w:t>-0.523</w:t>
            </w:r>
          </w:p>
        </w:tc>
        <w:tc>
          <w:tcPr>
            <w:tcW w:type="dxa" w:w="1872"/>
          </w:tcPr>
          <w:p>
            <w:pPr>
              <w:spacing w:after="40" w:line="240" w:lineRule="auto"/>
              <w:jc w:val="center"/>
            </w:pPr>
            <w:r/>
            <w:r>
              <w:rPr>
                <w:rFonts w:ascii="Times New Roman" w:hAnsi="Times New Roman"/>
                <w:sz w:val="16"/>
              </w:rPr>
              <w:t>0.592</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REPU1</w:t>
            </w:r>
          </w:p>
        </w:tc>
        <w:tc>
          <w:tcPr>
            <w:tcW w:type="dxa" w:w="864"/>
          </w:tcPr>
          <w:p>
            <w:pPr>
              <w:spacing w:after="40" w:line="240" w:lineRule="auto"/>
              <w:jc w:val="left"/>
            </w:pPr>
            <w:r/>
            <w:r>
              <w:rPr>
                <w:rFonts w:ascii="Times New Roman" w:hAnsi="Times New Roman"/>
                <w:sz w:val="16"/>
              </w:rPr>
              <w:t>4.026</w:t>
            </w:r>
          </w:p>
        </w:tc>
        <w:tc>
          <w:tcPr>
            <w:tcW w:type="dxa" w:w="864"/>
          </w:tcPr>
          <w:p>
            <w:pPr>
              <w:spacing w:after="40" w:line="240" w:lineRule="auto"/>
              <w:jc w:val="left"/>
            </w:pPr>
            <w:r/>
            <w:r>
              <w:rPr>
                <w:rFonts w:ascii="Times New Roman" w:hAnsi="Times New Roman"/>
                <w:sz w:val="16"/>
              </w:rPr>
              <w:t>0.766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-0.563</w:t>
            </w:r>
          </w:p>
        </w:tc>
        <w:tc>
          <w:tcPr>
            <w:tcW w:type="dxa" w:w="1008"/>
          </w:tcPr>
          <w:p>
            <w:pPr>
              <w:spacing w:after="40" w:line="240" w:lineRule="auto"/>
              <w:jc w:val="left"/>
            </w:pPr>
            <w:r/>
            <w:r>
              <w:rPr>
                <w:rFonts w:ascii="Times New Roman" w:hAnsi="Times New Roman"/>
                <w:sz w:val="16"/>
              </w:rPr>
              <w:t>0.399</w:t>
            </w:r>
          </w:p>
        </w:tc>
        <w:tc>
          <w:tcPr>
            <w:tcW w:type="dxa" w:w="1872"/>
          </w:tcPr>
          <w:p>
            <w:pPr>
              <w:spacing w:after="40" w:line="240" w:lineRule="auto"/>
              <w:jc w:val="center"/>
            </w:pPr>
            <w:r/>
            <w:r>
              <w:rPr>
                <w:rFonts w:ascii="Times New Roman" w:hAnsi="Times New Roman"/>
                <w:sz w:val="16"/>
              </w:rPr>
              <w:t>0.692</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REPU2</w:t>
            </w:r>
          </w:p>
        </w:tc>
        <w:tc>
          <w:tcPr>
            <w:tcW w:type="dxa" w:w="864"/>
          </w:tcPr>
          <w:p>
            <w:pPr>
              <w:spacing w:after="40" w:line="240" w:lineRule="auto"/>
              <w:jc w:val="left"/>
            </w:pPr>
            <w:r/>
            <w:r>
              <w:rPr>
                <w:rFonts w:ascii="Times New Roman" w:hAnsi="Times New Roman"/>
                <w:sz w:val="16"/>
              </w:rPr>
              <w:t>3.981</w:t>
            </w:r>
          </w:p>
        </w:tc>
        <w:tc>
          <w:tcPr>
            <w:tcW w:type="dxa" w:w="864"/>
          </w:tcPr>
          <w:p>
            <w:pPr>
              <w:spacing w:after="40" w:line="240" w:lineRule="auto"/>
              <w:jc w:val="left"/>
            </w:pPr>
            <w:r/>
            <w:r>
              <w:rPr>
                <w:rFonts w:ascii="Times New Roman" w:hAnsi="Times New Roman"/>
                <w:sz w:val="16"/>
              </w:rPr>
              <w:t>0.790</w:t>
            </w:r>
          </w:p>
        </w:tc>
        <w:tc>
          <w:tcPr>
            <w:tcW w:type="dxa" w:w="576"/>
          </w:tcPr>
          <w:p>
            <w:pPr>
              <w:spacing w:after="40" w:line="240" w:lineRule="auto"/>
              <w:jc w:val="left"/>
            </w:pPr>
            <w:r/>
            <w:r>
              <w:rPr>
                <w:rFonts w:ascii="Times New Roman" w:hAnsi="Times New Roman"/>
                <w:sz w:val="16"/>
              </w:rPr>
              <w:t>2</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-0.515</w:t>
            </w:r>
          </w:p>
        </w:tc>
        <w:tc>
          <w:tcPr>
            <w:tcW w:type="dxa" w:w="1008"/>
          </w:tcPr>
          <w:p>
            <w:pPr>
              <w:spacing w:after="40" w:line="240" w:lineRule="auto"/>
              <w:jc w:val="left"/>
            </w:pPr>
            <w:r/>
            <w:r>
              <w:rPr>
                <w:rFonts w:ascii="Times New Roman" w:hAnsi="Times New Roman"/>
                <w:sz w:val="16"/>
              </w:rPr>
              <w:t>-0.058</w:t>
            </w:r>
          </w:p>
        </w:tc>
        <w:tc>
          <w:tcPr>
            <w:tcW w:type="dxa" w:w="1872"/>
          </w:tcPr>
          <w:p>
            <w:pPr>
              <w:spacing w:after="40" w:line="240" w:lineRule="auto"/>
              <w:jc w:val="center"/>
            </w:pPr>
            <w:r/>
            <w:r>
              <w:rPr>
                <w:rFonts w:ascii="Times New Roman" w:hAnsi="Times New Roman"/>
                <w:sz w:val="16"/>
              </w:rPr>
              <w:t>0.661</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REPU3</w:t>
            </w:r>
          </w:p>
        </w:tc>
        <w:tc>
          <w:tcPr>
            <w:tcW w:type="dxa" w:w="864"/>
          </w:tcPr>
          <w:p>
            <w:pPr>
              <w:spacing w:after="40" w:line="240" w:lineRule="auto"/>
              <w:jc w:val="left"/>
            </w:pPr>
            <w:r/>
            <w:r>
              <w:rPr>
                <w:rFonts w:ascii="Times New Roman" w:hAnsi="Times New Roman"/>
                <w:sz w:val="16"/>
              </w:rPr>
              <w:t>3.890</w:t>
            </w:r>
          </w:p>
        </w:tc>
        <w:tc>
          <w:tcPr>
            <w:tcW w:type="dxa" w:w="864"/>
          </w:tcPr>
          <w:p>
            <w:pPr>
              <w:spacing w:after="40" w:line="240" w:lineRule="auto"/>
              <w:jc w:val="left"/>
            </w:pPr>
            <w:r/>
            <w:r>
              <w:rPr>
                <w:rFonts w:ascii="Times New Roman" w:hAnsi="Times New Roman"/>
                <w:sz w:val="16"/>
              </w:rPr>
              <w:t>0.848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-0.492</w:t>
            </w:r>
          </w:p>
        </w:tc>
        <w:tc>
          <w:tcPr>
            <w:tcW w:type="dxa" w:w="1008"/>
          </w:tcPr>
          <w:p>
            <w:pPr>
              <w:spacing w:after="40" w:line="240" w:lineRule="auto"/>
              <w:jc w:val="left"/>
            </w:pPr>
            <w:r/>
            <w:r>
              <w:rPr>
                <w:rFonts w:ascii="Times New Roman" w:hAnsi="Times New Roman"/>
                <w:sz w:val="16"/>
              </w:rPr>
              <w:t>-0.049</w:t>
            </w:r>
          </w:p>
        </w:tc>
        <w:tc>
          <w:tcPr>
            <w:tcW w:type="dxa" w:w="1872"/>
          </w:tcPr>
          <w:p>
            <w:pPr>
              <w:spacing w:after="40" w:line="240" w:lineRule="auto"/>
              <w:jc w:val="center"/>
            </w:pPr>
            <w:r/>
            <w:r>
              <w:rPr>
                <w:rFonts w:ascii="Times New Roman" w:hAnsi="Times New Roman"/>
                <w:sz w:val="16"/>
              </w:rPr>
              <w:t>0.642</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REPU4</w:t>
            </w:r>
          </w:p>
        </w:tc>
        <w:tc>
          <w:tcPr>
            <w:tcW w:type="dxa" w:w="864"/>
          </w:tcPr>
          <w:p>
            <w:pPr>
              <w:spacing w:after="40" w:line="240" w:lineRule="auto"/>
              <w:jc w:val="left"/>
            </w:pPr>
            <w:r/>
            <w:r>
              <w:rPr>
                <w:rFonts w:ascii="Times New Roman" w:hAnsi="Times New Roman"/>
                <w:sz w:val="16"/>
              </w:rPr>
              <w:t>4.015</w:t>
            </w:r>
          </w:p>
        </w:tc>
        <w:tc>
          <w:tcPr>
            <w:tcW w:type="dxa" w:w="864"/>
          </w:tcPr>
          <w:p>
            <w:pPr>
              <w:spacing w:after="40" w:line="240" w:lineRule="auto"/>
              <w:jc w:val="left"/>
            </w:pPr>
            <w:r/>
            <w:r>
              <w:rPr>
                <w:rFonts w:ascii="Times New Roman" w:hAnsi="Times New Roman"/>
                <w:sz w:val="16"/>
              </w:rPr>
              <w:t>0.786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-0.444</w:t>
            </w:r>
          </w:p>
        </w:tc>
        <w:tc>
          <w:tcPr>
            <w:tcW w:type="dxa" w:w="1008"/>
          </w:tcPr>
          <w:p>
            <w:pPr>
              <w:spacing w:after="40" w:line="240" w:lineRule="auto"/>
              <w:jc w:val="left"/>
            </w:pPr>
            <w:r/>
            <w:r>
              <w:rPr>
                <w:rFonts w:ascii="Times New Roman" w:hAnsi="Times New Roman"/>
                <w:sz w:val="16"/>
              </w:rPr>
              <w:t>-0.206</w:t>
            </w:r>
          </w:p>
        </w:tc>
        <w:tc>
          <w:tcPr>
            <w:tcW w:type="dxa" w:w="1872"/>
          </w:tcPr>
          <w:p>
            <w:pPr>
              <w:spacing w:after="40" w:line="240" w:lineRule="auto"/>
              <w:jc w:val="center"/>
            </w:pPr>
            <w:r/>
            <w:r>
              <w:rPr>
                <w:rFonts w:ascii="Times New Roman" w:hAnsi="Times New Roman"/>
                <w:sz w:val="16"/>
              </w:rPr>
              <w:t>0.636</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RELA1</w:t>
            </w:r>
          </w:p>
        </w:tc>
        <w:tc>
          <w:tcPr>
            <w:tcW w:type="dxa" w:w="864"/>
          </w:tcPr>
          <w:p>
            <w:pPr>
              <w:spacing w:after="40" w:line="240" w:lineRule="auto"/>
              <w:jc w:val="left"/>
            </w:pPr>
            <w:r/>
            <w:r>
              <w:rPr>
                <w:rFonts w:ascii="Times New Roman" w:hAnsi="Times New Roman"/>
                <w:sz w:val="16"/>
              </w:rPr>
              <w:t>3.620</w:t>
            </w:r>
          </w:p>
        </w:tc>
        <w:tc>
          <w:tcPr>
            <w:tcW w:type="dxa" w:w="864"/>
          </w:tcPr>
          <w:p>
            <w:pPr>
              <w:spacing w:after="40" w:line="240" w:lineRule="auto"/>
              <w:jc w:val="left"/>
            </w:pPr>
            <w:r/>
            <w:r>
              <w:rPr>
                <w:rFonts w:ascii="Times New Roman" w:hAnsi="Times New Roman"/>
                <w:sz w:val="16"/>
              </w:rPr>
              <w:t>0.938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-0.373</w:t>
            </w:r>
          </w:p>
        </w:tc>
        <w:tc>
          <w:tcPr>
            <w:tcW w:type="dxa" w:w="1008"/>
          </w:tcPr>
          <w:p>
            <w:pPr>
              <w:spacing w:after="40" w:line="240" w:lineRule="auto"/>
              <w:jc w:val="left"/>
            </w:pPr>
            <w:r/>
            <w:r>
              <w:rPr>
                <w:rFonts w:ascii="Times New Roman" w:hAnsi="Times New Roman"/>
                <w:sz w:val="16"/>
              </w:rPr>
              <w:t>-0.238</w:t>
            </w:r>
          </w:p>
        </w:tc>
        <w:tc>
          <w:tcPr>
            <w:tcW w:type="dxa" w:w="1872"/>
          </w:tcPr>
          <w:p>
            <w:pPr>
              <w:spacing w:after="40" w:line="240" w:lineRule="auto"/>
              <w:jc w:val="center"/>
            </w:pPr>
            <w:r/>
            <w:r>
              <w:rPr>
                <w:rFonts w:ascii="Times New Roman" w:hAnsi="Times New Roman"/>
                <w:sz w:val="16"/>
              </w:rPr>
              <w:t>0.661</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RELA2</w:t>
            </w:r>
          </w:p>
        </w:tc>
        <w:tc>
          <w:tcPr>
            <w:tcW w:type="dxa" w:w="864"/>
          </w:tcPr>
          <w:p>
            <w:pPr>
              <w:spacing w:after="40" w:line="240" w:lineRule="auto"/>
              <w:jc w:val="left"/>
            </w:pPr>
            <w:r/>
            <w:r>
              <w:rPr>
                <w:rFonts w:ascii="Times New Roman" w:hAnsi="Times New Roman"/>
                <w:sz w:val="16"/>
              </w:rPr>
              <w:t>3.574</w:t>
            </w:r>
          </w:p>
        </w:tc>
        <w:tc>
          <w:tcPr>
            <w:tcW w:type="dxa" w:w="864"/>
          </w:tcPr>
          <w:p>
            <w:pPr>
              <w:spacing w:after="40" w:line="240" w:lineRule="auto"/>
              <w:jc w:val="left"/>
            </w:pPr>
            <w:r/>
            <w:r>
              <w:rPr>
                <w:rFonts w:ascii="Times New Roman" w:hAnsi="Times New Roman"/>
                <w:sz w:val="16"/>
              </w:rPr>
              <w:t>0.910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-0.294</w:t>
            </w:r>
          </w:p>
        </w:tc>
        <w:tc>
          <w:tcPr>
            <w:tcW w:type="dxa" w:w="1008"/>
          </w:tcPr>
          <w:p>
            <w:pPr>
              <w:spacing w:after="40" w:line="240" w:lineRule="auto"/>
              <w:jc w:val="left"/>
            </w:pPr>
            <w:r/>
            <w:r>
              <w:rPr>
                <w:rFonts w:ascii="Times New Roman" w:hAnsi="Times New Roman"/>
                <w:sz w:val="16"/>
              </w:rPr>
              <w:t>-0.198</w:t>
            </w:r>
          </w:p>
        </w:tc>
        <w:tc>
          <w:tcPr>
            <w:tcW w:type="dxa" w:w="1872"/>
          </w:tcPr>
          <w:p>
            <w:pPr>
              <w:spacing w:after="40" w:line="240" w:lineRule="auto"/>
              <w:jc w:val="center"/>
            </w:pPr>
            <w:r/>
            <w:r>
              <w:rPr>
                <w:rFonts w:ascii="Times New Roman" w:hAnsi="Times New Roman"/>
                <w:sz w:val="16"/>
              </w:rPr>
              <w:t>0.625</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RELA3</w:t>
            </w:r>
          </w:p>
        </w:tc>
        <w:tc>
          <w:tcPr>
            <w:tcW w:type="dxa" w:w="864"/>
          </w:tcPr>
          <w:p>
            <w:pPr>
              <w:spacing w:after="40" w:line="240" w:lineRule="auto"/>
              <w:jc w:val="left"/>
            </w:pPr>
            <w:r/>
            <w:r>
              <w:rPr>
                <w:rFonts w:ascii="Times New Roman" w:hAnsi="Times New Roman"/>
                <w:sz w:val="16"/>
              </w:rPr>
              <w:t>3.704</w:t>
            </w:r>
          </w:p>
        </w:tc>
        <w:tc>
          <w:tcPr>
            <w:tcW w:type="dxa" w:w="864"/>
          </w:tcPr>
          <w:p>
            <w:pPr>
              <w:spacing w:after="40" w:line="240" w:lineRule="auto"/>
              <w:jc w:val="left"/>
            </w:pPr>
            <w:r/>
            <w:r>
              <w:rPr>
                <w:rFonts w:ascii="Times New Roman" w:hAnsi="Times New Roman"/>
                <w:sz w:val="16"/>
              </w:rPr>
              <w:t>0.916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-0.397</w:t>
            </w:r>
          </w:p>
        </w:tc>
        <w:tc>
          <w:tcPr>
            <w:tcW w:type="dxa" w:w="1008"/>
          </w:tcPr>
          <w:p>
            <w:pPr>
              <w:spacing w:after="40" w:line="240" w:lineRule="auto"/>
              <w:jc w:val="left"/>
            </w:pPr>
            <w:r/>
            <w:r>
              <w:rPr>
                <w:rFonts w:ascii="Times New Roman" w:hAnsi="Times New Roman"/>
                <w:sz w:val="16"/>
              </w:rPr>
              <w:t>-0.275</w:t>
            </w:r>
          </w:p>
        </w:tc>
        <w:tc>
          <w:tcPr>
            <w:tcW w:type="dxa" w:w="1872"/>
          </w:tcPr>
          <w:p>
            <w:pPr>
              <w:spacing w:after="40" w:line="240" w:lineRule="auto"/>
              <w:jc w:val="center"/>
            </w:pPr>
            <w:r/>
            <w:r>
              <w:rPr>
                <w:rFonts w:ascii="Times New Roman" w:hAnsi="Times New Roman"/>
                <w:sz w:val="16"/>
              </w:rPr>
              <w:t>0.690</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RELA4</w:t>
            </w:r>
          </w:p>
        </w:tc>
        <w:tc>
          <w:tcPr>
            <w:tcW w:type="dxa" w:w="864"/>
          </w:tcPr>
          <w:p>
            <w:pPr>
              <w:spacing w:after="40" w:line="240" w:lineRule="auto"/>
              <w:jc w:val="left"/>
            </w:pPr>
            <w:r/>
            <w:r>
              <w:rPr>
                <w:rFonts w:ascii="Times New Roman" w:hAnsi="Times New Roman"/>
                <w:sz w:val="16"/>
              </w:rPr>
              <w:t>3.614</w:t>
            </w:r>
          </w:p>
        </w:tc>
        <w:tc>
          <w:tcPr>
            <w:tcW w:type="dxa" w:w="864"/>
          </w:tcPr>
          <w:p>
            <w:pPr>
              <w:spacing w:after="40" w:line="240" w:lineRule="auto"/>
              <w:jc w:val="left"/>
            </w:pPr>
            <w:r/>
            <w:r>
              <w:rPr>
                <w:rFonts w:ascii="Times New Roman" w:hAnsi="Times New Roman"/>
                <w:sz w:val="16"/>
              </w:rPr>
              <w:t>0.936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-0.401</w:t>
            </w:r>
          </w:p>
        </w:tc>
        <w:tc>
          <w:tcPr>
            <w:tcW w:type="dxa" w:w="1008"/>
          </w:tcPr>
          <w:p>
            <w:pPr>
              <w:spacing w:after="40" w:line="240" w:lineRule="auto"/>
              <w:jc w:val="left"/>
            </w:pPr>
            <w:r/>
            <w:r>
              <w:rPr>
                <w:rFonts w:ascii="Times New Roman" w:hAnsi="Times New Roman"/>
                <w:sz w:val="16"/>
              </w:rPr>
              <w:t>-0.258</w:t>
            </w:r>
          </w:p>
        </w:tc>
        <w:tc>
          <w:tcPr>
            <w:tcW w:type="dxa" w:w="1872"/>
          </w:tcPr>
          <w:p>
            <w:pPr>
              <w:spacing w:after="40" w:line="240" w:lineRule="auto"/>
              <w:jc w:val="center"/>
            </w:pPr>
            <w:r/>
            <w:r>
              <w:rPr>
                <w:rFonts w:ascii="Times New Roman" w:hAnsi="Times New Roman"/>
                <w:sz w:val="16"/>
              </w:rPr>
              <w:t>0.631</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STAFF1</w:t>
            </w:r>
          </w:p>
        </w:tc>
        <w:tc>
          <w:tcPr>
            <w:tcW w:type="dxa" w:w="864"/>
          </w:tcPr>
          <w:p>
            <w:pPr>
              <w:spacing w:after="40" w:line="240" w:lineRule="auto"/>
              <w:jc w:val="left"/>
            </w:pPr>
            <w:r/>
            <w:r>
              <w:rPr>
                <w:rFonts w:ascii="Times New Roman" w:hAnsi="Times New Roman"/>
                <w:sz w:val="16"/>
              </w:rPr>
              <w:t>3.679</w:t>
            </w:r>
          </w:p>
        </w:tc>
        <w:tc>
          <w:tcPr>
            <w:tcW w:type="dxa" w:w="864"/>
          </w:tcPr>
          <w:p>
            <w:pPr>
              <w:spacing w:after="40" w:line="240" w:lineRule="auto"/>
              <w:jc w:val="left"/>
            </w:pPr>
            <w:r/>
            <w:r>
              <w:rPr>
                <w:rFonts w:ascii="Times New Roman" w:hAnsi="Times New Roman"/>
                <w:sz w:val="16"/>
              </w:rPr>
              <w:t>0.908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-0.348</w:t>
            </w:r>
          </w:p>
        </w:tc>
        <w:tc>
          <w:tcPr>
            <w:tcW w:type="dxa" w:w="1008"/>
          </w:tcPr>
          <w:p>
            <w:pPr>
              <w:spacing w:after="40" w:line="240" w:lineRule="auto"/>
              <w:jc w:val="left"/>
            </w:pPr>
            <w:r/>
            <w:r>
              <w:rPr>
                <w:rFonts w:ascii="Times New Roman" w:hAnsi="Times New Roman"/>
                <w:sz w:val="16"/>
              </w:rPr>
              <w:t>-0.192</w:t>
            </w:r>
          </w:p>
        </w:tc>
        <w:tc>
          <w:tcPr>
            <w:tcW w:type="dxa" w:w="1872"/>
          </w:tcPr>
          <w:p>
            <w:pPr>
              <w:spacing w:after="40" w:line="240" w:lineRule="auto"/>
              <w:jc w:val="center"/>
            </w:pPr>
            <w:r/>
            <w:r>
              <w:rPr>
                <w:rFonts w:ascii="Times New Roman" w:hAnsi="Times New Roman"/>
                <w:sz w:val="16"/>
              </w:rPr>
              <w:t>0.672</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STAFF2</w:t>
            </w:r>
          </w:p>
        </w:tc>
        <w:tc>
          <w:tcPr>
            <w:tcW w:type="dxa" w:w="864"/>
          </w:tcPr>
          <w:p>
            <w:pPr>
              <w:spacing w:after="40" w:line="240" w:lineRule="auto"/>
              <w:jc w:val="left"/>
            </w:pPr>
            <w:r/>
            <w:r>
              <w:rPr>
                <w:rFonts w:ascii="Times New Roman" w:hAnsi="Times New Roman"/>
                <w:sz w:val="16"/>
              </w:rPr>
              <w:t>3.599</w:t>
            </w:r>
          </w:p>
        </w:tc>
        <w:tc>
          <w:tcPr>
            <w:tcW w:type="dxa" w:w="864"/>
          </w:tcPr>
          <w:p>
            <w:pPr>
              <w:spacing w:after="40" w:line="240" w:lineRule="auto"/>
              <w:jc w:val="left"/>
            </w:pPr>
            <w:r/>
            <w:r>
              <w:rPr>
                <w:rFonts w:ascii="Times New Roman" w:hAnsi="Times New Roman"/>
                <w:sz w:val="16"/>
              </w:rPr>
              <w:t>0.910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-0.329</w:t>
            </w:r>
          </w:p>
        </w:tc>
        <w:tc>
          <w:tcPr>
            <w:tcW w:type="dxa" w:w="1008"/>
          </w:tcPr>
          <w:p>
            <w:pPr>
              <w:spacing w:after="40" w:line="240" w:lineRule="auto"/>
              <w:jc w:val="left"/>
            </w:pPr>
            <w:r/>
            <w:r>
              <w:rPr>
                <w:rFonts w:ascii="Times New Roman" w:hAnsi="Times New Roman"/>
                <w:sz w:val="16"/>
              </w:rPr>
              <w:t>-0.255</w:t>
            </w:r>
          </w:p>
        </w:tc>
        <w:tc>
          <w:tcPr>
            <w:tcW w:type="dxa" w:w="1872"/>
          </w:tcPr>
          <w:p>
            <w:pPr>
              <w:spacing w:after="40" w:line="240" w:lineRule="auto"/>
              <w:jc w:val="center"/>
            </w:pPr>
            <w:r/>
            <w:r>
              <w:rPr>
                <w:rFonts w:ascii="Times New Roman" w:hAnsi="Times New Roman"/>
                <w:sz w:val="16"/>
              </w:rPr>
              <w:t>0.645</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STAFF3</w:t>
            </w:r>
          </w:p>
        </w:tc>
        <w:tc>
          <w:tcPr>
            <w:tcW w:type="dxa" w:w="864"/>
          </w:tcPr>
          <w:p>
            <w:pPr>
              <w:spacing w:after="40" w:line="240" w:lineRule="auto"/>
              <w:jc w:val="left"/>
            </w:pPr>
            <w:r/>
            <w:r>
              <w:rPr>
                <w:rFonts w:ascii="Times New Roman" w:hAnsi="Times New Roman"/>
                <w:sz w:val="16"/>
              </w:rPr>
              <w:t>3.445</w:t>
            </w:r>
          </w:p>
        </w:tc>
        <w:tc>
          <w:tcPr>
            <w:tcW w:type="dxa" w:w="864"/>
          </w:tcPr>
          <w:p>
            <w:pPr>
              <w:spacing w:after="40" w:line="240" w:lineRule="auto"/>
              <w:jc w:val="left"/>
            </w:pPr>
            <w:r/>
            <w:r>
              <w:rPr>
                <w:rFonts w:ascii="Times New Roman" w:hAnsi="Times New Roman"/>
                <w:sz w:val="16"/>
              </w:rPr>
              <w:t>0.950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-0.210</w:t>
            </w:r>
          </w:p>
        </w:tc>
        <w:tc>
          <w:tcPr>
            <w:tcW w:type="dxa" w:w="1008"/>
          </w:tcPr>
          <w:p>
            <w:pPr>
              <w:spacing w:after="40" w:line="240" w:lineRule="auto"/>
              <w:jc w:val="left"/>
            </w:pPr>
            <w:r/>
            <w:r>
              <w:rPr>
                <w:rFonts w:ascii="Times New Roman" w:hAnsi="Times New Roman"/>
                <w:sz w:val="16"/>
              </w:rPr>
              <w:t>-0.389</w:t>
            </w:r>
          </w:p>
        </w:tc>
        <w:tc>
          <w:tcPr>
            <w:tcW w:type="dxa" w:w="1872"/>
          </w:tcPr>
          <w:p>
            <w:pPr>
              <w:spacing w:after="40" w:line="240" w:lineRule="auto"/>
              <w:jc w:val="center"/>
            </w:pPr>
            <w:r/>
            <w:r>
              <w:rPr>
                <w:rFonts w:ascii="Times New Roman" w:hAnsi="Times New Roman"/>
                <w:sz w:val="16"/>
              </w:rPr>
              <w:t>0.551</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STAFF4</w:t>
            </w:r>
          </w:p>
        </w:tc>
        <w:tc>
          <w:tcPr>
            <w:tcW w:type="dxa" w:w="864"/>
          </w:tcPr>
          <w:p>
            <w:pPr>
              <w:spacing w:after="40" w:line="240" w:lineRule="auto"/>
              <w:jc w:val="left"/>
            </w:pPr>
            <w:r/>
            <w:r>
              <w:rPr>
                <w:rFonts w:ascii="Times New Roman" w:hAnsi="Times New Roman"/>
                <w:sz w:val="16"/>
              </w:rPr>
              <w:t>3.639</w:t>
            </w:r>
          </w:p>
        </w:tc>
        <w:tc>
          <w:tcPr>
            <w:tcW w:type="dxa" w:w="864"/>
          </w:tcPr>
          <w:p>
            <w:pPr>
              <w:spacing w:after="40" w:line="240" w:lineRule="auto"/>
              <w:jc w:val="left"/>
            </w:pPr>
            <w:r/>
            <w:r>
              <w:rPr>
                <w:rFonts w:ascii="Times New Roman" w:hAnsi="Times New Roman"/>
                <w:sz w:val="16"/>
              </w:rPr>
              <w:t>0.924</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-0.367</w:t>
            </w:r>
          </w:p>
        </w:tc>
        <w:tc>
          <w:tcPr>
            <w:tcW w:type="dxa" w:w="1008"/>
          </w:tcPr>
          <w:p>
            <w:pPr>
              <w:spacing w:after="40" w:line="240" w:lineRule="auto"/>
              <w:jc w:val="left"/>
            </w:pPr>
            <w:r/>
            <w:r>
              <w:rPr>
                <w:rFonts w:ascii="Times New Roman" w:hAnsi="Times New Roman"/>
                <w:sz w:val="16"/>
              </w:rPr>
              <w:t>-0.074</w:t>
            </w:r>
          </w:p>
        </w:tc>
        <w:tc>
          <w:tcPr>
            <w:tcW w:type="dxa" w:w="1872"/>
          </w:tcPr>
          <w:p>
            <w:pPr>
              <w:spacing w:after="40" w:line="240" w:lineRule="auto"/>
              <w:jc w:val="center"/>
            </w:pPr>
            <w:r/>
            <w:r>
              <w:rPr>
                <w:rFonts w:ascii="Times New Roman" w:hAnsi="Times New Roman"/>
                <w:sz w:val="16"/>
              </w:rPr>
              <w:t>0.613</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COLL1</w:t>
            </w:r>
          </w:p>
        </w:tc>
        <w:tc>
          <w:tcPr>
            <w:tcW w:type="dxa" w:w="864"/>
          </w:tcPr>
          <w:p>
            <w:pPr>
              <w:spacing w:after="40" w:line="240" w:lineRule="auto"/>
              <w:jc w:val="left"/>
            </w:pPr>
            <w:r/>
            <w:r>
              <w:rPr>
                <w:rFonts w:ascii="Times New Roman" w:hAnsi="Times New Roman"/>
                <w:sz w:val="16"/>
              </w:rPr>
              <w:t>3.394</w:t>
            </w:r>
          </w:p>
        </w:tc>
        <w:tc>
          <w:tcPr>
            <w:tcW w:type="dxa" w:w="864"/>
          </w:tcPr>
          <w:p>
            <w:pPr>
              <w:spacing w:after="40" w:line="240" w:lineRule="auto"/>
              <w:jc w:val="left"/>
            </w:pPr>
            <w:r/>
            <w:r>
              <w:rPr>
                <w:rFonts w:ascii="Times New Roman" w:hAnsi="Times New Roman"/>
                <w:sz w:val="16"/>
              </w:rPr>
              <w:t>0.959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-0.156</w:t>
            </w:r>
          </w:p>
        </w:tc>
        <w:tc>
          <w:tcPr>
            <w:tcW w:type="dxa" w:w="1008"/>
          </w:tcPr>
          <w:p>
            <w:pPr>
              <w:spacing w:after="40" w:line="240" w:lineRule="auto"/>
              <w:jc w:val="left"/>
            </w:pPr>
            <w:r/>
            <w:r>
              <w:rPr>
                <w:rFonts w:ascii="Times New Roman" w:hAnsi="Times New Roman"/>
                <w:sz w:val="16"/>
              </w:rPr>
              <w:t>-0.451</w:t>
            </w:r>
          </w:p>
        </w:tc>
        <w:tc>
          <w:tcPr>
            <w:tcW w:type="dxa" w:w="1872"/>
          </w:tcPr>
          <w:p>
            <w:pPr>
              <w:spacing w:after="40" w:line="240" w:lineRule="auto"/>
              <w:jc w:val="center"/>
            </w:pPr>
            <w:r/>
            <w:r>
              <w:rPr>
                <w:rFonts w:ascii="Times New Roman" w:hAnsi="Times New Roman"/>
                <w:sz w:val="16"/>
              </w:rPr>
              <w:t>0.691</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COLL2</w:t>
            </w:r>
          </w:p>
        </w:tc>
        <w:tc>
          <w:tcPr>
            <w:tcW w:type="dxa" w:w="864"/>
          </w:tcPr>
          <w:p>
            <w:pPr>
              <w:spacing w:after="40" w:line="240" w:lineRule="auto"/>
              <w:jc w:val="left"/>
            </w:pPr>
            <w:r/>
            <w:r>
              <w:rPr>
                <w:rFonts w:ascii="Times New Roman" w:hAnsi="Times New Roman"/>
                <w:sz w:val="16"/>
              </w:rPr>
              <w:t>3.353</w:t>
            </w:r>
          </w:p>
        </w:tc>
        <w:tc>
          <w:tcPr>
            <w:tcW w:type="dxa" w:w="864"/>
          </w:tcPr>
          <w:p>
            <w:pPr>
              <w:spacing w:after="40" w:line="240" w:lineRule="auto"/>
              <w:jc w:val="left"/>
            </w:pPr>
            <w:r/>
            <w:r>
              <w:rPr>
                <w:rFonts w:ascii="Times New Roman" w:hAnsi="Times New Roman"/>
                <w:sz w:val="16"/>
              </w:rPr>
              <w:t>0.935</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-0.285</w:t>
            </w:r>
          </w:p>
        </w:tc>
        <w:tc>
          <w:tcPr>
            <w:tcW w:type="dxa" w:w="1008"/>
          </w:tcPr>
          <w:p>
            <w:pPr>
              <w:spacing w:after="40" w:line="240" w:lineRule="auto"/>
              <w:jc w:val="left"/>
            </w:pPr>
            <w:r/>
            <w:r>
              <w:rPr>
                <w:rFonts w:ascii="Times New Roman" w:hAnsi="Times New Roman"/>
                <w:sz w:val="16"/>
              </w:rPr>
              <w:t>-0.228</w:t>
            </w:r>
          </w:p>
        </w:tc>
        <w:tc>
          <w:tcPr>
            <w:tcW w:type="dxa" w:w="1872"/>
          </w:tcPr>
          <w:p>
            <w:pPr>
              <w:spacing w:after="40" w:line="240" w:lineRule="auto"/>
              <w:jc w:val="center"/>
            </w:pPr>
            <w:r/>
            <w:r>
              <w:rPr>
                <w:rFonts w:ascii="Times New Roman" w:hAnsi="Times New Roman"/>
                <w:sz w:val="16"/>
              </w:rPr>
              <w:t>0.662</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COLL3</w:t>
            </w:r>
          </w:p>
        </w:tc>
        <w:tc>
          <w:tcPr>
            <w:tcW w:type="dxa" w:w="864"/>
          </w:tcPr>
          <w:p>
            <w:pPr>
              <w:spacing w:after="40" w:line="240" w:lineRule="auto"/>
              <w:jc w:val="left"/>
            </w:pPr>
            <w:r/>
            <w:r>
              <w:rPr>
                <w:rFonts w:ascii="Times New Roman" w:hAnsi="Times New Roman"/>
                <w:sz w:val="16"/>
              </w:rPr>
              <w:t>3.481</w:t>
            </w:r>
          </w:p>
        </w:tc>
        <w:tc>
          <w:tcPr>
            <w:tcW w:type="dxa" w:w="864"/>
          </w:tcPr>
          <w:p>
            <w:pPr>
              <w:spacing w:after="40" w:line="240" w:lineRule="auto"/>
              <w:jc w:val="left"/>
            </w:pPr>
            <w:r/>
            <w:r>
              <w:rPr>
                <w:rFonts w:ascii="Times New Roman" w:hAnsi="Times New Roman"/>
                <w:sz w:val="16"/>
              </w:rPr>
              <w:t>0.936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-0.156</w:t>
            </w:r>
          </w:p>
        </w:tc>
        <w:tc>
          <w:tcPr>
            <w:tcW w:type="dxa" w:w="1008"/>
          </w:tcPr>
          <w:p>
            <w:pPr>
              <w:spacing w:after="40" w:line="240" w:lineRule="auto"/>
              <w:jc w:val="left"/>
            </w:pPr>
            <w:r/>
            <w:r>
              <w:rPr>
                <w:rFonts w:ascii="Times New Roman" w:hAnsi="Times New Roman"/>
                <w:sz w:val="16"/>
              </w:rPr>
              <w:t>-0.459</w:t>
            </w:r>
          </w:p>
        </w:tc>
        <w:tc>
          <w:tcPr>
            <w:tcW w:type="dxa" w:w="1872"/>
          </w:tcPr>
          <w:p>
            <w:pPr>
              <w:spacing w:after="40" w:line="240" w:lineRule="auto"/>
              <w:jc w:val="center"/>
            </w:pPr>
            <w:r/>
            <w:r>
              <w:rPr>
                <w:rFonts w:ascii="Times New Roman" w:hAnsi="Times New Roman"/>
                <w:sz w:val="16"/>
              </w:rPr>
              <w:t>0.667</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COLL4</w:t>
            </w:r>
          </w:p>
        </w:tc>
        <w:tc>
          <w:tcPr>
            <w:tcW w:type="dxa" w:w="864"/>
          </w:tcPr>
          <w:p>
            <w:pPr>
              <w:spacing w:after="40" w:line="240" w:lineRule="auto"/>
              <w:jc w:val="left"/>
            </w:pPr>
            <w:r/>
            <w:r>
              <w:rPr>
                <w:rFonts w:ascii="Times New Roman" w:hAnsi="Times New Roman"/>
                <w:sz w:val="16"/>
              </w:rPr>
              <w:t>3.369</w:t>
            </w:r>
          </w:p>
        </w:tc>
        <w:tc>
          <w:tcPr>
            <w:tcW w:type="dxa" w:w="864"/>
          </w:tcPr>
          <w:p>
            <w:pPr>
              <w:spacing w:after="40" w:line="240" w:lineRule="auto"/>
              <w:jc w:val="left"/>
            </w:pPr>
            <w:r/>
            <w:r>
              <w:rPr>
                <w:rFonts w:ascii="Times New Roman" w:hAnsi="Times New Roman"/>
                <w:sz w:val="16"/>
              </w:rPr>
              <w:t>0.970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-0.232</w:t>
            </w:r>
          </w:p>
        </w:tc>
        <w:tc>
          <w:tcPr>
            <w:tcW w:type="dxa" w:w="1008"/>
          </w:tcPr>
          <w:p>
            <w:pPr>
              <w:spacing w:after="40" w:line="240" w:lineRule="auto"/>
              <w:jc w:val="left"/>
            </w:pPr>
            <w:r/>
            <w:r>
              <w:rPr>
                <w:rFonts w:ascii="Times New Roman" w:hAnsi="Times New Roman"/>
                <w:sz w:val="16"/>
              </w:rPr>
              <w:t>-0.384</w:t>
            </w:r>
          </w:p>
        </w:tc>
        <w:tc>
          <w:tcPr>
            <w:tcW w:type="dxa" w:w="1872"/>
          </w:tcPr>
          <w:p>
            <w:pPr>
              <w:spacing w:after="40" w:line="240" w:lineRule="auto"/>
              <w:jc w:val="center"/>
            </w:pPr>
            <w:r/>
            <w:r>
              <w:rPr>
                <w:rFonts w:ascii="Times New Roman" w:hAnsi="Times New Roman"/>
                <w:sz w:val="16"/>
              </w:rPr>
              <w:t>0.638</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DEC1</w:t>
            </w:r>
          </w:p>
        </w:tc>
        <w:tc>
          <w:tcPr>
            <w:tcW w:type="dxa" w:w="864"/>
          </w:tcPr>
          <w:p>
            <w:pPr>
              <w:spacing w:after="40" w:line="240" w:lineRule="auto"/>
              <w:jc w:val="left"/>
            </w:pPr>
            <w:r/>
            <w:r>
              <w:rPr>
                <w:rFonts w:ascii="Times New Roman" w:hAnsi="Times New Roman"/>
                <w:sz w:val="16"/>
              </w:rPr>
              <w:t>3.645</w:t>
            </w:r>
          </w:p>
        </w:tc>
        <w:tc>
          <w:tcPr>
            <w:tcW w:type="dxa" w:w="864"/>
          </w:tcPr>
          <w:p>
            <w:pPr>
              <w:spacing w:after="40" w:line="240" w:lineRule="auto"/>
              <w:jc w:val="left"/>
            </w:pPr>
            <w:r/>
            <w:r>
              <w:rPr>
                <w:rFonts w:ascii="Times New Roman" w:hAnsi="Times New Roman"/>
                <w:sz w:val="16"/>
              </w:rPr>
              <w:t>0.921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-0.339</w:t>
            </w:r>
          </w:p>
        </w:tc>
        <w:tc>
          <w:tcPr>
            <w:tcW w:type="dxa" w:w="1008"/>
          </w:tcPr>
          <w:p>
            <w:pPr>
              <w:spacing w:after="40" w:line="240" w:lineRule="auto"/>
              <w:jc w:val="left"/>
            </w:pPr>
            <w:r/>
            <w:r>
              <w:rPr>
                <w:rFonts w:ascii="Times New Roman" w:hAnsi="Times New Roman"/>
                <w:sz w:val="16"/>
              </w:rPr>
              <w:t>-0.359</w:t>
            </w:r>
          </w:p>
        </w:tc>
        <w:tc>
          <w:tcPr>
            <w:tcW w:type="dxa" w:w="1872"/>
          </w:tcPr>
          <w:p>
            <w:pPr>
              <w:spacing w:after="40" w:line="240" w:lineRule="auto"/>
              <w:jc w:val="center"/>
            </w:pPr>
            <w:r/>
            <w:r>
              <w:rPr>
                <w:rFonts w:ascii="Times New Roman" w:hAnsi="Times New Roman"/>
                <w:sz w:val="16"/>
              </w:rPr>
              <w:t>0.658</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DEC2</w:t>
            </w:r>
          </w:p>
        </w:tc>
        <w:tc>
          <w:tcPr>
            <w:tcW w:type="dxa" w:w="864"/>
          </w:tcPr>
          <w:p>
            <w:pPr>
              <w:spacing w:after="40" w:line="240" w:lineRule="auto"/>
              <w:jc w:val="left"/>
            </w:pPr>
            <w:r/>
            <w:r>
              <w:rPr>
                <w:rFonts w:ascii="Times New Roman" w:hAnsi="Times New Roman"/>
                <w:sz w:val="16"/>
              </w:rPr>
              <w:t>3.808</w:t>
            </w:r>
          </w:p>
        </w:tc>
        <w:tc>
          <w:tcPr>
            <w:tcW w:type="dxa" w:w="864"/>
          </w:tcPr>
          <w:p>
            <w:pPr>
              <w:spacing w:after="40" w:line="240" w:lineRule="auto"/>
              <w:jc w:val="left"/>
            </w:pPr>
            <w:r/>
            <w:r>
              <w:rPr>
                <w:rFonts w:ascii="Times New Roman" w:hAnsi="Times New Roman"/>
                <w:sz w:val="16"/>
              </w:rPr>
              <w:t>0.915</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-0.515</w:t>
            </w:r>
          </w:p>
        </w:tc>
        <w:tc>
          <w:tcPr>
            <w:tcW w:type="dxa" w:w="1008"/>
          </w:tcPr>
          <w:p>
            <w:pPr>
              <w:spacing w:after="40" w:line="240" w:lineRule="auto"/>
              <w:jc w:val="left"/>
            </w:pPr>
            <w:r/>
            <w:r>
              <w:rPr>
                <w:rFonts w:ascii="Times New Roman" w:hAnsi="Times New Roman"/>
                <w:sz w:val="16"/>
              </w:rPr>
              <w:t>-0.173</w:t>
            </w:r>
          </w:p>
        </w:tc>
        <w:tc>
          <w:tcPr>
            <w:tcW w:type="dxa" w:w="1872"/>
          </w:tcPr>
          <w:p>
            <w:pPr>
              <w:spacing w:after="40" w:line="240" w:lineRule="auto"/>
              <w:jc w:val="center"/>
            </w:pPr>
            <w:r/>
            <w:r>
              <w:rPr>
                <w:rFonts w:ascii="Times New Roman" w:hAnsi="Times New Roman"/>
                <w:sz w:val="16"/>
              </w:rPr>
              <w:t>0.461</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DEC3</w:t>
            </w:r>
          </w:p>
        </w:tc>
        <w:tc>
          <w:tcPr>
            <w:tcW w:type="dxa" w:w="864"/>
          </w:tcPr>
          <w:p>
            <w:pPr>
              <w:spacing w:after="40" w:line="240" w:lineRule="auto"/>
              <w:jc w:val="left"/>
            </w:pPr>
            <w:r/>
            <w:r>
              <w:rPr>
                <w:rFonts w:ascii="Times New Roman" w:hAnsi="Times New Roman"/>
                <w:sz w:val="16"/>
              </w:rPr>
              <w:t>3.691</w:t>
            </w:r>
          </w:p>
        </w:tc>
        <w:tc>
          <w:tcPr>
            <w:tcW w:type="dxa" w:w="864"/>
          </w:tcPr>
          <w:p>
            <w:pPr>
              <w:spacing w:after="40" w:line="240" w:lineRule="auto"/>
              <w:jc w:val="left"/>
            </w:pPr>
            <w:r/>
            <w:r>
              <w:rPr>
                <w:rFonts w:ascii="Times New Roman" w:hAnsi="Times New Roman"/>
                <w:sz w:val="16"/>
              </w:rPr>
              <w:t>0.928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-0.478</w:t>
            </w:r>
          </w:p>
        </w:tc>
        <w:tc>
          <w:tcPr>
            <w:tcW w:type="dxa" w:w="1008"/>
          </w:tcPr>
          <w:p>
            <w:pPr>
              <w:spacing w:after="40" w:line="240" w:lineRule="auto"/>
              <w:jc w:val="left"/>
            </w:pPr>
            <w:r/>
            <w:r>
              <w:rPr>
                <w:rFonts w:ascii="Times New Roman" w:hAnsi="Times New Roman"/>
                <w:sz w:val="16"/>
              </w:rPr>
              <w:t>-0.068</w:t>
            </w:r>
          </w:p>
        </w:tc>
        <w:tc>
          <w:tcPr>
            <w:tcW w:type="dxa" w:w="1872"/>
          </w:tcPr>
          <w:p>
            <w:pPr>
              <w:spacing w:after="40" w:line="240" w:lineRule="auto"/>
              <w:jc w:val="center"/>
            </w:pPr>
            <w:r/>
            <w:r>
              <w:rPr>
                <w:rFonts w:ascii="Times New Roman" w:hAnsi="Times New Roman"/>
                <w:sz w:val="16"/>
              </w:rPr>
              <w:t>0.679</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DEC4</w:t>
            </w:r>
          </w:p>
        </w:tc>
        <w:tc>
          <w:tcPr>
            <w:tcW w:type="dxa" w:w="864"/>
          </w:tcPr>
          <w:p>
            <w:pPr>
              <w:spacing w:after="40" w:line="240" w:lineRule="auto"/>
              <w:jc w:val="left"/>
            </w:pPr>
            <w:r/>
            <w:r>
              <w:rPr>
                <w:rFonts w:ascii="Times New Roman" w:hAnsi="Times New Roman"/>
                <w:sz w:val="16"/>
              </w:rPr>
              <w:t>3.595</w:t>
            </w:r>
          </w:p>
        </w:tc>
        <w:tc>
          <w:tcPr>
            <w:tcW w:type="dxa" w:w="864"/>
          </w:tcPr>
          <w:p>
            <w:pPr>
              <w:spacing w:after="40" w:line="240" w:lineRule="auto"/>
              <w:jc w:val="left"/>
            </w:pPr>
            <w:r/>
            <w:r>
              <w:rPr>
                <w:rFonts w:ascii="Times New Roman" w:hAnsi="Times New Roman"/>
                <w:sz w:val="16"/>
              </w:rPr>
              <w:t>0.946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-0.385</w:t>
            </w:r>
          </w:p>
        </w:tc>
        <w:tc>
          <w:tcPr>
            <w:tcW w:type="dxa" w:w="1008"/>
          </w:tcPr>
          <w:p>
            <w:pPr>
              <w:spacing w:after="40" w:line="240" w:lineRule="auto"/>
              <w:jc w:val="left"/>
            </w:pPr>
            <w:r/>
            <w:r>
              <w:rPr>
                <w:rFonts w:ascii="Times New Roman" w:hAnsi="Times New Roman"/>
                <w:sz w:val="16"/>
              </w:rPr>
              <w:t>-0.333</w:t>
            </w:r>
          </w:p>
        </w:tc>
        <w:tc>
          <w:tcPr>
            <w:tcW w:type="dxa" w:w="1872"/>
          </w:tcPr>
          <w:p>
            <w:pPr>
              <w:spacing w:after="40" w:line="240" w:lineRule="auto"/>
              <w:jc w:val="center"/>
            </w:pPr>
            <w:r/>
            <w:r>
              <w:rPr>
                <w:rFonts w:ascii="Times New Roman" w:hAnsi="Times New Roman"/>
                <w:sz w:val="16"/>
              </w:rPr>
              <w:t>0.622</w:t>
            </w:r>
          </w:p>
        </w:tc>
      </w:tr>
    </w:tbl>
    <w:p>
      <w:pPr>
        <w:spacing w:after="200" w:line="360" w:lineRule="auto"/>
        <w:ind w:firstLine="0"/>
        <w:jc w:val="center"/>
      </w:pPr>
      <w:r>
        <w:rPr>
          <w:rFonts w:ascii="Times New Roman" w:hAnsi="Times New Roman"/>
          <w:b w:val="0"/>
          <w:i/>
          <w:sz w:val="20"/>
        </w:rPr>
        <w:t>Source: Author's corporate survey analysis (2025–2026), n = 800.</w:t>
      </w:r>
    </w:p>
    <w:p w14:paraId="64C387E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3: EFA Total Variance Explained &amp; Rotated Component Matrix Output</w:t>
      </w:r>
    </w:p>
    <w:p>
      <w:pPr>
        <w:spacing w:after="80" w:line="360" w:lineRule="auto"/>
        <w:ind w:firstLine="0"/>
        <w:jc w:val="center"/>
      </w:pPr>
      <w:r>
        <w:rPr>
          <w:rFonts w:ascii="Times New Roman" w:hAnsi="Times New Roman"/>
          <w:b/>
          <w:i w:val="0"/>
          <w:sz w:val="22"/>
        </w:rPr>
        <w:t>Table A3.1: Total Variance Explained for 28 Independent Variables (Initial and Rotated Solutions)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D9D9D9"/>
          </w:tcPr>
          <w:p>
            <w:pPr>
              <w:spacing w:after="40" w:line="240" w:lineRule="auto"/>
              <w:jc w:val="center"/>
            </w:pPr>
            <w:r/>
            <w:r>
              <w:rPr>
                <w:rFonts w:ascii="Times New Roman" w:hAnsi="Times New Roman"/>
                <w:b/>
                <w:sz w:val="16"/>
              </w:rPr>
              <w:t>Component</w:t>
            </w:r>
          </w:p>
        </w:tc>
        <w:tc>
          <w:tcPr>
            <w:tcW w:type="dxa" w:w="1584"/>
            <w:shd w:val="clear" w:color="auto" w:fill="D9D9D9"/>
          </w:tcPr>
          <w:p>
            <w:pPr>
              <w:spacing w:after="40" w:line="240" w:lineRule="auto"/>
              <w:jc w:val="center"/>
            </w:pPr>
            <w:r/>
            <w:r>
              <w:rPr>
                <w:rFonts w:ascii="Times New Roman" w:hAnsi="Times New Roman"/>
                <w:b/>
                <w:sz w:val="16"/>
              </w:rPr>
              <w:t>Initial Eigenvalues: Total</w:t>
            </w:r>
          </w:p>
        </w:tc>
        <w:tc>
          <w:tcPr>
            <w:tcW w:type="dxa" w:w="1440"/>
            <w:shd w:val="clear" w:color="auto" w:fill="D9D9D9"/>
          </w:tcPr>
          <w:p>
            <w:pPr>
              <w:spacing w:after="40" w:line="240" w:lineRule="auto"/>
              <w:jc w:val="center"/>
            </w:pPr>
            <w:r/>
            <w:r>
              <w:rPr>
                <w:rFonts w:ascii="Times New Roman" w:hAnsi="Times New Roman"/>
                <w:b/>
                <w:sz w:val="16"/>
              </w:rPr>
              <w:t>% of Variance</w:t>
            </w:r>
          </w:p>
        </w:tc>
        <w:tc>
          <w:tcPr>
            <w:tcW w:type="dxa" w:w="1440"/>
            <w:shd w:val="clear" w:color="auto" w:fill="D9D9D9"/>
          </w:tcPr>
          <w:p>
            <w:pPr>
              <w:spacing w:after="40" w:line="240" w:lineRule="auto"/>
              <w:jc w:val="center"/>
            </w:pPr>
            <w:r/>
            <w:r>
              <w:rPr>
                <w:rFonts w:ascii="Times New Roman" w:hAnsi="Times New Roman"/>
                <w:b/>
                <w:sz w:val="16"/>
              </w:rPr>
              <w:t>Cumulative %</w:t>
            </w:r>
          </w:p>
        </w:tc>
        <w:tc>
          <w:tcPr>
            <w:tcW w:type="dxa" w:w="1584"/>
            <w:shd w:val="clear" w:color="auto" w:fill="D9D9D9"/>
          </w:tcPr>
          <w:p>
            <w:pPr>
              <w:spacing w:after="40" w:line="240" w:lineRule="auto"/>
              <w:jc w:val="center"/>
            </w:pPr>
            <w:r/>
            <w:r>
              <w:rPr>
                <w:rFonts w:ascii="Times New Roman" w:hAnsi="Times New Roman"/>
                <w:b/>
                <w:sz w:val="16"/>
              </w:rPr>
              <w:t>Rotation Sums: Total</w:t>
            </w:r>
          </w:p>
        </w:tc>
        <w:tc>
          <w:tcPr>
            <w:tcW w:type="dxa" w:w="1440"/>
            <w:shd w:val="clear" w:color="auto" w:fill="D9D9D9"/>
          </w:tcPr>
          <w:p>
            <w:pPr>
              <w:spacing w:after="40" w:line="240" w:lineRule="auto"/>
              <w:jc w:val="center"/>
            </w:pPr>
            <w:r/>
            <w:r>
              <w:rPr>
                <w:rFonts w:ascii="Times New Roman" w:hAnsi="Times New Roman"/>
                <w:b/>
                <w:sz w:val="16"/>
              </w:rPr>
              <w:t>% of Variance</w:t>
            </w:r>
          </w:p>
        </w:tc>
        <w:tc>
          <w:tcPr>
            <w:tcW w:type="dxa" w:w="1440"/>
            <w:shd w:val="clear" w:color="auto" w:fill="D9D9D9"/>
          </w:tcPr>
          <w:p>
            <w:pPr>
              <w:spacing w:after="40" w:line="240" w:lineRule="auto"/>
              <w:jc w:val="center"/>
            </w:pPr>
            <w:r/>
            <w:r>
              <w:rPr>
                <w:rFonts w:ascii="Times New Roman" w:hAnsi="Times New Roman"/>
                <w:b/>
                <w:sz w:val="16"/>
              </w:rPr>
              <w:t>Cumulative %</w:t>
            </w:r>
          </w:p>
        </w:tc>
      </w:tr>
      <w:tr>
        <w:tc>
          <w:tcPr>
            <w:tcW w:type="dxa" w:w="1152"/>
          </w:tcPr>
          <w:p>
            <w:pPr>
              <w:spacing w:after="40" w:line="240" w:lineRule="auto"/>
              <w:jc w:val="left"/>
            </w:pPr>
            <w:r/>
            <w:r>
              <w:rPr>
                <w:rFonts w:ascii="Times New Roman" w:hAnsi="Times New Roman"/>
                <w:sz w:val="16"/>
              </w:rPr>
              <w:t>1</w:t>
            </w:r>
          </w:p>
        </w:tc>
        <w:tc>
          <w:tcPr>
            <w:tcW w:type="dxa" w:w="1584"/>
          </w:tcPr>
          <w:p>
            <w:pPr>
              <w:spacing w:after="40" w:line="240" w:lineRule="auto"/>
              <w:jc w:val="left"/>
            </w:pPr>
            <w:r/>
            <w:r>
              <w:rPr>
                <w:rFonts w:ascii="Times New Roman" w:hAnsi="Times New Roman"/>
                <w:sz w:val="16"/>
              </w:rPr>
              <w:t>6.400</w:t>
            </w:r>
          </w:p>
        </w:tc>
        <w:tc>
          <w:tcPr>
            <w:tcW w:type="dxa" w:w="1440"/>
          </w:tcPr>
          <w:p>
            <w:pPr>
              <w:spacing w:after="40" w:line="240" w:lineRule="auto"/>
              <w:jc w:val="left"/>
            </w:pPr>
            <w:r/>
            <w:r>
              <w:rPr>
                <w:rFonts w:ascii="Times New Roman" w:hAnsi="Times New Roman"/>
                <w:sz w:val="16"/>
              </w:rPr>
              <w:t>22.86%</w:t>
            </w:r>
          </w:p>
        </w:tc>
        <w:tc>
          <w:tcPr>
            <w:tcW w:type="dxa" w:w="1440"/>
          </w:tcPr>
          <w:p>
            <w:pPr>
              <w:spacing w:after="40" w:line="240" w:lineRule="auto"/>
              <w:jc w:val="left"/>
            </w:pPr>
            <w:r/>
            <w:r>
              <w:rPr>
                <w:rFonts w:ascii="Times New Roman" w:hAnsi="Times New Roman"/>
                <w:sz w:val="16"/>
              </w:rPr>
              <w:t>22.86%</w:t>
            </w:r>
          </w:p>
        </w:tc>
        <w:tc>
          <w:tcPr>
            <w:tcW w:type="dxa" w:w="1584"/>
          </w:tcPr>
          <w:p>
            <w:pPr>
              <w:spacing w:after="40" w:line="240" w:lineRule="auto"/>
              <w:jc w:val="left"/>
            </w:pPr>
            <w:r/>
            <w:r>
              <w:rPr>
                <w:rFonts w:ascii="Times New Roman" w:hAnsi="Times New Roman"/>
                <w:sz w:val="16"/>
              </w:rPr>
              <w:t>6.400</w:t>
            </w:r>
          </w:p>
        </w:tc>
        <w:tc>
          <w:tcPr>
            <w:tcW w:type="dxa" w:w="1440"/>
          </w:tcPr>
          <w:p>
            <w:pPr>
              <w:spacing w:after="40" w:line="240" w:lineRule="auto"/>
              <w:jc w:val="left"/>
            </w:pPr>
            <w:r/>
            <w:r>
              <w:rPr>
                <w:rFonts w:ascii="Times New Roman" w:hAnsi="Times New Roman"/>
                <w:sz w:val="16"/>
              </w:rPr>
              <w:t>22.86%</w:t>
            </w:r>
          </w:p>
        </w:tc>
        <w:tc>
          <w:tcPr>
            <w:tcW w:type="dxa" w:w="1440"/>
          </w:tcPr>
          <w:p>
            <w:pPr>
              <w:spacing w:after="40" w:line="240" w:lineRule="auto"/>
              <w:jc w:val="center"/>
            </w:pPr>
            <w:r/>
            <w:r>
              <w:rPr>
                <w:rFonts w:ascii="Times New Roman" w:hAnsi="Times New Roman"/>
                <w:sz w:val="16"/>
              </w:rPr>
              <w:t>22.86%</w:t>
            </w:r>
          </w:p>
        </w:tc>
      </w:tr>
      <w:tr>
        <w:tc>
          <w:tcPr>
            <w:tcW w:type="dxa" w:w="1152"/>
          </w:tcPr>
          <w:p>
            <w:pPr>
              <w:spacing w:after="40" w:line="240" w:lineRule="auto"/>
              <w:jc w:val="left"/>
            </w:pPr>
            <w:r/>
            <w:r>
              <w:rPr>
                <w:rFonts w:ascii="Times New Roman" w:hAnsi="Times New Roman"/>
                <w:sz w:val="16"/>
              </w:rPr>
              <w:t>2</w:t>
            </w:r>
          </w:p>
        </w:tc>
        <w:tc>
          <w:tcPr>
            <w:tcW w:type="dxa" w:w="1584"/>
          </w:tcPr>
          <w:p>
            <w:pPr>
              <w:spacing w:after="40" w:line="240" w:lineRule="auto"/>
              <w:jc w:val="left"/>
            </w:pPr>
            <w:r/>
            <w:r>
              <w:rPr>
                <w:rFonts w:ascii="Times New Roman" w:hAnsi="Times New Roman"/>
                <w:sz w:val="16"/>
              </w:rPr>
              <w:t>2.442</w:t>
            </w:r>
          </w:p>
        </w:tc>
        <w:tc>
          <w:tcPr>
            <w:tcW w:type="dxa" w:w="1440"/>
          </w:tcPr>
          <w:p>
            <w:pPr>
              <w:spacing w:after="40" w:line="240" w:lineRule="auto"/>
              <w:jc w:val="left"/>
            </w:pPr>
            <w:r/>
            <w:r>
              <w:rPr>
                <w:rFonts w:ascii="Times New Roman" w:hAnsi="Times New Roman"/>
                <w:sz w:val="16"/>
              </w:rPr>
              <w:t>8.72%</w:t>
            </w:r>
          </w:p>
        </w:tc>
        <w:tc>
          <w:tcPr>
            <w:tcW w:type="dxa" w:w="1440"/>
          </w:tcPr>
          <w:p>
            <w:pPr>
              <w:spacing w:after="40" w:line="240" w:lineRule="auto"/>
              <w:jc w:val="left"/>
            </w:pPr>
            <w:r/>
            <w:r>
              <w:rPr>
                <w:rFonts w:ascii="Times New Roman" w:hAnsi="Times New Roman"/>
                <w:sz w:val="16"/>
              </w:rPr>
              <w:t>31.58%</w:t>
            </w:r>
          </w:p>
        </w:tc>
        <w:tc>
          <w:tcPr>
            <w:tcW w:type="dxa" w:w="1584"/>
          </w:tcPr>
          <w:p>
            <w:pPr>
              <w:spacing w:after="40" w:line="240" w:lineRule="auto"/>
              <w:jc w:val="left"/>
            </w:pPr>
            <w:r/>
            <w:r>
              <w:rPr>
                <w:rFonts w:ascii="Times New Roman" w:hAnsi="Times New Roman"/>
                <w:sz w:val="16"/>
              </w:rPr>
              <w:t>2.442</w:t>
            </w:r>
          </w:p>
        </w:tc>
        <w:tc>
          <w:tcPr>
            <w:tcW w:type="dxa" w:w="1440"/>
          </w:tcPr>
          <w:p>
            <w:pPr>
              <w:spacing w:after="40" w:line="240" w:lineRule="auto"/>
              <w:jc w:val="left"/>
            </w:pPr>
            <w:r/>
            <w:r>
              <w:rPr>
                <w:rFonts w:ascii="Times New Roman" w:hAnsi="Times New Roman"/>
                <w:sz w:val="16"/>
              </w:rPr>
              <w:t>8.72%</w:t>
            </w:r>
          </w:p>
        </w:tc>
        <w:tc>
          <w:tcPr>
            <w:tcW w:type="dxa" w:w="1440"/>
          </w:tcPr>
          <w:p>
            <w:pPr>
              <w:spacing w:after="40" w:line="240" w:lineRule="auto"/>
              <w:jc w:val="center"/>
            </w:pPr>
            <w:r/>
            <w:r>
              <w:rPr>
                <w:rFonts w:ascii="Times New Roman" w:hAnsi="Times New Roman"/>
                <w:sz w:val="16"/>
              </w:rPr>
              <w:t>31.58%</w:t>
            </w:r>
          </w:p>
        </w:tc>
      </w:tr>
      <w:tr>
        <w:tc>
          <w:tcPr>
            <w:tcW w:type="dxa" w:w="1152"/>
          </w:tcPr>
          <w:p>
            <w:pPr>
              <w:spacing w:after="40" w:line="240" w:lineRule="auto"/>
              <w:jc w:val="left"/>
            </w:pPr>
            <w:r/>
            <w:r>
              <w:rPr>
                <w:rFonts w:ascii="Times New Roman" w:hAnsi="Times New Roman"/>
                <w:sz w:val="16"/>
              </w:rPr>
              <w:t>3</w:t>
            </w:r>
          </w:p>
        </w:tc>
        <w:tc>
          <w:tcPr>
            <w:tcW w:type="dxa" w:w="1584"/>
          </w:tcPr>
          <w:p>
            <w:pPr>
              <w:spacing w:after="40" w:line="240" w:lineRule="auto"/>
              <w:jc w:val="left"/>
            </w:pPr>
            <w:r/>
            <w:r>
              <w:rPr>
                <w:rFonts w:ascii="Times New Roman" w:hAnsi="Times New Roman"/>
                <w:sz w:val="16"/>
              </w:rPr>
              <w:t>2.281</w:t>
            </w:r>
          </w:p>
        </w:tc>
        <w:tc>
          <w:tcPr>
            <w:tcW w:type="dxa" w:w="1440"/>
          </w:tcPr>
          <w:p>
            <w:pPr>
              <w:spacing w:after="40" w:line="240" w:lineRule="auto"/>
              <w:jc w:val="left"/>
            </w:pPr>
            <w:r/>
            <w:r>
              <w:rPr>
                <w:rFonts w:ascii="Times New Roman" w:hAnsi="Times New Roman"/>
                <w:sz w:val="16"/>
              </w:rPr>
              <w:t>8.15%</w:t>
            </w:r>
          </w:p>
        </w:tc>
        <w:tc>
          <w:tcPr>
            <w:tcW w:type="dxa" w:w="1440"/>
          </w:tcPr>
          <w:p>
            <w:pPr>
              <w:spacing w:after="40" w:line="240" w:lineRule="auto"/>
              <w:jc w:val="left"/>
            </w:pPr>
            <w:r/>
            <w:r>
              <w:rPr>
                <w:rFonts w:ascii="Times New Roman" w:hAnsi="Times New Roman"/>
                <w:sz w:val="16"/>
              </w:rPr>
              <w:t>39.73%</w:t>
            </w:r>
          </w:p>
        </w:tc>
        <w:tc>
          <w:tcPr>
            <w:tcW w:type="dxa" w:w="1584"/>
          </w:tcPr>
          <w:p>
            <w:pPr>
              <w:spacing w:after="40" w:line="240" w:lineRule="auto"/>
              <w:jc w:val="left"/>
            </w:pPr>
            <w:r/>
            <w:r>
              <w:rPr>
                <w:rFonts w:ascii="Times New Roman" w:hAnsi="Times New Roman"/>
                <w:sz w:val="16"/>
              </w:rPr>
              <w:t>2.281</w:t>
            </w:r>
          </w:p>
        </w:tc>
        <w:tc>
          <w:tcPr>
            <w:tcW w:type="dxa" w:w="1440"/>
          </w:tcPr>
          <w:p>
            <w:pPr>
              <w:spacing w:after="40" w:line="240" w:lineRule="auto"/>
              <w:jc w:val="left"/>
            </w:pPr>
            <w:r/>
            <w:r>
              <w:rPr>
                <w:rFonts w:ascii="Times New Roman" w:hAnsi="Times New Roman"/>
                <w:sz w:val="16"/>
              </w:rPr>
              <w:t>8.15%</w:t>
            </w:r>
          </w:p>
        </w:tc>
        <w:tc>
          <w:tcPr>
            <w:tcW w:type="dxa" w:w="1440"/>
          </w:tcPr>
          <w:p>
            <w:pPr>
              <w:spacing w:after="40" w:line="240" w:lineRule="auto"/>
              <w:jc w:val="center"/>
            </w:pPr>
            <w:r/>
            <w:r>
              <w:rPr>
                <w:rFonts w:ascii="Times New Roman" w:hAnsi="Times New Roman"/>
                <w:sz w:val="16"/>
              </w:rPr>
              <w:t>39.72%</w:t>
            </w:r>
          </w:p>
        </w:tc>
      </w:tr>
      <w:tr>
        <w:tc>
          <w:tcPr>
            <w:tcW w:type="dxa" w:w="1152"/>
          </w:tcPr>
          <w:p>
            <w:pPr>
              <w:spacing w:after="40" w:line="240" w:lineRule="auto"/>
              <w:jc w:val="left"/>
            </w:pPr>
            <w:r/>
            <w:r>
              <w:rPr>
                <w:rFonts w:ascii="Times New Roman" w:hAnsi="Times New Roman"/>
                <w:sz w:val="16"/>
              </w:rPr>
              <w:t>4</w:t>
            </w:r>
          </w:p>
        </w:tc>
        <w:tc>
          <w:tcPr>
            <w:tcW w:type="dxa" w:w="1584"/>
          </w:tcPr>
          <w:p>
            <w:pPr>
              <w:spacing w:after="40" w:line="240" w:lineRule="auto"/>
              <w:jc w:val="left"/>
            </w:pPr>
            <w:r/>
            <w:r>
              <w:rPr>
                <w:rFonts w:ascii="Times New Roman" w:hAnsi="Times New Roman"/>
                <w:sz w:val="16"/>
              </w:rPr>
              <w:t>1.985</w:t>
            </w:r>
          </w:p>
        </w:tc>
        <w:tc>
          <w:tcPr>
            <w:tcW w:type="dxa" w:w="1440"/>
          </w:tcPr>
          <w:p>
            <w:pPr>
              <w:spacing w:after="40" w:line="240" w:lineRule="auto"/>
              <w:jc w:val="left"/>
            </w:pPr>
            <w:r/>
            <w:r>
              <w:rPr>
                <w:rFonts w:ascii="Times New Roman" w:hAnsi="Times New Roman"/>
                <w:sz w:val="16"/>
              </w:rPr>
              <w:t>7.09%</w:t>
            </w:r>
          </w:p>
        </w:tc>
        <w:tc>
          <w:tcPr>
            <w:tcW w:type="dxa" w:w="1440"/>
          </w:tcPr>
          <w:p>
            <w:pPr>
              <w:spacing w:after="40" w:line="240" w:lineRule="auto"/>
              <w:jc w:val="left"/>
            </w:pPr>
            <w:r/>
            <w:r>
              <w:rPr>
                <w:rFonts w:ascii="Times New Roman" w:hAnsi="Times New Roman"/>
                <w:sz w:val="16"/>
              </w:rPr>
              <w:t>46.81%</w:t>
            </w:r>
          </w:p>
        </w:tc>
        <w:tc>
          <w:tcPr>
            <w:tcW w:type="dxa" w:w="1584"/>
          </w:tcPr>
          <w:p>
            <w:pPr>
              <w:spacing w:after="40" w:line="240" w:lineRule="auto"/>
              <w:jc w:val="left"/>
            </w:pPr>
            <w:r/>
            <w:r>
              <w:rPr>
                <w:rFonts w:ascii="Times New Roman" w:hAnsi="Times New Roman"/>
                <w:sz w:val="16"/>
              </w:rPr>
              <w:t>1.985</w:t>
            </w:r>
          </w:p>
        </w:tc>
        <w:tc>
          <w:tcPr>
            <w:tcW w:type="dxa" w:w="1440"/>
          </w:tcPr>
          <w:p>
            <w:pPr>
              <w:spacing w:after="40" w:line="240" w:lineRule="auto"/>
              <w:jc w:val="left"/>
            </w:pPr>
            <w:r/>
            <w:r>
              <w:rPr>
                <w:rFonts w:ascii="Times New Roman" w:hAnsi="Times New Roman"/>
                <w:sz w:val="16"/>
              </w:rPr>
              <w:t>7.09%</w:t>
            </w:r>
          </w:p>
        </w:tc>
        <w:tc>
          <w:tcPr>
            <w:tcW w:type="dxa" w:w="1440"/>
          </w:tcPr>
          <w:p>
            <w:pPr>
              <w:spacing w:after="40" w:line="240" w:lineRule="auto"/>
              <w:jc w:val="center"/>
            </w:pPr>
            <w:r/>
            <w:r>
              <w:rPr>
                <w:rFonts w:ascii="Times New Roman" w:hAnsi="Times New Roman"/>
                <w:sz w:val="16"/>
              </w:rPr>
              <w:t>46.82%</w:t>
            </w:r>
          </w:p>
        </w:tc>
      </w:tr>
      <w:tr>
        <w:tc>
          <w:tcPr>
            <w:tcW w:type="dxa" w:w="1152"/>
          </w:tcPr>
          <w:p>
            <w:pPr>
              <w:spacing w:after="40" w:line="240" w:lineRule="auto"/>
              <w:jc w:val="left"/>
            </w:pPr>
            <w:r/>
            <w:r>
              <w:rPr>
                <w:rFonts w:ascii="Times New Roman" w:hAnsi="Times New Roman"/>
                <w:sz w:val="16"/>
              </w:rPr>
              <w:t>5</w:t>
            </w:r>
          </w:p>
        </w:tc>
        <w:tc>
          <w:tcPr>
            <w:tcW w:type="dxa" w:w="1584"/>
          </w:tcPr>
          <w:p>
            <w:pPr>
              <w:spacing w:after="40" w:line="240" w:lineRule="auto"/>
              <w:jc w:val="left"/>
            </w:pPr>
            <w:r/>
            <w:r>
              <w:rPr>
                <w:rFonts w:ascii="Times New Roman" w:hAnsi="Times New Roman"/>
                <w:sz w:val="16"/>
              </w:rPr>
              <w:t>1.841</w:t>
            </w:r>
          </w:p>
        </w:tc>
        <w:tc>
          <w:tcPr>
            <w:tcW w:type="dxa" w:w="1440"/>
          </w:tcPr>
          <w:p>
            <w:pPr>
              <w:spacing w:after="40" w:line="240" w:lineRule="auto"/>
              <w:jc w:val="left"/>
            </w:pPr>
            <w:r/>
            <w:r>
              <w:rPr>
                <w:rFonts w:ascii="Times New Roman" w:hAnsi="Times New Roman"/>
                <w:sz w:val="16"/>
              </w:rPr>
              <w:t>6.58%</w:t>
            </w:r>
          </w:p>
        </w:tc>
        <w:tc>
          <w:tcPr>
            <w:tcW w:type="dxa" w:w="1440"/>
          </w:tcPr>
          <w:p>
            <w:pPr>
              <w:spacing w:after="40" w:line="240" w:lineRule="auto"/>
              <w:jc w:val="left"/>
            </w:pPr>
            <w:r/>
            <w:r>
              <w:rPr>
                <w:rFonts w:ascii="Times New Roman" w:hAnsi="Times New Roman"/>
                <w:sz w:val="16"/>
              </w:rPr>
              <w:t>53.39%</w:t>
            </w:r>
          </w:p>
        </w:tc>
        <w:tc>
          <w:tcPr>
            <w:tcW w:type="dxa" w:w="1584"/>
          </w:tcPr>
          <w:p>
            <w:pPr>
              <w:spacing w:after="40" w:line="240" w:lineRule="auto"/>
              <w:jc w:val="left"/>
            </w:pPr>
            <w:r/>
            <w:r>
              <w:rPr>
                <w:rFonts w:ascii="Times New Roman" w:hAnsi="Times New Roman"/>
                <w:sz w:val="16"/>
              </w:rPr>
              <w:t>1.841</w:t>
            </w:r>
          </w:p>
        </w:tc>
        <w:tc>
          <w:tcPr>
            <w:tcW w:type="dxa" w:w="1440"/>
          </w:tcPr>
          <w:p>
            <w:pPr>
              <w:spacing w:after="40" w:line="240" w:lineRule="auto"/>
              <w:jc w:val="left"/>
            </w:pPr>
            <w:r/>
            <w:r>
              <w:rPr>
                <w:rFonts w:ascii="Times New Roman" w:hAnsi="Times New Roman"/>
                <w:sz w:val="16"/>
              </w:rPr>
              <w:t>6.57%</w:t>
            </w:r>
          </w:p>
        </w:tc>
        <w:tc>
          <w:tcPr>
            <w:tcW w:type="dxa" w:w="1440"/>
          </w:tcPr>
          <w:p>
            <w:pPr>
              <w:spacing w:after="40" w:line="240" w:lineRule="auto"/>
              <w:jc w:val="center"/>
            </w:pPr>
            <w:r/>
            <w:r>
              <w:rPr>
                <w:rFonts w:ascii="Times New Roman" w:hAnsi="Times New Roman"/>
                <w:sz w:val="16"/>
              </w:rPr>
              <w:t>53.39%</w:t>
            </w:r>
          </w:p>
        </w:tc>
      </w:tr>
      <w:tr>
        <w:tc>
          <w:tcPr>
            <w:tcW w:type="dxa" w:w="1152"/>
          </w:tcPr>
          <w:p>
            <w:pPr>
              <w:spacing w:after="40" w:line="240" w:lineRule="auto"/>
              <w:jc w:val="left"/>
            </w:pPr>
            <w:r/>
            <w:r>
              <w:rPr>
                <w:rFonts w:ascii="Times New Roman" w:hAnsi="Times New Roman"/>
                <w:sz w:val="16"/>
              </w:rPr>
              <w:t>6</w:t>
            </w:r>
          </w:p>
        </w:tc>
        <w:tc>
          <w:tcPr>
            <w:tcW w:type="dxa" w:w="1584"/>
          </w:tcPr>
          <w:p>
            <w:pPr>
              <w:spacing w:after="40" w:line="240" w:lineRule="auto"/>
              <w:jc w:val="left"/>
            </w:pPr>
            <w:r/>
            <w:r>
              <w:rPr>
                <w:rFonts w:ascii="Times New Roman" w:hAnsi="Times New Roman"/>
                <w:sz w:val="16"/>
              </w:rPr>
              <w:t>1.791</w:t>
            </w:r>
          </w:p>
        </w:tc>
        <w:tc>
          <w:tcPr>
            <w:tcW w:type="dxa" w:w="1440"/>
          </w:tcPr>
          <w:p>
            <w:pPr>
              <w:spacing w:after="40" w:line="240" w:lineRule="auto"/>
              <w:jc w:val="left"/>
            </w:pPr>
            <w:r/>
            <w:r>
              <w:rPr>
                <w:rFonts w:ascii="Times New Roman" w:hAnsi="Times New Roman"/>
                <w:sz w:val="16"/>
              </w:rPr>
              <w:t>6.40%</w:t>
            </w:r>
          </w:p>
        </w:tc>
        <w:tc>
          <w:tcPr>
            <w:tcW w:type="dxa" w:w="1440"/>
          </w:tcPr>
          <w:p>
            <w:pPr>
              <w:spacing w:after="40" w:line="240" w:lineRule="auto"/>
              <w:jc w:val="left"/>
            </w:pPr>
            <w:r/>
            <w:r>
              <w:rPr>
                <w:rFonts w:ascii="Times New Roman" w:hAnsi="Times New Roman"/>
                <w:sz w:val="16"/>
              </w:rPr>
              <w:t>59.79%</w:t>
            </w:r>
          </w:p>
        </w:tc>
        <w:tc>
          <w:tcPr>
            <w:tcW w:type="dxa" w:w="1584"/>
          </w:tcPr>
          <w:p>
            <w:pPr>
              <w:spacing w:after="40" w:line="240" w:lineRule="auto"/>
              <w:jc w:val="left"/>
            </w:pPr>
            <w:r/>
            <w:r>
              <w:rPr>
                <w:rFonts w:ascii="Times New Roman" w:hAnsi="Times New Roman"/>
                <w:sz w:val="16"/>
              </w:rPr>
              <w:t>1.791</w:t>
            </w:r>
          </w:p>
        </w:tc>
        <w:tc>
          <w:tcPr>
            <w:tcW w:type="dxa" w:w="1440"/>
          </w:tcPr>
          <w:p>
            <w:pPr>
              <w:spacing w:after="40" w:line="240" w:lineRule="auto"/>
              <w:jc w:val="left"/>
            </w:pPr>
            <w:r/>
            <w:r>
              <w:rPr>
                <w:rFonts w:ascii="Times New Roman" w:hAnsi="Times New Roman"/>
                <w:sz w:val="16"/>
              </w:rPr>
              <w:t>6.40%</w:t>
            </w:r>
          </w:p>
        </w:tc>
        <w:tc>
          <w:tcPr>
            <w:tcW w:type="dxa" w:w="1440"/>
          </w:tcPr>
          <w:p>
            <w:pPr>
              <w:spacing w:after="40" w:line="240" w:lineRule="auto"/>
              <w:jc w:val="center"/>
            </w:pPr>
            <w:r/>
            <w:r>
              <w:rPr>
                <w:rFonts w:ascii="Times New Roman" w:hAnsi="Times New Roman"/>
                <w:sz w:val="16"/>
              </w:rPr>
              <w:t>59.79%</w:t>
            </w:r>
          </w:p>
        </w:tc>
      </w:tr>
      <w:tr>
        <w:tc>
          <w:tcPr>
            <w:tcW w:type="dxa" w:w="1152"/>
          </w:tcPr>
          <w:p>
            <w:pPr>
              <w:spacing w:after="40" w:line="240" w:lineRule="auto"/>
              <w:jc w:val="left"/>
            </w:pPr>
            <w:r/>
            <w:r>
              <w:rPr>
                <w:rFonts w:ascii="Times New Roman" w:hAnsi="Times New Roman"/>
                <w:sz w:val="16"/>
              </w:rPr>
              <w:t>7</w:t>
            </w:r>
          </w:p>
        </w:tc>
        <w:tc>
          <w:tcPr>
            <w:tcW w:type="dxa" w:w="1584"/>
          </w:tcPr>
          <w:p>
            <w:pPr>
              <w:spacing w:after="40" w:line="240" w:lineRule="auto"/>
              <w:jc w:val="left"/>
            </w:pPr>
            <w:r/>
            <w:r>
              <w:rPr>
                <w:rFonts w:ascii="Times New Roman" w:hAnsi="Times New Roman"/>
                <w:sz w:val="16"/>
              </w:rPr>
              <w:t>1.697</w:t>
            </w:r>
          </w:p>
        </w:tc>
        <w:tc>
          <w:tcPr>
            <w:tcW w:type="dxa" w:w="1440"/>
          </w:tcPr>
          <w:p>
            <w:pPr>
              <w:spacing w:after="40" w:line="240" w:lineRule="auto"/>
              <w:jc w:val="left"/>
            </w:pPr>
            <w:r/>
            <w:r>
              <w:rPr>
                <w:rFonts w:ascii="Times New Roman" w:hAnsi="Times New Roman"/>
                <w:sz w:val="16"/>
              </w:rPr>
              <w:t>6.06%</w:t>
            </w:r>
          </w:p>
        </w:tc>
        <w:tc>
          <w:tcPr>
            <w:tcW w:type="dxa" w:w="1440"/>
          </w:tcPr>
          <w:p>
            <w:pPr>
              <w:spacing w:after="40" w:line="240" w:lineRule="auto"/>
              <w:jc w:val="left"/>
            </w:pPr>
            <w:r/>
            <w:r>
              <w:rPr>
                <w:rFonts w:ascii="Times New Roman" w:hAnsi="Times New Roman"/>
                <w:sz w:val="16"/>
              </w:rPr>
              <w:t>65.85%</w:t>
            </w:r>
          </w:p>
        </w:tc>
        <w:tc>
          <w:tcPr>
            <w:tcW w:type="dxa" w:w="1584"/>
          </w:tcPr>
          <w:p>
            <w:pPr>
              <w:spacing w:after="40" w:line="240" w:lineRule="auto"/>
              <w:jc w:val="left"/>
            </w:pPr>
            <w:r/>
            <w:r>
              <w:rPr>
                <w:rFonts w:ascii="Times New Roman" w:hAnsi="Times New Roman"/>
                <w:sz w:val="16"/>
              </w:rPr>
              <w:t>1.697</w:t>
            </w:r>
          </w:p>
        </w:tc>
        <w:tc>
          <w:tcPr>
            <w:tcW w:type="dxa" w:w="1440"/>
          </w:tcPr>
          <w:p>
            <w:pPr>
              <w:spacing w:after="40" w:line="240" w:lineRule="auto"/>
              <w:jc w:val="left"/>
            </w:pPr>
            <w:r/>
            <w:r>
              <w:rPr>
                <w:rFonts w:ascii="Times New Roman" w:hAnsi="Times New Roman"/>
                <w:sz w:val="16"/>
              </w:rPr>
              <w:t>6.06%</w:t>
            </w:r>
          </w:p>
        </w:tc>
        <w:tc>
          <w:tcPr>
            <w:tcW w:type="dxa" w:w="1440"/>
          </w:tcPr>
          <w:p>
            <w:pPr>
              <w:spacing w:after="40" w:line="240" w:lineRule="auto"/>
              <w:jc w:val="center"/>
            </w:pPr>
            <w:r/>
            <w:r>
              <w:rPr>
                <w:rFonts w:ascii="Times New Roman" w:hAnsi="Times New Roman"/>
                <w:sz w:val="16"/>
              </w:rPr>
              <w:t>65.85%</w:t>
            </w:r>
          </w:p>
        </w:tc>
      </w:tr>
      <w:tr>
        <w:tc>
          <w:tcPr>
            <w:tcW w:type="dxa" w:w="1152"/>
          </w:tcPr>
          <w:p>
            <w:pPr>
              <w:spacing w:after="40" w:line="240" w:lineRule="auto"/>
              <w:jc w:val="left"/>
            </w:pPr>
            <w:r/>
            <w:r>
              <w:rPr>
                <w:rFonts w:ascii="Times New Roman" w:hAnsi="Times New Roman"/>
                <w:sz w:val="16"/>
              </w:rPr>
              <w:t>8</w:t>
            </w:r>
          </w:p>
        </w:tc>
        <w:tc>
          <w:tcPr>
            <w:tcW w:type="dxa" w:w="1584"/>
          </w:tcPr>
          <w:p>
            <w:pPr>
              <w:spacing w:after="40" w:line="240" w:lineRule="auto"/>
              <w:jc w:val="left"/>
            </w:pPr>
            <w:r/>
            <w:r>
              <w:rPr>
                <w:rFonts w:ascii="Times New Roman" w:hAnsi="Times New Roman"/>
                <w:sz w:val="16"/>
              </w:rPr>
              <w:t>0.637</w:t>
            </w:r>
          </w:p>
        </w:tc>
        <w:tc>
          <w:tcPr>
            <w:tcW w:type="dxa" w:w="1440"/>
          </w:tcPr>
          <w:p>
            <w:pPr>
              <w:spacing w:after="40" w:line="240" w:lineRule="auto"/>
              <w:jc w:val="left"/>
            </w:pPr>
            <w:r/>
            <w:r>
              <w:rPr>
                <w:rFonts w:ascii="Times New Roman" w:hAnsi="Times New Roman"/>
                <w:sz w:val="16"/>
              </w:rPr>
              <w:t>2.27%</w:t>
            </w:r>
          </w:p>
        </w:tc>
        <w:tc>
          <w:tcPr>
            <w:tcW w:type="dxa" w:w="1440"/>
          </w:tcPr>
          <w:p>
            <w:pPr>
              <w:spacing w:after="40" w:line="240" w:lineRule="auto"/>
              <w:jc w:val="left"/>
            </w:pPr>
            <w:r/>
            <w:r>
              <w:rPr>
                <w:rFonts w:ascii="Times New Roman" w:hAnsi="Times New Roman"/>
                <w:sz w:val="16"/>
              </w:rPr>
              <w:t>68.12%</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440"/>
          </w:tcPr>
          <w:p>
            <w:pPr>
              <w:spacing w:after="40" w:line="240" w:lineRule="auto"/>
              <w:jc w:val="center"/>
            </w:pPr>
            <w:r/>
            <w:r>
              <w:rPr>
                <w:rFonts w:ascii="Times New Roman" w:hAnsi="Times New Roman"/>
                <w:sz w:val="16"/>
              </w:rPr>
              <w:t>—</w:t>
            </w:r>
          </w:p>
        </w:tc>
      </w:tr>
    </w:tbl>
    <w:p>
      <w:pPr>
        <w:spacing w:after="200" w:line="360" w:lineRule="auto"/>
        <w:ind w:firstLine="0"/>
        <w:jc w:val="center"/>
      </w:pPr>
      <w:r>
        <w:rPr>
          <w:rFonts w:ascii="Times New Roman" w:hAnsi="Times New Roman"/>
          <w:b w:val="0"/>
          <w:i/>
          <w:sz w:val="20"/>
        </w:rPr>
        <w:t>Source: Author's corporate survey analysis (2025–2026), n = 800.</w:t>
      </w:r>
    </w:p>
    <w:p w14:paraId="3C4252D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4: OLS Multiple Regression, VIF &amp; Sub-group ANOVA Output</w:t>
      </w:r>
    </w:p>
    <w:p>
      <w:pPr>
        <w:spacing w:after="80" w:line="360" w:lineRule="auto"/>
        <w:ind w:firstLine="0"/>
        <w:jc w:val="center"/>
      </w:pPr>
      <w:r>
        <w:rPr>
          <w:rFonts w:ascii="Times New Roman" w:hAnsi="Times New Roman"/>
          <w:b/>
          <w:i w:val="0"/>
          <w:sz w:val="22"/>
        </w:rPr>
        <w:t>Table A4.1: Detailed OLS Regression Parameter Estimates, HC3 Robust Standard Errors, and Confidence Intervals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val="clear" w:color="auto" w:fill="D9D9D9"/>
          </w:tcPr>
          <w:p>
            <w:pPr>
              <w:spacing w:after="40" w:line="240" w:lineRule="auto"/>
              <w:jc w:val="center"/>
            </w:pPr>
            <w:r/>
            <w:r>
              <w:rPr>
                <w:rFonts w:ascii="Times New Roman" w:hAnsi="Times New Roman"/>
                <w:b/>
                <w:sz w:val="16"/>
              </w:rPr>
              <w:t>Model Parameter</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864"/>
            <w:shd w:val="clear" w:color="auto" w:fill="D9D9D9"/>
          </w:tcPr>
          <w:p>
            <w:pPr>
              <w:spacing w:after="40" w:line="240" w:lineRule="auto"/>
              <w:jc w:val="center"/>
            </w:pPr>
            <w:r/>
            <w:r>
              <w:rPr>
                <w:rFonts w:ascii="Times New Roman" w:hAnsi="Times New Roman"/>
                <w:b/>
                <w:sz w:val="16"/>
              </w:rPr>
              <w:t>Ordinary SE</w:t>
            </w:r>
          </w:p>
        </w:tc>
        <w:tc>
          <w:tcPr>
            <w:tcW w:type="dxa" w:w="864"/>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864"/>
            <w:shd w:val="clear" w:color="auto" w:fill="D9D9D9"/>
          </w:tcPr>
          <w:p>
            <w:pPr>
              <w:spacing w:after="40" w:line="240" w:lineRule="auto"/>
              <w:jc w:val="center"/>
            </w:pPr>
            <w:r/>
            <w:r>
              <w:rPr>
                <w:rFonts w:ascii="Times New Roman" w:hAnsi="Times New Roman"/>
                <w:b/>
                <w:sz w:val="16"/>
              </w:rPr>
              <w:t>t (HC3)</w:t>
            </w:r>
          </w:p>
        </w:tc>
        <w:tc>
          <w:tcPr>
            <w:tcW w:type="dxa" w:w="1008"/>
            <w:shd w:val="clear" w:color="auto" w:fill="D9D9D9"/>
          </w:tcPr>
          <w:p>
            <w:pPr>
              <w:spacing w:after="40" w:line="240" w:lineRule="auto"/>
              <w:jc w:val="center"/>
            </w:pPr>
            <w:r/>
            <w:r>
              <w:rPr>
                <w:rFonts w:ascii="Times New Roman" w:hAnsi="Times New Roman"/>
                <w:b/>
                <w:sz w:val="16"/>
              </w:rPr>
              <w:t>p-value</w:t>
            </w:r>
          </w:p>
        </w:tc>
        <w:tc>
          <w:tcPr>
            <w:tcW w:type="dxa" w:w="1008"/>
            <w:shd w:val="clear" w:color="auto" w:fill="D9D9D9"/>
          </w:tcPr>
          <w:p>
            <w:pPr>
              <w:spacing w:after="40" w:line="240" w:lineRule="auto"/>
              <w:jc w:val="center"/>
            </w:pPr>
            <w:r/>
            <w:r>
              <w:rPr>
                <w:rFonts w:ascii="Times New Roman" w:hAnsi="Times New Roman"/>
                <w:b/>
                <w:sz w:val="16"/>
              </w:rPr>
              <w:t>95% CI Lower</w:t>
            </w:r>
          </w:p>
        </w:tc>
        <w:tc>
          <w:tcPr>
            <w:tcW w:type="dxa" w:w="1008"/>
            <w:shd w:val="clear" w:color="auto" w:fill="D9D9D9"/>
          </w:tcPr>
          <w:p>
            <w:pPr>
              <w:spacing w:after="40" w:line="240" w:lineRule="auto"/>
              <w:jc w:val="center"/>
            </w:pPr>
            <w:r/>
            <w:r>
              <w:rPr>
                <w:rFonts w:ascii="Times New Roman" w:hAnsi="Times New Roman"/>
                <w:b/>
                <w:sz w:val="16"/>
              </w:rPr>
              <w:t>95% CI Upper</w:t>
            </w:r>
          </w:p>
        </w:tc>
        <w:tc>
          <w:tcPr>
            <w:tcW w:type="dxa" w:w="720"/>
            <w:shd w:val="clear" w:color="auto" w:fill="D9D9D9"/>
          </w:tcPr>
          <w:p>
            <w:pPr>
              <w:spacing w:after="40" w:line="240" w:lineRule="auto"/>
              <w:jc w:val="center"/>
            </w:pPr>
            <w:r/>
            <w:r>
              <w:rPr>
                <w:rFonts w:ascii="Times New Roman" w:hAnsi="Times New Roman"/>
                <w:b/>
                <w:sz w:val="16"/>
              </w:rPr>
              <w:t>VIF</w:t>
            </w:r>
          </w:p>
        </w:tc>
      </w:tr>
      <w:tr>
        <w:tc>
          <w:tcPr>
            <w:tcW w:type="dxa" w:w="2160"/>
          </w:tcPr>
          <w:p>
            <w:pPr>
              <w:spacing w:after="40" w:line="240" w:lineRule="auto"/>
              <w:jc w:val="left"/>
            </w:pPr>
            <w:r/>
            <w:r>
              <w:rPr>
                <w:rFonts w:ascii="Times New Roman" w:hAnsi="Times New Roman"/>
                <w:sz w:val="16"/>
              </w:rPr>
              <w:t>(Constant)</w:t>
            </w:r>
          </w:p>
        </w:tc>
        <w:tc>
          <w:tcPr>
            <w:tcW w:type="dxa" w:w="720"/>
          </w:tcPr>
          <w:p>
            <w:pPr>
              <w:spacing w:after="40" w:line="240" w:lineRule="auto"/>
              <w:jc w:val="left"/>
            </w:pPr>
            <w:r/>
            <w:r>
              <w:rPr>
                <w:rFonts w:ascii="Times New Roman" w:hAnsi="Times New Roman"/>
                <w:sz w:val="16"/>
              </w:rPr>
              <w:t>-0.546</w:t>
            </w:r>
          </w:p>
        </w:tc>
        <w:tc>
          <w:tcPr>
            <w:tcW w:type="dxa" w:w="864"/>
          </w:tcPr>
          <w:p>
            <w:pPr>
              <w:spacing w:after="40" w:line="240" w:lineRule="auto"/>
              <w:jc w:val="left"/>
            </w:pPr>
            <w:r/>
            <w:r>
              <w:rPr>
                <w:rFonts w:ascii="Times New Roman" w:hAnsi="Times New Roman"/>
                <w:sz w:val="16"/>
              </w:rPr>
              <w:t>0.146</w:t>
            </w:r>
          </w:p>
        </w:tc>
        <w:tc>
          <w:tcPr>
            <w:tcW w:type="dxa" w:w="864"/>
          </w:tcPr>
          <w:p>
            <w:pPr>
              <w:spacing w:after="40" w:line="240" w:lineRule="auto"/>
              <w:jc w:val="left"/>
            </w:pPr>
            <w:r/>
            <w:r>
              <w:rPr>
                <w:rFonts w:ascii="Times New Roman" w:hAnsi="Times New Roman"/>
                <w:sz w:val="16"/>
              </w:rPr>
              <w:t>0.144</w:t>
            </w:r>
          </w:p>
        </w:tc>
        <w:tc>
          <w:tcPr>
            <w:tcW w:type="dxa" w:w="720"/>
          </w:tcPr>
          <w:p>
            <w:pPr>
              <w:spacing w:after="40" w:line="240" w:lineRule="auto"/>
              <w:jc w:val="left"/>
            </w:pPr>
            <w:r/>
            <w:r>
              <w:rPr>
                <w:rFonts w:ascii="Times New Roman" w:hAnsi="Times New Roman"/>
                <w:sz w:val="16"/>
              </w:rPr>
              <w:t>—</w:t>
            </w:r>
          </w:p>
        </w:tc>
        <w:tc>
          <w:tcPr>
            <w:tcW w:type="dxa" w:w="864"/>
          </w:tcPr>
          <w:p>
            <w:pPr>
              <w:spacing w:after="40" w:line="240" w:lineRule="auto"/>
              <w:jc w:val="left"/>
            </w:pPr>
            <w:r/>
            <w:r>
              <w:rPr>
                <w:rFonts w:ascii="Times New Roman" w:hAnsi="Times New Roman"/>
                <w:sz w:val="16"/>
              </w:rPr>
              <w:t>-3.79</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-0.828</w:t>
            </w:r>
          </w:p>
        </w:tc>
        <w:tc>
          <w:tcPr>
            <w:tcW w:type="dxa" w:w="1008"/>
          </w:tcPr>
          <w:p>
            <w:pPr>
              <w:spacing w:after="40" w:line="240" w:lineRule="auto"/>
              <w:jc w:val="left"/>
            </w:pPr>
            <w:r/>
            <w:r>
              <w:rPr>
                <w:rFonts w:ascii="Times New Roman" w:hAnsi="Times New Roman"/>
                <w:sz w:val="16"/>
              </w:rPr>
              <w:t>-0.264</w:t>
            </w:r>
          </w:p>
        </w:tc>
        <w:tc>
          <w:tcPr>
            <w:tcW w:type="dxa" w:w="720"/>
          </w:tcPr>
          <w:p>
            <w:pPr>
              <w:spacing w:after="40" w:line="240" w:lineRule="auto"/>
              <w:jc w:val="center"/>
            </w:pPr>
            <w:r/>
            <w:r>
              <w:rPr>
                <w:rFonts w:ascii="Times New Roman" w:hAnsi="Times New Roman"/>
                <w:sz w:val="16"/>
              </w:rPr>
              <w:t>—</w:t>
            </w:r>
          </w:p>
        </w:tc>
      </w:tr>
      <w:tr>
        <w:tc>
          <w:tcPr>
            <w:tcW w:type="dxa" w:w="2160"/>
          </w:tcPr>
          <w:p>
            <w:pPr>
              <w:spacing w:after="40" w:line="240" w:lineRule="auto"/>
              <w:jc w:val="left"/>
            </w:pPr>
            <w:r/>
            <w:r>
              <w:rPr>
                <w:rFonts w:ascii="Times New Roman" w:hAnsi="Times New Roman"/>
                <w:sz w:val="16"/>
              </w:rPr>
              <w:t>COST_COMP</w:t>
            </w:r>
          </w:p>
        </w:tc>
        <w:tc>
          <w:tcPr>
            <w:tcW w:type="dxa" w:w="720"/>
          </w:tcPr>
          <w:p>
            <w:pPr>
              <w:spacing w:after="40" w:line="240" w:lineRule="auto"/>
              <w:jc w:val="left"/>
            </w:pPr>
            <w:r/>
            <w:r>
              <w:rPr>
                <w:rFonts w:ascii="Times New Roman" w:hAnsi="Times New Roman"/>
                <w:sz w:val="16"/>
              </w:rPr>
              <w:t>0.215</w:t>
            </w:r>
          </w:p>
        </w:tc>
        <w:tc>
          <w:tcPr>
            <w:tcW w:type="dxa" w:w="864"/>
          </w:tcPr>
          <w:p>
            <w:pPr>
              <w:spacing w:after="40" w:line="240" w:lineRule="auto"/>
              <w:jc w:val="left"/>
            </w:pPr>
            <w:r/>
            <w:r>
              <w:rPr>
                <w:rFonts w:ascii="Times New Roman" w:hAnsi="Times New Roman"/>
                <w:sz w:val="16"/>
              </w:rPr>
              <w:t>0.024</w:t>
            </w:r>
          </w:p>
        </w:tc>
        <w:tc>
          <w:tcPr>
            <w:tcW w:type="dxa" w:w="864"/>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0.237</w:t>
            </w:r>
          </w:p>
        </w:tc>
        <w:tc>
          <w:tcPr>
            <w:tcW w:type="dxa" w:w="864"/>
          </w:tcPr>
          <w:p>
            <w:pPr>
              <w:spacing w:after="40" w:line="240" w:lineRule="auto"/>
              <w:jc w:val="left"/>
            </w:pPr>
            <w:r/>
            <w:r>
              <w:rPr>
                <w:rFonts w:ascii="Times New Roman" w:hAnsi="Times New Roman"/>
                <w:sz w:val="16"/>
              </w:rPr>
              <w:t>9.08</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0.168</w:t>
            </w:r>
          </w:p>
        </w:tc>
        <w:tc>
          <w:tcPr>
            <w:tcW w:type="dxa" w:w="1008"/>
          </w:tcPr>
          <w:p>
            <w:pPr>
              <w:spacing w:after="40" w:line="240" w:lineRule="auto"/>
              <w:jc w:val="left"/>
            </w:pPr>
            <w:r/>
            <w:r>
              <w:rPr>
                <w:rFonts w:ascii="Times New Roman" w:hAnsi="Times New Roman"/>
                <w:sz w:val="16"/>
              </w:rPr>
              <w:t>0.262</w:t>
            </w:r>
          </w:p>
        </w:tc>
        <w:tc>
          <w:tcPr>
            <w:tcW w:type="dxa" w:w="720"/>
          </w:tcPr>
          <w:p>
            <w:pPr>
              <w:spacing w:after="40" w:line="240" w:lineRule="auto"/>
              <w:jc w:val="center"/>
            </w:pPr>
            <w:r/>
            <w:r>
              <w:rPr>
                <w:rFonts w:ascii="Times New Roman" w:hAnsi="Times New Roman"/>
                <w:sz w:val="16"/>
              </w:rPr>
              <w:t>1.231</w:t>
            </w:r>
          </w:p>
        </w:tc>
      </w:tr>
      <w:tr>
        <w:tc>
          <w:tcPr>
            <w:tcW w:type="dxa" w:w="2160"/>
          </w:tcPr>
          <w:p>
            <w:pPr>
              <w:spacing w:after="40" w:line="240" w:lineRule="auto"/>
              <w:jc w:val="left"/>
            </w:pPr>
            <w:r/>
            <w:r>
              <w:rPr>
                <w:rFonts w:ascii="Times New Roman" w:hAnsi="Times New Roman"/>
                <w:sz w:val="16"/>
              </w:rPr>
              <w:t>PROC_SPEED</w:t>
            </w:r>
          </w:p>
        </w:tc>
        <w:tc>
          <w:tcPr>
            <w:tcW w:type="dxa" w:w="720"/>
          </w:tcPr>
          <w:p>
            <w:pPr>
              <w:spacing w:after="40" w:line="240" w:lineRule="auto"/>
              <w:jc w:val="left"/>
            </w:pPr>
            <w:r/>
            <w:r>
              <w:rPr>
                <w:rFonts w:ascii="Times New Roman" w:hAnsi="Times New Roman"/>
                <w:sz w:val="16"/>
              </w:rPr>
              <w:t>0.176</w:t>
            </w:r>
          </w:p>
        </w:tc>
        <w:tc>
          <w:tcPr>
            <w:tcW w:type="dxa" w:w="864"/>
          </w:tcPr>
          <w:p>
            <w:pPr>
              <w:spacing w:after="40" w:line="240" w:lineRule="auto"/>
              <w:jc w:val="left"/>
            </w:pPr>
            <w:r/>
            <w:r>
              <w:rPr>
                <w:rFonts w:ascii="Times New Roman" w:hAnsi="Times New Roman"/>
                <w:sz w:val="16"/>
              </w:rPr>
              <w:t>0.025</w:t>
            </w:r>
          </w:p>
        </w:tc>
        <w:tc>
          <w:tcPr>
            <w:tcW w:type="dxa" w:w="864"/>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0.190</w:t>
            </w:r>
          </w:p>
        </w:tc>
        <w:tc>
          <w:tcPr>
            <w:tcW w:type="dxa" w:w="864"/>
          </w:tcPr>
          <w:p>
            <w:pPr>
              <w:spacing w:after="40" w:line="240" w:lineRule="auto"/>
              <w:jc w:val="left"/>
            </w:pPr>
            <w:r/>
            <w:r>
              <w:rPr>
                <w:rFonts w:ascii="Times New Roman" w:hAnsi="Times New Roman"/>
                <w:sz w:val="16"/>
              </w:rPr>
              <w:t>7.37</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0.129</w:t>
            </w:r>
          </w:p>
        </w:tc>
        <w:tc>
          <w:tcPr>
            <w:tcW w:type="dxa" w:w="1008"/>
          </w:tcPr>
          <w:p>
            <w:pPr>
              <w:spacing w:after="40" w:line="240" w:lineRule="auto"/>
              <w:jc w:val="left"/>
            </w:pPr>
            <w:r/>
            <w:r>
              <w:rPr>
                <w:rFonts w:ascii="Times New Roman" w:hAnsi="Times New Roman"/>
                <w:sz w:val="16"/>
              </w:rPr>
              <w:t>0.223</w:t>
            </w:r>
          </w:p>
        </w:tc>
        <w:tc>
          <w:tcPr>
            <w:tcW w:type="dxa" w:w="720"/>
          </w:tcPr>
          <w:p>
            <w:pPr>
              <w:spacing w:after="40" w:line="240" w:lineRule="auto"/>
              <w:jc w:val="center"/>
            </w:pPr>
            <w:r/>
            <w:r>
              <w:rPr>
                <w:rFonts w:ascii="Times New Roman" w:hAnsi="Times New Roman"/>
                <w:sz w:val="16"/>
              </w:rPr>
              <w:t>1.260</w:t>
            </w:r>
          </w:p>
        </w:tc>
      </w:tr>
      <w:tr>
        <w:tc>
          <w:tcPr>
            <w:tcW w:type="dxa" w:w="2160"/>
          </w:tcPr>
          <w:p>
            <w:pPr>
              <w:spacing w:after="40" w:line="240" w:lineRule="auto"/>
              <w:jc w:val="left"/>
            </w:pPr>
            <w:r/>
            <w:r>
              <w:rPr>
                <w:rFonts w:ascii="Times New Roman" w:hAnsi="Times New Roman"/>
                <w:sz w:val="16"/>
              </w:rPr>
              <w:t>DIGITAL_CONV</w:t>
            </w:r>
          </w:p>
        </w:tc>
        <w:tc>
          <w:tcPr>
            <w:tcW w:type="dxa" w:w="720"/>
          </w:tcPr>
          <w:p>
            <w:pPr>
              <w:spacing w:after="40" w:line="240" w:lineRule="auto"/>
              <w:jc w:val="left"/>
            </w:pPr>
            <w:r/>
            <w:r>
              <w:rPr>
                <w:rFonts w:ascii="Times New Roman" w:hAnsi="Times New Roman"/>
                <w:sz w:val="16"/>
              </w:rPr>
              <w:t>0.108</w:t>
            </w:r>
          </w:p>
        </w:tc>
        <w:tc>
          <w:tcPr>
            <w:tcW w:type="dxa" w:w="864"/>
          </w:tcPr>
          <w:p>
            <w:pPr>
              <w:spacing w:after="40" w:line="240" w:lineRule="auto"/>
              <w:jc w:val="left"/>
            </w:pPr>
            <w:r/>
            <w:r>
              <w:rPr>
                <w:rFonts w:ascii="Times New Roman" w:hAnsi="Times New Roman"/>
                <w:sz w:val="16"/>
              </w:rPr>
              <w:t>0.024</w:t>
            </w:r>
          </w:p>
        </w:tc>
        <w:tc>
          <w:tcPr>
            <w:tcW w:type="dxa" w:w="864"/>
          </w:tcPr>
          <w:p>
            <w:pPr>
              <w:spacing w:after="40" w:line="240" w:lineRule="auto"/>
              <w:jc w:val="left"/>
            </w:pPr>
            <w:r/>
            <w:r>
              <w:rPr>
                <w:rFonts w:ascii="Times New Roman" w:hAnsi="Times New Roman"/>
                <w:sz w:val="16"/>
              </w:rPr>
              <w:t>0.023</w:t>
            </w:r>
          </w:p>
        </w:tc>
        <w:tc>
          <w:tcPr>
            <w:tcW w:type="dxa" w:w="720"/>
          </w:tcPr>
          <w:p>
            <w:pPr>
              <w:spacing w:after="40" w:line="240" w:lineRule="auto"/>
              <w:jc w:val="left"/>
            </w:pPr>
            <w:r/>
            <w:r>
              <w:rPr>
                <w:rFonts w:ascii="Times New Roman" w:hAnsi="Times New Roman"/>
                <w:sz w:val="16"/>
              </w:rPr>
              <w:t>0.115</w:t>
            </w:r>
          </w:p>
        </w:tc>
        <w:tc>
          <w:tcPr>
            <w:tcW w:type="dxa" w:w="864"/>
          </w:tcPr>
          <w:p>
            <w:pPr>
              <w:spacing w:after="40" w:line="240" w:lineRule="auto"/>
              <w:jc w:val="left"/>
            </w:pPr>
            <w:r/>
            <w:r>
              <w:rPr>
                <w:rFonts w:ascii="Times New Roman" w:hAnsi="Times New Roman"/>
                <w:sz w:val="16"/>
              </w:rPr>
              <w:t>4.58</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0.063</w:t>
            </w:r>
          </w:p>
        </w:tc>
        <w:tc>
          <w:tcPr>
            <w:tcW w:type="dxa" w:w="1008"/>
          </w:tcPr>
          <w:p>
            <w:pPr>
              <w:spacing w:after="40" w:line="240" w:lineRule="auto"/>
              <w:jc w:val="left"/>
            </w:pPr>
            <w:r/>
            <w:r>
              <w:rPr>
                <w:rFonts w:ascii="Times New Roman" w:hAnsi="Times New Roman"/>
                <w:sz w:val="16"/>
              </w:rPr>
              <w:t>0.153</w:t>
            </w:r>
          </w:p>
        </w:tc>
        <w:tc>
          <w:tcPr>
            <w:tcW w:type="dxa" w:w="720"/>
          </w:tcPr>
          <w:p>
            <w:pPr>
              <w:spacing w:after="40" w:line="240" w:lineRule="auto"/>
              <w:jc w:val="center"/>
            </w:pPr>
            <w:r/>
            <w:r>
              <w:rPr>
                <w:rFonts w:ascii="Times New Roman" w:hAnsi="Times New Roman"/>
                <w:sz w:val="16"/>
              </w:rPr>
              <w:t>1.201</w:t>
            </w:r>
          </w:p>
        </w:tc>
      </w:tr>
      <w:tr>
        <w:tc>
          <w:tcPr>
            <w:tcW w:type="dxa" w:w="2160"/>
          </w:tcPr>
          <w:p>
            <w:pPr>
              <w:spacing w:after="40" w:line="240" w:lineRule="auto"/>
              <w:jc w:val="left"/>
            </w:pPr>
            <w:r/>
            <w:r>
              <w:rPr>
                <w:rFonts w:ascii="Times New Roman" w:hAnsi="Times New Roman"/>
                <w:sz w:val="16"/>
              </w:rPr>
              <w:t>BANK_REP</w:t>
            </w:r>
          </w:p>
        </w:tc>
        <w:tc>
          <w:tcPr>
            <w:tcW w:type="dxa" w:w="720"/>
          </w:tcPr>
          <w:p>
            <w:pPr>
              <w:spacing w:after="40" w:line="240" w:lineRule="auto"/>
              <w:jc w:val="left"/>
            </w:pPr>
            <w:r/>
            <w:r>
              <w:rPr>
                <w:rFonts w:ascii="Times New Roman" w:hAnsi="Times New Roman"/>
                <w:sz w:val="16"/>
              </w:rPr>
              <w:t>0.178</w:t>
            </w:r>
          </w:p>
        </w:tc>
        <w:tc>
          <w:tcPr>
            <w:tcW w:type="dxa" w:w="864"/>
          </w:tcPr>
          <w:p>
            <w:pPr>
              <w:spacing w:after="40" w:line="240" w:lineRule="auto"/>
              <w:jc w:val="left"/>
            </w:pPr>
            <w:r/>
            <w:r>
              <w:rPr>
                <w:rFonts w:ascii="Times New Roman" w:hAnsi="Times New Roman"/>
                <w:sz w:val="16"/>
              </w:rPr>
              <w:t>0.029</w:t>
            </w:r>
          </w:p>
        </w:tc>
        <w:tc>
          <w:tcPr>
            <w:tcW w:type="dxa" w:w="864"/>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0.159</w:t>
            </w:r>
          </w:p>
        </w:tc>
        <w:tc>
          <w:tcPr>
            <w:tcW w:type="dxa" w:w="864"/>
          </w:tcPr>
          <w:p>
            <w:pPr>
              <w:spacing w:after="40" w:line="240" w:lineRule="auto"/>
              <w:jc w:val="left"/>
            </w:pPr>
            <w:r/>
            <w:r>
              <w:rPr>
                <w:rFonts w:ascii="Times New Roman" w:hAnsi="Times New Roman"/>
                <w:sz w:val="16"/>
              </w:rPr>
              <w:t>6.16</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0.121</w:t>
            </w:r>
          </w:p>
        </w:tc>
        <w:tc>
          <w:tcPr>
            <w:tcW w:type="dxa" w:w="1008"/>
          </w:tcPr>
          <w:p>
            <w:pPr>
              <w:spacing w:after="40" w:line="240" w:lineRule="auto"/>
              <w:jc w:val="left"/>
            </w:pPr>
            <w:r/>
            <w:r>
              <w:rPr>
                <w:rFonts w:ascii="Times New Roman" w:hAnsi="Times New Roman"/>
                <w:sz w:val="16"/>
              </w:rPr>
              <w:t>0.235</w:t>
            </w:r>
          </w:p>
        </w:tc>
        <w:tc>
          <w:tcPr>
            <w:tcW w:type="dxa" w:w="720"/>
          </w:tcPr>
          <w:p>
            <w:pPr>
              <w:spacing w:after="40" w:line="240" w:lineRule="auto"/>
              <w:jc w:val="center"/>
            </w:pPr>
            <w:r/>
            <w:r>
              <w:rPr>
                <w:rFonts w:ascii="Times New Roman" w:hAnsi="Times New Roman"/>
                <w:sz w:val="16"/>
              </w:rPr>
              <w:t>1.177</w:t>
            </w:r>
          </w:p>
        </w:tc>
      </w:tr>
      <w:tr>
        <w:tc>
          <w:tcPr>
            <w:tcW w:type="dxa" w:w="2160"/>
          </w:tcPr>
          <w:p>
            <w:pPr>
              <w:spacing w:after="40" w:line="240" w:lineRule="auto"/>
              <w:jc w:val="left"/>
            </w:pPr>
            <w:r/>
            <w:r>
              <w:rPr>
                <w:rFonts w:ascii="Times New Roman" w:hAnsi="Times New Roman"/>
                <w:sz w:val="16"/>
              </w:rPr>
              <w:t>RELATIONSHIP</w:t>
            </w:r>
          </w:p>
        </w:tc>
        <w:tc>
          <w:tcPr>
            <w:tcW w:type="dxa" w:w="720"/>
          </w:tcPr>
          <w:p>
            <w:pPr>
              <w:spacing w:after="40" w:line="240" w:lineRule="auto"/>
              <w:jc w:val="left"/>
            </w:pPr>
            <w:r/>
            <w:r>
              <w:rPr>
                <w:rFonts w:ascii="Times New Roman" w:hAnsi="Times New Roman"/>
                <w:sz w:val="16"/>
              </w:rPr>
              <w:t>0.213</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0.219</w:t>
            </w:r>
          </w:p>
        </w:tc>
        <w:tc>
          <w:tcPr>
            <w:tcW w:type="dxa" w:w="864"/>
          </w:tcPr>
          <w:p>
            <w:pPr>
              <w:spacing w:after="40" w:line="240" w:lineRule="auto"/>
              <w:jc w:val="left"/>
            </w:pPr>
            <w:r/>
            <w:r>
              <w:rPr>
                <w:rFonts w:ascii="Times New Roman" w:hAnsi="Times New Roman"/>
                <w:sz w:val="16"/>
              </w:rPr>
              <w:t>7.88</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0.160</w:t>
            </w:r>
          </w:p>
        </w:tc>
        <w:tc>
          <w:tcPr>
            <w:tcW w:type="dxa" w:w="1008"/>
          </w:tcPr>
          <w:p>
            <w:pPr>
              <w:spacing w:after="40" w:line="240" w:lineRule="auto"/>
              <w:jc w:val="left"/>
            </w:pPr>
            <w:r/>
            <w:r>
              <w:rPr>
                <w:rFonts w:ascii="Times New Roman" w:hAnsi="Times New Roman"/>
                <w:sz w:val="16"/>
              </w:rPr>
              <w:t>0.266</w:t>
            </w:r>
          </w:p>
        </w:tc>
        <w:tc>
          <w:tcPr>
            <w:tcW w:type="dxa" w:w="720"/>
          </w:tcPr>
          <w:p>
            <w:pPr>
              <w:spacing w:after="40" w:line="240" w:lineRule="auto"/>
              <w:jc w:val="center"/>
            </w:pPr>
            <w:r/>
            <w:r>
              <w:rPr>
                <w:rFonts w:ascii="Times New Roman" w:hAnsi="Times New Roman"/>
                <w:sz w:val="16"/>
              </w:rPr>
              <w:t>1.237</w:t>
            </w:r>
          </w:p>
        </w:tc>
      </w:tr>
      <w:tr>
        <w:tc>
          <w:tcPr>
            <w:tcW w:type="dxa" w:w="2160"/>
          </w:tcPr>
          <w:p>
            <w:pPr>
              <w:spacing w:after="40" w:line="240" w:lineRule="auto"/>
              <w:jc w:val="left"/>
            </w:pPr>
            <w:r/>
            <w:r>
              <w:rPr>
                <w:rFonts w:ascii="Times New Roman" w:hAnsi="Times New Roman"/>
                <w:sz w:val="16"/>
              </w:rPr>
              <w:t>STAFF_QUAL</w:t>
            </w:r>
          </w:p>
        </w:tc>
        <w:tc>
          <w:tcPr>
            <w:tcW w:type="dxa" w:w="720"/>
          </w:tcPr>
          <w:p>
            <w:pPr>
              <w:spacing w:after="40" w:line="240" w:lineRule="auto"/>
              <w:jc w:val="left"/>
            </w:pPr>
            <w:r/>
            <w:r>
              <w:rPr>
                <w:rFonts w:ascii="Times New Roman" w:hAnsi="Times New Roman"/>
                <w:sz w:val="16"/>
              </w:rPr>
              <w:t>0.152</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0.024</w:t>
            </w:r>
          </w:p>
        </w:tc>
        <w:tc>
          <w:tcPr>
            <w:tcW w:type="dxa" w:w="720"/>
          </w:tcPr>
          <w:p>
            <w:pPr>
              <w:spacing w:after="40" w:line="240" w:lineRule="auto"/>
              <w:jc w:val="left"/>
            </w:pPr>
            <w:r/>
            <w:r>
              <w:rPr>
                <w:rFonts w:ascii="Times New Roman" w:hAnsi="Times New Roman"/>
                <w:sz w:val="16"/>
              </w:rPr>
              <w:t>0.153</w:t>
            </w:r>
          </w:p>
        </w:tc>
        <w:tc>
          <w:tcPr>
            <w:tcW w:type="dxa" w:w="864"/>
          </w:tcPr>
          <w:p>
            <w:pPr>
              <w:spacing w:after="40" w:line="240" w:lineRule="auto"/>
              <w:jc w:val="left"/>
            </w:pPr>
            <w:r/>
            <w:r>
              <w:rPr>
                <w:rFonts w:ascii="Times New Roman" w:hAnsi="Times New Roman"/>
                <w:sz w:val="16"/>
              </w:rPr>
              <w:t>6.19</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0.105</w:t>
            </w:r>
          </w:p>
        </w:tc>
        <w:tc>
          <w:tcPr>
            <w:tcW w:type="dxa" w:w="1008"/>
          </w:tcPr>
          <w:p>
            <w:pPr>
              <w:spacing w:after="40" w:line="240" w:lineRule="auto"/>
              <w:jc w:val="left"/>
            </w:pPr>
            <w:r/>
            <w:r>
              <w:rPr>
                <w:rFonts w:ascii="Times New Roman" w:hAnsi="Times New Roman"/>
                <w:sz w:val="16"/>
              </w:rPr>
              <w:t>0.199</w:t>
            </w:r>
          </w:p>
        </w:tc>
        <w:tc>
          <w:tcPr>
            <w:tcW w:type="dxa" w:w="720"/>
          </w:tcPr>
          <w:p>
            <w:pPr>
              <w:spacing w:after="40" w:line="240" w:lineRule="auto"/>
              <w:jc w:val="center"/>
            </w:pPr>
            <w:r/>
            <w:r>
              <w:rPr>
                <w:rFonts w:ascii="Times New Roman" w:hAnsi="Times New Roman"/>
                <w:sz w:val="16"/>
              </w:rPr>
              <w:t>1.162</w:t>
            </w:r>
          </w:p>
        </w:tc>
      </w:tr>
      <w:tr>
        <w:tc>
          <w:tcPr>
            <w:tcW w:type="dxa" w:w="2160"/>
          </w:tcPr>
          <w:p>
            <w:pPr>
              <w:spacing w:after="40" w:line="240" w:lineRule="auto"/>
              <w:jc w:val="left"/>
            </w:pPr>
            <w:r/>
            <w:r>
              <w:rPr>
                <w:rFonts w:ascii="Times New Roman" w:hAnsi="Times New Roman"/>
                <w:sz w:val="16"/>
              </w:rPr>
              <w:t>COLL_POLICY</w:t>
            </w:r>
          </w:p>
        </w:tc>
        <w:tc>
          <w:tcPr>
            <w:tcW w:type="dxa" w:w="720"/>
          </w:tcPr>
          <w:p>
            <w:pPr>
              <w:spacing w:after="40" w:line="240" w:lineRule="auto"/>
              <w:jc w:val="left"/>
            </w:pPr>
            <w:r/>
            <w:r>
              <w:rPr>
                <w:rFonts w:ascii="Times New Roman" w:hAnsi="Times New Roman"/>
                <w:sz w:val="16"/>
              </w:rPr>
              <w:t>0.159</w:t>
            </w:r>
          </w:p>
        </w:tc>
        <w:tc>
          <w:tcPr>
            <w:tcW w:type="dxa" w:w="864"/>
          </w:tcPr>
          <w:p>
            <w:pPr>
              <w:spacing w:after="40" w:line="240" w:lineRule="auto"/>
              <w:jc w:val="left"/>
            </w:pPr>
            <w:r/>
            <w:r>
              <w:rPr>
                <w:rFonts w:ascii="Times New Roman" w:hAnsi="Times New Roman"/>
                <w:sz w:val="16"/>
              </w:rPr>
              <w:t>0.024</w:t>
            </w:r>
          </w:p>
        </w:tc>
        <w:tc>
          <w:tcPr>
            <w:tcW w:type="dxa" w:w="864"/>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0.169</w:t>
            </w:r>
          </w:p>
        </w:tc>
        <w:tc>
          <w:tcPr>
            <w:tcW w:type="dxa" w:w="864"/>
          </w:tcPr>
          <w:p>
            <w:pPr>
              <w:spacing w:after="40" w:line="240" w:lineRule="auto"/>
              <w:jc w:val="left"/>
            </w:pPr>
            <w:r/>
            <w:r>
              <w:rPr>
                <w:rFonts w:ascii="Times New Roman" w:hAnsi="Times New Roman"/>
                <w:sz w:val="16"/>
              </w:rPr>
              <w:t>6.34</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0.110</w:t>
            </w:r>
          </w:p>
        </w:tc>
        <w:tc>
          <w:tcPr>
            <w:tcW w:type="dxa" w:w="1008"/>
          </w:tcPr>
          <w:p>
            <w:pPr>
              <w:spacing w:after="40" w:line="240" w:lineRule="auto"/>
              <w:jc w:val="left"/>
            </w:pPr>
            <w:r/>
            <w:r>
              <w:rPr>
                <w:rFonts w:ascii="Times New Roman" w:hAnsi="Times New Roman"/>
                <w:sz w:val="16"/>
              </w:rPr>
              <w:t>0.208</w:t>
            </w:r>
          </w:p>
        </w:tc>
        <w:tc>
          <w:tcPr>
            <w:tcW w:type="dxa" w:w="720"/>
          </w:tcPr>
          <w:p>
            <w:pPr>
              <w:spacing w:after="40" w:line="240" w:lineRule="auto"/>
              <w:jc w:val="center"/>
            </w:pPr>
            <w:r/>
            <w:r>
              <w:rPr>
                <w:rFonts w:ascii="Times New Roman" w:hAnsi="Times New Roman"/>
                <w:sz w:val="16"/>
              </w:rPr>
              <w:t>1.168</w:t>
            </w:r>
          </w:p>
        </w:tc>
      </w:tr>
    </w:tbl>
    <w:p>
      <w:pPr>
        <w:spacing w:after="200" w:line="360" w:lineRule="auto"/>
        <w:ind w:firstLine="0"/>
        <w:jc w:val="center"/>
      </w:pPr>
      <w:r>
        <w:rPr>
          <w:rFonts w:ascii="Times New Roman" w:hAnsi="Times New Roman"/>
          <w:b w:val="0"/>
          <w:i/>
          <w:sz w:val="20"/>
        </w:rPr>
        <w:t>Source: Author's corporate survey analysis (2025–2026), n = 800 (Dependent Variable: DEC).</w:t>
      </w:r>
    </w:p>
    <w:p>
      <w:pPr>
        <w:spacing w:after="80"/>
        <w:jc w:val="center"/>
      </w:pPr>
      <w:r>
        <w:drawing>
          <wp:inline xmlns:a="http://schemas.openxmlformats.org/drawingml/2006/main" xmlns:pic="http://schemas.openxmlformats.org/drawingml/2006/picture">
            <wp:extent cx="5669280" cy="3037114"/>
            <wp:docPr id="1" name="Picture 1"/>
            <wp:cNvGraphicFramePr>
              <a:graphicFrameLocks noChangeAspect="1"/>
            </wp:cNvGraphicFramePr>
            <a:graphic>
              <a:graphicData uri="http://schemas.openxmlformats.org/drawingml/2006/picture">
                <pic:pic>
                  <pic:nvPicPr>
                    <pic:cNvPr id="0" name="figure_4_1_empirical_model_v4.png"/>
                    <pic:cNvPicPr/>
                  </pic:nvPicPr>
                  <pic:blipFill>
                    <a:blip r:embed="rId12"/>
                    <a:stretch>
                      <a:fillRect/>
                    </a:stretch>
                  </pic:blipFill>
                  <pic:spPr>
                    <a:xfrm>
                      <a:off x="0" y="0"/>
                      <a:ext cx="5669280" cy="3037114"/>
                    </a:xfrm>
                    <a:prstGeom prst="rect"/>
                  </pic:spPr>
                </pic:pic>
              </a:graphicData>
            </a:graphic>
          </wp:inline>
        </w:drawing>
      </w:r>
    </w:p>
    <w:sectPr w:rsidR="00994AE3" w:rsidRPr="0040485A" w:rsidSect="00034616">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45C68" w14:textId="77777777" w:rsidR="008064C0" w:rsidRDefault="008064C0">
      <w:pPr>
        <w:spacing w:after="0" w:line="240" w:lineRule="auto"/>
      </w:pPr>
      <w:r>
        <w:separator/>
      </w:r>
    </w:p>
  </w:endnote>
  <w:endnote w:type="continuationSeparator" w:id="0">
    <w:p w14:paraId="12B66F5A" w14:textId="77777777" w:rsidR="008064C0" w:rsidRDefault="0080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8980" w14:textId="77777777" w:rsidR="008064C0" w:rsidRDefault="008064C0">
      <w:pPr>
        <w:spacing w:after="0" w:line="240" w:lineRule="auto"/>
      </w:pPr>
      <w:r>
        <w:separator/>
      </w:r>
    </w:p>
  </w:footnote>
  <w:footnote w:type="continuationSeparator" w:id="0">
    <w:p w14:paraId="27EFA62F" w14:textId="77777777" w:rsidR="008064C0" w:rsidRDefault="00806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818F" w14:textId="77777777" w:rsidR="00994AE3" w:rsidRDefault="008064C0">
    <w:pPr>
      <w:pStyle w:val="Header"/>
      <w:pBdr>
        <w:bottom w:val="single" w:sz="4" w:space="4" w:color="000000"/>
      </w:pBdr>
      <w:jc w:val="right"/>
    </w:pPr>
    <w:r>
      <w:rPr>
        <w:i/>
        <w:sz w:val="20"/>
      </w:rPr>
      <w:t xml:space="preserve">Master </w:t>
    </w:r>
    <w:r>
      <w:rPr>
        <w:i/>
        <w:sz w:val="20"/>
      </w:rPr>
      <w:t>Thesis – MDE31 – Dang Tu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85A"/>
    <w:rsid w:val="005648C1"/>
    <w:rsid w:val="008064C0"/>
    <w:rsid w:val="00994A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7EC23"/>
  <w14:defaultImageDpi w14:val="300"/>
  <w15:docId w15:val="{1C8E5512-DD51-46AD-969B-734F9668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17600</Words>
  <Characters>100320</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cp:lastModifiedBy>
  <cp:revision>3</cp:revision>
  <dcterms:created xsi:type="dcterms:W3CDTF">2013-12-23T23:15:00Z</dcterms:created>
  <dcterms:modified xsi:type="dcterms:W3CDTF">2026-09-21T13:39:00Z</dcterms:modified>
  <cp:category/>
</cp:coreProperties>
</file>