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b w:val="1"/>
          <w:bCs w:val="1"/>
          <w:sz w:val="20"/>
          <w:szCs w:val="20"/>
          <w:u w:val="single"/>
          <w:rtl w:val="0"/>
        </w:rPr>
        <w:t xml:space="preserve">Minh Nguyen</w:t>
      </w:r>
      <w:r w:rsidDel="00000000" w:rsidR="00000000" w:rsidRPr="00000000">
        <w:rPr>
          <w:sz w:val="20"/>
          <w:szCs w:val="20"/>
          <w:rtl w:val="0"/>
        </w:rPr>
        <w:t xml:space="preserve">, ͣ Ankita Mishra,  ͣ Navika Maglani,  ͣ Charmi Patel,  ͣ Daniela Raicu,  ͣ Kelly McCabe,  ͣ Jacob Furst, and  ͣ Roselyne Tchoua</w:t>
      </w:r>
    </w:p>
    <w:p w:rsidR="00000000" w:rsidDel="00000000" w:rsidP="00000000" w:rsidRDefault="00000000" w:rsidRPr="00000000" w14:paraId="00000003">
      <w:pPr>
        <w:rPr>
          <w:i w:val="1"/>
          <w:iCs w:val="1"/>
          <w:sz w:val="18"/>
          <w:szCs w:val="18"/>
        </w:rPr>
      </w:pPr>
      <w:r w:rsidDel="00000000" w:rsidR="00000000" w:rsidRPr="00000000">
        <w:rPr>
          <w:i w:val="1"/>
          <w:iCs w:val="1"/>
          <w:sz w:val="18"/>
          <w:szCs w:val="18"/>
          <w:rtl w:val="0"/>
        </w:rPr>
        <w:t xml:space="preserve"> ͣ  College of Computing and Digital Media, DePaul University, Chicago, Illinois, USA, 60604</w:t>
      </w:r>
    </w:p>
    <w:p w:rsidR="00000000" w:rsidDel="00000000" w:rsidP="00000000" w:rsidRDefault="00000000" w:rsidRPr="00000000" w14:paraId="00000004">
      <w:pPr>
        <w:rPr>
          <w:i w:val="1"/>
          <w:iCs w:val="1"/>
          <w:sz w:val="18"/>
          <w:szCs w:val="18"/>
        </w:rPr>
      </w:pPr>
      <w:r w:rsidDel="00000000" w:rsidR="00000000" w:rsidRPr="00000000">
        <w:rPr>
          <w:i w:val="1"/>
          <w:iCs w:val="1"/>
          <w:sz w:val="18"/>
          <w:szCs w:val="18"/>
          <w:rtl w:val="0"/>
        </w:rPr>
        <w:t xml:space="preserve">ᵇ Sinai Urban Health Institute, Chicago, Illinois, USA, 60608</w:t>
      </w:r>
    </w:p>
    <w:p w:rsidR="00000000" w:rsidDel="00000000" w:rsidP="00000000" w:rsidRDefault="00000000" w:rsidRPr="00000000" w14:paraId="00000005">
      <w:pPr>
        <w:rPr>
          <w:i w:val="1"/>
          <w:iCs w:val="1"/>
          <w:sz w:val="20"/>
          <w:szCs w:val="20"/>
          <w:u w:val="single"/>
        </w:rPr>
      </w:pPr>
      <w:r w:rsidDel="00000000" w:rsidR="00000000" w:rsidRPr="00000000">
        <w:rPr>
          <w:i w:val="1"/>
          <w:iCs w:val="1"/>
          <w:sz w:val="20"/>
          <w:szCs w:val="20"/>
          <w:rtl w:val="0"/>
        </w:rPr>
        <w:t xml:space="preserve">email: </w:t>
      </w:r>
      <w:hyperlink r:id="rId6">
        <w:r w:rsidDel="00000000" w:rsidR="00000000" w:rsidRPr="00000000">
          <w:rPr>
            <w:i w:val="1"/>
            <w:iCs w:val="1"/>
            <w:sz w:val="20"/>
            <w:szCs w:val="20"/>
            <w:u w:val="single"/>
            <w:rtl w:val="0"/>
          </w:rPr>
          <w:t xml:space="preserve">mnguye93@depaul.edu</w:t>
        </w:r>
      </w:hyperlink>
      <w:r w:rsidDel="00000000" w:rsidR="00000000" w:rsidRPr="00000000">
        <w:rPr>
          <w:i w:val="1"/>
          <w:iCs w:val="1"/>
          <w:sz w:val="20"/>
          <w:szCs w:val="20"/>
          <w:rtl w:val="0"/>
        </w:rPr>
        <w:tab/>
        <w:tab/>
        <w:tab/>
        <w:tab/>
        <w:t xml:space="preserve">*PI: </w:t>
      </w:r>
      <w:r w:rsidDel="00000000" w:rsidR="00000000" w:rsidRPr="00000000">
        <w:rPr>
          <w:i w:val="1"/>
          <w:iCs w:val="1"/>
          <w:sz w:val="20"/>
          <w:szCs w:val="20"/>
          <w:u w:val="single"/>
          <w:rtl w:val="0"/>
        </w:rPr>
        <w:t xml:space="preserve">rtchoua@depaul.edu</w:t>
      </w:r>
      <w:r w:rsidDel="00000000" w:rsidR="00000000" w:rsidRPr="00000000">
        <w:rPr>
          <w:rtl w:val="0"/>
        </w:rPr>
      </w:r>
    </w:p>
    <w:p w:rsidR="00000000" w:rsidDel="00000000" w:rsidP="00000000" w:rsidRDefault="00000000" w:rsidRPr="00000000" w14:paraId="00000006">
      <w:pPr>
        <w:rPr>
          <w:i w:val="1"/>
          <w:iCs w:val="1"/>
          <w:sz w:val="18"/>
          <w:szCs w:val="18"/>
        </w:rPr>
      </w:pPr>
      <w:r w:rsidDel="00000000" w:rsidR="00000000" w:rsidRPr="00000000">
        <w:rPr>
          <w:rtl w:val="0"/>
        </w:rPr>
      </w:r>
    </w:p>
    <w:p w:rsidR="00000000" w:rsidDel="00000000" w:rsidP="00000000" w:rsidRDefault="00000000" w:rsidRPr="00000000" w14:paraId="00000007">
      <w:pPr>
        <w:rPr>
          <w:sz w:val="18"/>
          <w:szCs w:val="18"/>
        </w:rPr>
      </w:pPr>
      <w:r w:rsidDel="00000000" w:rsidR="00000000" w:rsidRPr="00000000">
        <w:rPr>
          <w:sz w:val="18"/>
          <w:szCs w:val="18"/>
          <w:rtl w:val="0"/>
        </w:rPr>
        <w:t xml:space="preserve">As the capabilities of machine learning have developed, researchers and healthcare providers are exploring its application to health informatics to improve outcomes and address health equity. The Centers for Medicare and Medicaid Services consider 30-day readmission rates to the Emergency Department (ED) as an important measure of care quality, reflecting how well hospitals prevent complications and ensure smooth care transitions. </w:t>
      </w:r>
      <w:r w:rsidDel="00000000" w:rsidR="00000000" w:rsidRPr="00000000">
        <w:rPr>
          <w:sz w:val="18"/>
          <w:szCs w:val="18"/>
          <w:rtl w:val="0"/>
        </w:rPr>
        <w:t xml:space="preserve">Simultaneously, while certain readmissions are necessary, the goal is to reduce avoidable unplanned revisits. The Sinai Urban Health Institute (SUHI), which has a long history of health equity research, trains Community Health Workers (CHWs) to follow up with patients post-discharge, offering resources that help prevent 30-day ED readmissions. </w:t>
      </w:r>
      <w:r w:rsidDel="00000000" w:rsidR="00000000" w:rsidRPr="00000000">
        <w:rPr>
          <w:sz w:val="18"/>
          <w:szCs w:val="18"/>
          <w:rtl w:val="0"/>
        </w:rPr>
        <w:t xml:space="preserve">The CHWs come from the same Chicago neighborhoods as the patients and serve as trusted liaisons between the hospital and the patients. Past research has demonstrated the value of integrating CHW and Social Determinants of Health (SDoH) data in predictive models of 30-day ED readmissions. However, text notes recorded by CHWs have not been utilized. Incorporating these notes is challenging due to their sparsity, varied structure, and the absence of labeled content. Our project aims to leverage a subset of “resource notes,” which document specific resource needs (e.g., food or transportation), to enrich the broader set of CHW notes with meaningful tags that could help further enhance 30-day ED readmission prediction. So far, we have generated some frequency analysis and visualization to help the team understand the differences between contact and resource notes with a particular focus on food and transportation resource notes which are more represented in our dataset. Preliminary findings suggest that patients with certain resource notes may experience different readmission rates. We also examined the total readmission rate for each resource type and applied Yule’s Q to assess whether patients receiving resources differ from those who do not. </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b w:val="1"/>
        <w:bCs w:val="1"/>
      </w:rPr>
    </w:pPr>
    <w:r w:rsidDel="00000000" w:rsidR="00000000" w:rsidRPr="00000000">
      <w:rPr>
        <w:b w:val="1"/>
        <w:bCs w:val="1"/>
        <w:rtl w:val="0"/>
      </w:rPr>
      <w:t xml:space="preserve">How Can We Leverage Community Health Worker (CHW) Notes to Supplement Tabular Features and Improve the Classification of Emergency Department (ED) Readmissions?</w:t>
    </w:r>
  </w:p>
  <w:p w:rsidR="00000000" w:rsidDel="00000000" w:rsidP="00000000" w:rsidRDefault="00000000" w:rsidRPr="00000000" w14:paraId="00000009">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nguye93@depaul.edu"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