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  <w:jc w:val="center"/>
      </w:pPr>
      <w:r>
        <w:rPr>
          <w:rFonts w:ascii="Arial" w:cs="Arial" w:eastAsia="Arial" w:hAnsi="Arial"/>
          <w:b/>
          <w:bCs/>
          <w:color w:val="1A1A2E"/>
          <w:sz w:val="72"/>
          <w:szCs w:val="72"/>
        </w:rPr>
        <w:t xml:space="preserve">VALDRIS</w:t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B8960C"/>
          <w:sz w:val="26"/>
          <w:szCs w:val="26"/>
        </w:rPr>
        <w:t xml:space="preserve">Precision Forged. Time Mastered.</w:t>
      </w:r>
    </w:p>
    <w:p>
      <w:pPr>
        <w:pBdr>
          <w:bottom w:val="single" w:color="B8960C" w:sz="3" w:space="4"/>
        </w:pBdr>
        <w:spacing w:after="80" w:before="160"/>
        <w:jc w:val="center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PROJECT CHARTER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6B6B6B"/>
          <w:sz w:val="24"/>
          <w:szCs w:val="24"/>
        </w:rPr>
        <w:t xml:space="preserve">E-Commerce Website — Luxury Watch Brand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4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Project Charter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4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1.0 — Initial Release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4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April 2024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4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Business Analyst — Valdris Digital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4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Confidential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4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Project code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VLD-ECOM-2024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B8960C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 Executive Summary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Valdris Watch Co. is a US-based luxury watch brand inspired by Swiss horological tradition. The company currently operates through a network of 3–5 boutique retail partners across the United States. This project charters the design and development of a direct-to-consumer (DTC) e-commerce website — valdriswatches.com — to establish Valdris as a digitally native luxury brand while preserving the white-glove experience its customers expect.</w:t>
      </w:r>
    </w:p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The e-commerce platform is not a commodity shopping site. It is a digital flagship store — the online equivalent of a boutique on Fifth Avenue. Every requirement, every design decision, and every system constraint in this project must reflect that positioning.</w:t>
      </w:r>
    </w:p>
    <w:p>
      <w:pPr>
        <w:spacing w:after="0" w:before="0"/>
      </w:pPr>
      <w:r>
        <w:t xml:space="preserve"/>
      </w:r>
    </w:p>
    <w:p>
      <w:pPr>
        <w:pBdr>
          <w:left w:val="single" w:color="B8960C" w:sz="12" w:space="4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5A4A00"/>
          <w:sz w:val="20"/>
          <w:szCs w:val="20"/>
        </w:rPr>
        <w:t xml:space="preserve">Business rule: Valdris does not compete on price. The platform must never undermine brand equity through sitewide discount mechanics, flash sales, or low-cost UX patterns. Value is delivered through service, exclusivity, and experience.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B8960C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 Brand Definition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3E6B"/>
          <w:sz w:val="24"/>
          <w:szCs w:val="24"/>
        </w:rPr>
        <w:t xml:space="preserve">2.1 Brand Identity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4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Brand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Valdris Watch Co.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4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Tagline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Precision Forged. Time Mastered.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4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Website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valdriswatches.com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4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Segment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Upper-luxury ($2,500 – $25,000 per timepiece)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4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Heritage narrative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Swiss-inspired precision engineering, American ownership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4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Brand personality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Authoritative, refined, understated, confident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4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Visual language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Deep navy, gold accents, clean white space, serif typography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3E6B"/>
          <w:sz w:val="24"/>
          <w:szCs w:val="24"/>
        </w:rPr>
        <w:t xml:space="preserve">2.2 Product Collections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Valdris organises its catalog into four distinct collections, each serving a different customer intent: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Collection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Positioning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 range (USD)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Meridian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Dress watches — boardroom elegance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$2,500 – $8,000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Apex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Sport &amp; diver — active precision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$3,500 – $12,000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Heirloom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Limited editions — numbered, collectible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$8,000 – $25,000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Atelier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Commission — engraving, custom dials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$15,000+ (bespoke quote)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3E6B"/>
          <w:sz w:val="24"/>
          <w:szCs w:val="24"/>
        </w:rPr>
        <w:t xml:space="preserve">2.3 Target Customer Personas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 A — The Established Collector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 B — The Aspirational Achiever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Male, 42–55, net worth $2M+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Male/Female, 32–42, HHI $200k+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Owns 5+ luxury watches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First or second luxury watch purchase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Values provenance, limited editions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Values brand story, gifting experience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Expects personal advisor, fast checkout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Needs education, detailed product content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High-value reorder customer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Acquisition target — may become collector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left w:val="single" w:color="1D9E75" w:sz="12" w:space="4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085041"/>
          <w:sz w:val="20"/>
          <w:szCs w:val="20"/>
        </w:rPr>
        <w:t xml:space="preserve">System thinking: Two personas with opposite needs — the Collector wants speed and exclusivity, the Achiever wants education and confidence-building. Our system must serve both without compromising either. This tension will drive several UX and content requirements in the BRD.</w:t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B8960C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 Project Objectives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3E6B"/>
          <w:sz w:val="24"/>
          <w:szCs w:val="24"/>
        </w:rPr>
        <w:t xml:space="preserve">3.1 Primary Objectives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Launch valdriswatches.com as Valdris's primary DTC sales channel by Q4 2024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Enable end-to-end online purchase of Valdris timepieces with serialized inventory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Deliver a luxury-grade digital experience that reflects the brand's physical boutique standard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Establish the digital foundation for a retail partner portal (Phase 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Achieve PCI-DSS compliance for all payment processing from day one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3E6B"/>
          <w:sz w:val="24"/>
          <w:szCs w:val="24"/>
        </w:rPr>
        <w:t xml:space="preserve">3.2 Secondary Objectives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Build a CRM-connected customer profile system to enable post-purchase clienteling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Create editorial content infrastructure (brand story, collection pages, watchmaking craft)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Enable appointment booking with personal advisors for high-value consultations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Establish analytics baseline — traffic, conversion rate, AOV — within 60 days of launch</w:t>
      </w:r>
    </w:p>
    <w:p>
      <w:pPr>
        <w:spacing w:after="0" w:before="0"/>
      </w:pPr>
      <w:r>
        <w:t xml:space="preserve"/>
      </w:r>
    </w:p>
    <w:p>
      <w:pPr>
        <w:pBdr>
          <w:left w:val="single" w:color="B8960C" w:sz="12" w:space="4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5A4A00"/>
          <w:sz w:val="20"/>
          <w:szCs w:val="20"/>
        </w:rPr>
        <w:t xml:space="preserve">Business driver: The primary KPI for this project is not traffic — it is Average Order Value (AOV) and conversion rate among qualified luxury buyers. A site with 500 high-intent visitors converting at 3% is more valuable than 50,000 visitors converting at 0.1%.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B8960C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 Project Scope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3E6B"/>
          <w:sz w:val="24"/>
          <w:szCs w:val="24"/>
        </w:rPr>
        <w:t xml:space="preserve">4.1 In-Scope (Phase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Customer-facing (frontend)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 &amp; operations (backend)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Homepage — brand editorial + featured collections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Product catalog management (serialized SKUs)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Collection listing pages with filter/sort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Order management &amp; fulfillment workflow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Product detail page (PDP) — full specs, images, serial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Customer account management (CRM-lite)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Customer registration, login, account dashboard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Inventory management — per-serial tracking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Shopping cart and checkout flow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Payment management — Stripe integration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Online payment — credit/debit card, ACH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Shipping &amp; logistics management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Order tracking and history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Retail partner management (read-only portal)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Advisor appointment booking (Calendly integration)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Reports &amp; analytics dashboard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Authenticity certificate download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CMS — brand pages, editorial content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Wishlist and gift registry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Role-based admin access control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Brand story + watchmaking editorial pages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Email notification management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3E6B"/>
          <w:sz w:val="24"/>
          <w:szCs w:val="24"/>
        </w:rPr>
        <w:t xml:space="preserve">4.2 Out of Scope (Phase 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Retail partner inventory sync (Phase 2 — partner portal)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Mobile native application (iOS / Android)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International shipping or multi-currency pricing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Full Atelier commission workflow (online quotation engine)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Real-time watch authentication via NFC / QR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Pre-owned / secondary market trading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Buy Now Pay Later (BNPL) payment options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Live chat or AI chatbot</w:t>
      </w:r>
    </w:p>
    <w:p>
      <w:pPr>
        <w:spacing w:after="0" w:before="0"/>
      </w:pPr>
      <w:r>
        <w:t xml:space="preserve"/>
      </w:r>
    </w:p>
    <w:p>
      <w:pPr>
        <w:pBdr>
          <w:left w:val="single" w:color="1D9E75" w:sz="12" w:space="4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085041"/>
          <w:sz w:val="20"/>
          <w:szCs w:val="20"/>
        </w:rPr>
        <w:t xml:space="preserve">System thinking: Out-of-scope is as important as in-scope. Every item on this list is a future scope decision, not a rejection. Documenting it here prevents scope creep and keeps the team aligned. Ask: if we added BNPL, which components change? Answer: checkout flow, payment gateway config, order model, and fraud rules. That's a large surface — correct to defer.</w:t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B8960C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 Stakeholder Register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The following stakeholders have been identified for this project. All sign-off requirements are listed in Section 9.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3000"/>
        <w:gridCol w:w="2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 / TBD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Responsibilities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Influence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Project Sponsor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CEO, Valdris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Final approval, budget authority, brand decisions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Business Owner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VP Commercial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Requirements owner, acceptance sign-off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TBD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Timeline, resources, risk management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Business Analyst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TBD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Requirements elicitation, documentation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System Architect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TBD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Platform decisions, integration design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UX Lead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TBD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Wireframes, user journeys, brand alignment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Dev Lead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TBD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Technical delivery, effort estimation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QA Lead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TBD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Test strategy, acceptance criteria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Retail Partners (3–5)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Boutique owners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Inventory visibility requirements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End Customers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Watch buyers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Usability, experience validation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Low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B8960C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 Business Rules &amp; Regulatory Requirements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3E6B"/>
          <w:sz w:val="24"/>
          <w:szCs w:val="24"/>
        </w:rPr>
        <w:t xml:space="preserve">6.1 Core Business Rules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The following rules are non-negotiable constraints that must be reflected in all system design decisions. They are not preferences — they are enforced policies.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1800"/>
        <w:gridCol w:w="1800"/>
        <w:gridCol w:w="17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Rule 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Business Rule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Impacted Areas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BR-001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Each watch has a unique serial number. One serial = one sellable unit.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Brand policy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Critical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Inventory, PDP, Order, ERD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BR-002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No sitewide discount codes or percentage-off promotions.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Brand policy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Critical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Checkout, Promotions module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BR-003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Orders above $10,000 USD trigger a manual fraud review before fulfillment.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Risk policy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Critical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Order mgmt, Checkout, Notifications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BR-004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A customer may not purchase the same limited-edition (Heirloom) SKU more than once.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Brand policy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High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Cart, Checkout, Order history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BR-005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Authenticity certificate PDF must be generated and available for every completed order.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Brand policy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High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Order, Product, Document gen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BR-006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Retail partner accounts have read-only inventory visibility. They cannot modify prices.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Channel policy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High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Partner portal, Product module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BR-007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Service pricing (strap replacement, servicing) is quoted manually — not automated.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Ops policy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Medium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After-sales, CMS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BR-008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All product prices are displayed and charged in USD only.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Market policy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Critical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All pages, Checkout, Reports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3E6B"/>
          <w:sz w:val="24"/>
          <w:szCs w:val="24"/>
        </w:rPr>
        <w:t xml:space="preserve">6.2 Regulatory &amp; Compliance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1800"/>
        <w:gridCol w:w="1800"/>
        <w:gridCol w:w="17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Reg 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Regulation / Standard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Jurisdiction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Impacted Areas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REG-001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PCI-DSS v4.0 — Payment card data security standard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US / Global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Critical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Checkout, Payment, Hosting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REG-002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CCPA — California Consumer Privacy Act (customer data rights)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California, 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Critical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Registration, CRM, Privacy policy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REG-003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CAN-SPAM Act — email marketing compliance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US Federal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High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Email module, Marketing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REG-004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ADA / WCAG 2.1 AA — Web accessibility standard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US Federal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High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All frontend pages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REG-005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FinCEN / BSA — AML reporting for luxury goods &gt;$10,000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US Federal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Medium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Order mgmt, KYC workflow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REG-006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Sales tax collection — Nexus-based (TaxJar or Avalara)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US State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Critical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Checkout, Reporting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REG-007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SSL/TLS — HTTPS required across all pages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Industry standard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Critical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Infrastructure, Hosting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left w:val="single" w:color="B8960C" w:sz="12" w:space="4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5A4A00"/>
          <w:sz w:val="20"/>
          <w:szCs w:val="20"/>
        </w:rPr>
        <w:t xml:space="preserve">Regulatory note for portfolio: REG-001 (PCI-DSS) means Valdris must never store raw card numbers. Stripe handles card tokenization — the system only stores a Stripe payment method ID. This is a deliberate architectural decision that reduces compliance scope from SAQ D to SAQ A-EP. Document this in the SRS NFRs.</w:t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B8960C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 Assumptions, Constraints &amp; Risks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3E6B"/>
          <w:sz w:val="24"/>
          <w:szCs w:val="24"/>
        </w:rPr>
        <w:t xml:space="preserve">7.1 Assumptions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Physical warehouse and inventory operations are already established and operational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Valdris has an existing Stripe merchant account or will establish one before development begins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Product photography (high-resolution, multi-angle) will be provided by the brand for all SKUs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3–5 retail partner boutiques have been identified and will be onboarded for the portal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The development team has experience with luxury e-commerce platforms (Shopify Plus, commercetools, or custom)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 domain name (valdriswatches.com) is owned or will be acquired before project kick-off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3E6B"/>
          <w:sz w:val="24"/>
          <w:szCs w:val="24"/>
        </w:rPr>
        <w:t xml:space="preserve">7.2 Constraints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Delivery deadline: Q4 2024 (October 31st target)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Budget ceiling: TBD — to be confirmed by Project Sponsor at charter sign-off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Platform must support US geography and USD currency only in Phase 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No cash-on-delivery, BNPL, or cryptocurrency payment options in Phase 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Brand visual guidelines are fixed — the platform must conform to Valdris style guide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3E6B"/>
          <w:sz w:val="24"/>
          <w:szCs w:val="24"/>
        </w:rPr>
        <w:t xml:space="preserve">7.3 Risk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600"/>
        <w:gridCol w:w="35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Scope creep from luxury feature requests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56404"/>
                <w:sz w:val="20"/>
                <w:szCs w:val="20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21C24"/>
                <w:sz w:val="20"/>
                <w:szCs w:val="20"/>
              </w:rPr>
              <w:t xml:space="preserve">High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Strict change control process; all new requests evaluated against Phase 1 scope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fraud on high-value orders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56404"/>
                <w:sz w:val="20"/>
                <w:szCs w:val="20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21C24"/>
                <w:sz w:val="20"/>
                <w:szCs w:val="20"/>
              </w:rPr>
              <w:t xml:space="preserve">Critical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BR-003 manual review + Stripe Radar fraud rules + order velocity checks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Photography assets delayed by brand team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56404"/>
                <w:sz w:val="20"/>
                <w:szCs w:val="20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56404"/>
                <w:sz w:val="20"/>
                <w:szCs w:val="20"/>
              </w:rPr>
              <w:t xml:space="preserve">Medium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Placeholder asset pipeline; brand team asset delivery milestone in project plan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PCI-DSS audit delays launch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5724"/>
                <w:sz w:val="20"/>
                <w:szCs w:val="20"/>
              </w:rPr>
              <w:t xml:space="preserve">Low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21C24"/>
                <w:sz w:val="20"/>
                <w:szCs w:val="20"/>
              </w:rPr>
              <w:t xml:space="preserve">High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Stripe-hosted fields (SAQ A-EP scope) to minimize audit surface; engage QSA early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B8960C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8. High-Level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560"/>
        <w:gridCol w:w="24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Activities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dates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milestone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Discovery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Brand definition, charter, BRD, domain research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Week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BRD approved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Design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SRS, BPMN, use case, ERD, wireframes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Week 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SRS &amp; wireframes approved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Development Sprint 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Platform setup, product catalog, authentication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Weeks 3–5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Catalog live (staging)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Development Sprint 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Cart, checkout, payment integration, order mgmt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Weeks 6–8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End-to-end checkout (staging)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Development Sprint 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Admin panel, partner portal, analytics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Weeks 9–11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Admin complete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UAT &amp; QA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Full test cycle, bug fixing, performance testing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Weeks 12–13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UAT sign-off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Launch Prep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Content load, SEO, DNS cutover, PCI review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Week 14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Go-live: valdriswatches.com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B8960C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9. Approval &amp; Sign-Off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By signing below, each approver confirms they have reviewed this Project Charter, agree with the stated objectives and scope, and authorize the project to proceed to the Business Requirements Document phase.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16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 Sponsor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Business Owner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System Architect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UX Lead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QA Lead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B8960C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10. System Thinking Notes — BA Annotations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This section documents the analytical reasoning behind key decisions in this charter. It is intended for BA practice and portfolio demonstration.</w:t>
      </w:r>
    </w:p>
    <w:p>
      <w:pPr>
        <w:spacing w:after="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6B6B6B"/>
          <w:sz w:val="22"/>
          <w:szCs w:val="22"/>
        </w:rPr>
        <w:t xml:space="preserve">10.1 Why the business model affects system architecture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Valdris operates DTC + retail partners. This creates two distinct user types beyond the end customer: the admin (Valdris staff) and the retail partner (boutique owner). Every data model decision — product, inventory, order — must account for which actor can read vs. write it. This is not a simple admin panel; it is a multi-actor access control problem.</w:t>
      </w:r>
    </w:p>
    <w:p>
      <w:pPr>
        <w:pBdr>
          <w:left w:val="single" w:color="1D9E75" w:sz="12" w:space="4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085041"/>
          <w:sz w:val="20"/>
          <w:szCs w:val="20"/>
        </w:rPr>
        <w:t xml:space="preserve">System thinking: If a retail partner can see inventory, can they also see customer data? No — that's a privacy boundary. Defining this early prevents a data model design that accidentally exposes customer PII to third-party boutiques. This becomes a non-functional requirement in the SRS.</w:t>
      </w:r>
    </w:p>
    <w:p>
      <w:pPr>
        <w:spacing w:after="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6B6B6B"/>
          <w:sz w:val="22"/>
          <w:szCs w:val="22"/>
        </w:rPr>
        <w:t xml:space="preserve">10.2 Why serialized inventory changes everything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Most e-commerce systems treat inventory as a count: 50 units of SKU-XYZ. Valdris cannot. Each watch is unique — serial number, authenticity certificate, production batch. This means the inventory entity is not a counter; it is a registry. One row per physical watch. This affects the product data model, the cart (you reserve a specific serial, not a quantity), the order (you fulfill a specific serial), and the certificate generation (tied to a serial, not an order number).</w:t>
      </w:r>
    </w:p>
    <w:p>
      <w:pPr>
        <w:pBdr>
          <w:left w:val="single" w:color="1D9E75" w:sz="12" w:space="4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085041"/>
          <w:sz w:val="20"/>
          <w:szCs w:val="20"/>
        </w:rPr>
        <w:t xml:space="preserve">System thinking: What breaks if we ignored serialization and treated watches like apparel? Answer: two customers could technically 'buy' the same physical watch if inventory wasn't locked to a serial at cart-add time. Race condition at checkout. This is a critical concurrency requirement for the SRS.</w:t>
      </w:r>
    </w:p>
    <w:p>
      <w:pPr>
        <w:spacing w:after="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6B6B6B"/>
          <w:sz w:val="22"/>
          <w:szCs w:val="22"/>
        </w:rPr>
        <w:t xml:space="preserve">10.3 The $10,000 fraud review rule is a process, not just a policy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BR-003 says orders above $10,000 trigger manual review. This sounds simple but has wide system implications: the order status model needs a 'Pending Review' state. The fulfillment team needs a dashboard showing flagged orders. Notifications must fire to both the customer ('Your order is being verified — expect confirmation within 2 business hours') and the ops team. The review outcome (approve / reject) must update the order and trigger downstream actions. One business rule = multiple system components.</w:t>
      </w:r>
    </w:p>
    <w:p>
      <w:pPr>
        <w:spacing w:after="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6B6B6B"/>
          <w:sz w:val="22"/>
          <w:szCs w:val="22"/>
        </w:rPr>
        <w:t xml:space="preserve">10.4 Trade-off: platform choice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 luxury DTC site of this complexity could be built on Shopify Plus (fast, high cost, some constraints), commercetools (flexible, headless, expensive to build), or a custom stack (maximum control, highest cost and risk). For Phase 1, Shopify Plus is the pragmatic choice — it handles PCI-DSS, Stripe, and core e-commerce out of the box. The BA's role is to document this trade-off explicitly so the business can make an informed decision. Not choosing a platform is itself a risk that should be resolved before Sprint 1.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026"/>
      </w:tabs>
      <w:spacing w:before="0"/>
    </w:pPr>
    <w:r>
      <w:rPr>
        <w:rFonts w:ascii="Arial" w:cs="Arial" w:eastAsia="Arial" w:hAnsi="Arial"/>
        <w:color w:val="6B6B6B"/>
        <w:sz w:val="18"/>
        <w:szCs w:val="18"/>
      </w:rPr>
      <w:t xml:space="preserve">Valdris Watch Co. — Proprietary &amp; Confidential</w:t>
    </w:r>
    <w:r>
      <w:rPr>
        <w:rFonts w:ascii="Arial" w:cs="Arial" w:eastAsia="Arial" w:hAnsi="Arial"/>
        <w:color w:val="6B6B6B"/>
        <w:sz w:val="18"/>
        <w:szCs w:val="18"/>
      </w:rPr>
      <w:t xml:space="preserve">	Page </w:t>
    </w:r>
    <w:r>
      <w:rPr>
        <w:rFonts w:ascii="Arial" w:cs="Arial" w:eastAsia="Arial" w:hAnsi="Arial"/>
        <w:color w:val="6B6B6B"/>
        <w:sz w:val="18"/>
        <w:szCs w:val="18"/>
      </w:rPr>
      <w:t xml:space="preserve">—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960C" w:sz="6" w:space="4"/>
      </w:pBdr>
      <w:tabs>
        <w:tab w:val="right" w:pos="9026"/>
      </w:tabs>
      <w:spacing w:after="0"/>
    </w:pPr>
    <w:r>
      <w:rPr>
        <w:rFonts w:ascii="Arial" w:cs="Arial" w:eastAsia="Arial" w:hAnsi="Arial"/>
        <w:b/>
        <w:bCs/>
        <w:color w:val="1A1A2E"/>
        <w:sz w:val="18"/>
        <w:szCs w:val="18"/>
      </w:rPr>
      <w:t xml:space="preserve">VALDRIS — Project Charter</w:t>
    </w:r>
    <w:r>
      <w:rPr>
        <w:rFonts w:ascii="Arial" w:cs="Arial" w:eastAsia="Arial" w:hAnsi="Arial"/>
        <w:color w:val="6B6B6B"/>
        <w:sz w:val="18"/>
        <w:szCs w:val="18"/>
      </w:rPr>
      <w:t xml:space="preserve">	CONFIDENTIAL  |  v1.0  |  April 2024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2026-04-04T09:13:37.174Z</dcterms:created>
  <dcterms:modified xsi:type="dcterms:W3CDTF">2026-04-04T09:13:37.174Z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