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left"/>
      </w:pPr>
      <w:r>
        <w:rPr>
          <w:rFonts w:ascii="Arimo" w:hAnsi="Arimo" w:eastAsia="Arimo"/>
          <w:b/>
          <w:color w:val="17365D"/>
          <w:sz w:val="54"/>
        </w:rPr>
        <w:t>2. AWS System Architecture</w:t>
      </w:r>
    </w:p>
    <w:p>
      <w:pPr>
        <w:spacing w:before="80" w:after="240"/>
      </w:pPr>
      <w:r>
        <w:rPr>
          <w:rFonts w:ascii="Arimo" w:hAnsi="Arimo" w:eastAsia="Arimo"/>
          <w:b/>
          <w:color w:val="0F6B78"/>
          <w:sz w:val="32"/>
        </w:rPr>
        <w:t>VeriBid — Evidence-Driven Bid Evaluation Engine</w:t>
      </w:r>
    </w:p>
    <w:tbl>
      <w:tblPr>
        <w:tblW w:type="auto" w:w="0"/>
        <w:jc w:val="center"/>
        <w:tblLayout w:type="autofit"/>
        <w:tblLook w:firstColumn="1" w:firstRow="1" w:lastColumn="0" w:lastRow="0" w:noHBand="0" w:noVBand="1" w:val="04A0"/>
        <w:tblBorders>
          <w:top w:val="single" w:sz="1" w:space="0" w:color="EDF5FA"/>
          <w:left w:val="single" w:sz="1" w:space="0" w:color="EDF5FA"/>
          <w:bottom w:val="single" w:sz="1" w:space="0" w:color="EDF5FA"/>
          <w:right w:val="single" w:sz="1" w:space="0" w:color="EDF5FA"/>
          <w:insideH w:val="single" w:sz="1" w:space="0" w:color="EDF5FA"/>
          <w:insideV w:val="single" w:sz="1" w:space="0" w:color="EDF5FA"/>
        </w:tblBorders>
      </w:tblPr>
      <w:tblGrid>
        <w:gridCol w:w="10080"/>
      </w:tblGrid>
      <w:tr>
        <w:tc>
          <w:tcPr>
            <w:tcW w:type="dxa" w:w="10080"/>
            <w:shd w:fill="EDF5FA"/>
            <w:tcMar>
              <w:top w:w="110" w:type="dxa"/>
              <w:start w:w="130" w:type="dxa"/>
              <w:bottom w:w="110" w:type="dxa"/>
              <w:end w:w="130" w:type="dxa"/>
            </w:tcMar>
          </w:tcPr>
          <w:p>
            <w:pPr>
              <w:spacing w:after="0"/>
            </w:pPr>
            <w:r>
              <w:rPr>
                <w:rFonts w:ascii="Arimo" w:hAnsi="Arimo" w:eastAsia="Arimo"/>
                <w:b/>
                <w:color w:val="17365D"/>
                <w:sz w:val="20"/>
              </w:rPr>
              <w:t xml:space="preserve">Architecture decision. </w:t>
            </w:r>
            <w:r>
              <w:rPr>
                <w:rFonts w:ascii="Arimo" w:hAnsi="Arimo" w:eastAsia="Arimo"/>
                <w:color w:val="1F2937"/>
                <w:sz w:val="20"/>
              </w:rPr>
              <w:t>Serverless, contract-first MVP baseline using AWS Amplify Hosting, Amazon Cognito, Amazon API Gateway, AWS Lambda, AWS Step Functions, Amazon Bedrock, Amazon S3, Amazon DynamoDB, Amazon CloudWatch and AWS IAM. Amazon Textract is conditional. AgentCore and a dedicated vector database are not baseline dependencies.</w:t>
            </w:r>
          </w:p>
        </w:tc>
      </w:tr>
    </w:tbl>
    <w:p>
      <w:pPr>
        <w:spacing w:after="20"/>
      </w:pPr>
    </w:p>
    <w:tbl>
      <w:tblPr>
        <w:tblStyle w:val="TableGrid"/>
        <w:tblW w:type="auto" w:w="0"/>
        <w:jc w:val="center"/>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5040"/>
        <w:gridCol w:w="5040"/>
      </w:tblGrid>
      <w:tr>
        <w:trPr>
          <w:tblHeader w:val="true"/>
        </w:trPr>
        <w:tc>
          <w:tcPr>
            <w:tcW w:type="dxa" w:w="2880"/>
            <w:shd w:fill="17365D"/>
            <w:vAlign w:val="center"/>
            <w:tcMar>
              <w:top w:w="70" w:type="dxa"/>
              <w:start w:w="80" w:type="dxa"/>
              <w:bottom w:w="70" w:type="dxa"/>
              <w:end w:w="80" w:type="dxa"/>
            </w:tcMar>
          </w:tcPr>
          <w:p>
            <w:pPr>
              <w:jc w:val="left"/>
            </w:pPr>
            <w:r>
              <w:rPr>
                <w:rFonts w:ascii="Arimo" w:hAnsi="Arimo" w:eastAsia="Arimo"/>
                <w:b/>
                <w:color w:val="FFFFFF"/>
                <w:sz w:val="18"/>
              </w:rPr>
              <w:t>Item</w:t>
            </w:r>
          </w:p>
        </w:tc>
        <w:tc>
          <w:tcPr>
            <w:tcW w:type="dxa" w:w="6912"/>
            <w:shd w:fill="17365D"/>
            <w:vAlign w:val="center"/>
            <w:tcMar>
              <w:top w:w="70" w:type="dxa"/>
              <w:start w:w="80" w:type="dxa"/>
              <w:bottom w:w="70" w:type="dxa"/>
              <w:end w:w="80" w:type="dxa"/>
            </w:tcMar>
          </w:tcPr>
          <w:p>
            <w:pPr>
              <w:jc w:val="left"/>
            </w:pPr>
            <w:r>
              <w:rPr>
                <w:rFonts w:ascii="Arimo" w:hAnsi="Arimo" w:eastAsia="Arimo"/>
                <w:b/>
                <w:color w:val="FFFFFF"/>
                <w:sz w:val="18"/>
              </w:rPr>
              <w:t>Value</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Version</w:t>
            </w:r>
          </w:p>
        </w:tc>
        <w:tc>
          <w:tcPr>
            <w:tcW w:type="dxa" w:w="6912"/>
            <w:tcMar>
              <w:top w:w="70" w:type="dxa"/>
              <w:start w:w="80" w:type="dxa"/>
              <w:bottom w:w="70" w:type="dxa"/>
              <w:end w:w="80" w:type="dxa"/>
            </w:tcMar>
            <w:vAlign w:val="top"/>
          </w:tcPr>
          <w:p>
            <w:pPr>
              <w:spacing w:after="0"/>
            </w:pPr>
            <w:r>
              <w:rPr>
                <w:rFonts w:ascii="Arimo" w:hAnsi="Arimo" w:eastAsia="Arimo"/>
                <w:color w:val="1F2937"/>
                <w:sz w:val="18"/>
              </w:rPr>
              <w:t>0.1 — Implementation-ready baseline</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Scope contract</w:t>
            </w:r>
          </w:p>
        </w:tc>
        <w:tc>
          <w:tcPr>
            <w:tcW w:type="dxa" w:w="6912"/>
            <w:tcMar>
              <w:top w:w="70" w:type="dxa"/>
              <w:start w:w="80" w:type="dxa"/>
              <w:bottom w:w="70" w:type="dxa"/>
              <w:end w:w="80" w:type="dxa"/>
            </w:tcMar>
            <w:vAlign w:val="top"/>
          </w:tcPr>
          <w:p>
            <w:pPr>
              <w:spacing w:after="0"/>
            </w:pPr>
            <w:r>
              <w:rPr>
                <w:rFonts w:ascii="Arimo" w:hAnsi="Arimo" w:eastAsia="Arimo"/>
                <w:color w:val="1F2937"/>
                <w:sz w:val="18"/>
              </w:rPr>
              <w:t>Upload → Verify → Human Review → Defensible Export</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Primary orchestration</w:t>
            </w:r>
          </w:p>
        </w:tc>
        <w:tc>
          <w:tcPr>
            <w:tcW w:type="dxa" w:w="6912"/>
            <w:tcMar>
              <w:top w:w="70" w:type="dxa"/>
              <w:start w:w="80" w:type="dxa"/>
              <w:bottom w:w="70" w:type="dxa"/>
              <w:end w:w="80" w:type="dxa"/>
            </w:tcMar>
            <w:vAlign w:val="top"/>
          </w:tcPr>
          <w:p>
            <w:pPr>
              <w:spacing w:after="0"/>
            </w:pPr>
            <w:r>
              <w:rPr>
                <w:rFonts w:ascii="Arimo" w:hAnsi="Arimo" w:eastAsia="Arimo"/>
                <w:color w:val="1F2937"/>
                <w:sz w:val="18"/>
              </w:rPr>
              <w:t>AWS Step Functions</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Semantic reasoning</w:t>
            </w:r>
          </w:p>
        </w:tc>
        <w:tc>
          <w:tcPr>
            <w:tcW w:type="dxa" w:w="6912"/>
            <w:tcMar>
              <w:top w:w="70" w:type="dxa"/>
              <w:start w:w="80" w:type="dxa"/>
              <w:bottom w:w="70" w:type="dxa"/>
              <w:end w:w="80" w:type="dxa"/>
            </w:tcMar>
            <w:vAlign w:val="top"/>
          </w:tcPr>
          <w:p>
            <w:pPr>
              <w:spacing w:after="0"/>
            </w:pPr>
            <w:r>
              <w:rPr>
                <w:rFonts w:ascii="Arimo" w:hAnsi="Arimo" w:eastAsia="Arimo"/>
                <w:color w:val="1F2937"/>
                <w:sz w:val="18"/>
              </w:rPr>
              <w:t>Amazon Bedrock + Prompt Caching</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Authoritative computation</w:t>
            </w:r>
          </w:p>
        </w:tc>
        <w:tc>
          <w:tcPr>
            <w:tcW w:type="dxa" w:w="6912"/>
            <w:tcMar>
              <w:top w:w="70" w:type="dxa"/>
              <w:start w:w="80" w:type="dxa"/>
              <w:bottom w:w="70" w:type="dxa"/>
              <w:end w:w="80" w:type="dxa"/>
            </w:tcMar>
            <w:vAlign w:val="top"/>
          </w:tcPr>
          <w:p>
            <w:pPr>
              <w:spacing w:after="0"/>
            </w:pPr>
            <w:r>
              <w:rPr>
                <w:rFonts w:ascii="Arimo" w:hAnsi="Arimo" w:eastAsia="Arimo"/>
                <w:color w:val="1F2937"/>
                <w:sz w:val="18"/>
              </w:rPr>
              <w:t>Python / AWS Lambda deterministic tools</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Document OCR</w:t>
            </w:r>
          </w:p>
        </w:tc>
        <w:tc>
          <w:tcPr>
            <w:tcW w:type="dxa" w:w="6912"/>
            <w:tcMar>
              <w:top w:w="70" w:type="dxa"/>
              <w:start w:w="80" w:type="dxa"/>
              <w:bottom w:w="70" w:type="dxa"/>
              <w:end w:w="80" w:type="dxa"/>
            </w:tcMar>
            <w:vAlign w:val="top"/>
          </w:tcPr>
          <w:p>
            <w:pPr>
              <w:spacing w:after="0"/>
            </w:pPr>
            <w:r>
              <w:rPr>
                <w:rFonts w:ascii="Arimo" w:hAnsi="Arimo" w:eastAsia="Arimo"/>
                <w:color w:val="1F2937"/>
                <w:sz w:val="18"/>
              </w:rPr>
              <w:t>Amazon Textract only when source PDFs are scanned or image-heavy</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Public deployment</w:t>
            </w:r>
          </w:p>
        </w:tc>
        <w:tc>
          <w:tcPr>
            <w:tcW w:type="dxa" w:w="6912"/>
            <w:tcMar>
              <w:top w:w="70" w:type="dxa"/>
              <w:start w:w="80" w:type="dxa"/>
              <w:bottom w:w="70" w:type="dxa"/>
              <w:end w:w="80" w:type="dxa"/>
            </w:tcMar>
            <w:vAlign w:val="top"/>
          </w:tcPr>
          <w:p>
            <w:pPr>
              <w:spacing w:after="0"/>
            </w:pPr>
            <w:r>
              <w:rPr>
                <w:rFonts w:ascii="Arimo" w:hAnsi="Arimo" w:eastAsia="Arimo"/>
                <w:color w:val="1F2937"/>
                <w:sz w:val="18"/>
              </w:rPr>
              <w:t>AWS Amplify Hosting + HTTPS public URL</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Hackathon alignment</w:t>
            </w:r>
          </w:p>
        </w:tc>
        <w:tc>
          <w:tcPr>
            <w:tcW w:type="dxa" w:w="6912"/>
            <w:tcMar>
              <w:top w:w="70" w:type="dxa"/>
              <w:start w:w="80" w:type="dxa"/>
              <w:bottom w:w="70" w:type="dxa"/>
              <w:end w:w="80" w:type="dxa"/>
            </w:tcMar>
            <w:vAlign w:val="top"/>
          </w:tcPr>
          <w:p>
            <w:pPr>
              <w:spacing w:after="0"/>
            </w:pPr>
            <w:r>
              <w:rPr>
                <w:rFonts w:ascii="Arimo" w:hAnsi="Arimo" w:eastAsia="Arimo"/>
                <w:color w:val="1F2937"/>
                <w:sz w:val="18"/>
              </w:rPr>
              <w:t>#commercial-potential | #startup | Ship Gate first</w:t>
            </w:r>
          </w:p>
        </w:tc>
      </w:tr>
    </w:tbl>
    <w:p/>
    <w:p>
      <w:r>
        <w:rPr>
          <w:rFonts w:ascii="Arimo" w:hAnsi="Arimo" w:eastAsia="Arimo"/>
          <w:b/>
          <w:color w:val="17365D"/>
          <w:sz w:val="19"/>
        </w:rPr>
        <w:t xml:space="preserve">Companion diagram: </w:t>
      </w:r>
      <w:r>
        <w:rPr>
          <w:rFonts w:ascii="Arimo" w:hAnsi="Arimo" w:eastAsia="Arimo"/>
          <w:color w:val="1F2937"/>
          <w:sz w:val="19"/>
        </w:rPr>
        <w:t>VeriBid_AWS_System_Architecture_v0.1.drawio</w:t>
      </w:r>
    </w:p>
    <w:p>
      <w:r>
        <w:br w:type="page"/>
      </w:r>
    </w:p>
    <w:p>
      <w:pPr>
        <w:pStyle w:val="Heading1"/>
      </w:pPr>
      <w:r>
        <w:t>1. Purpose and Architecture Principles</w:t>
      </w:r>
    </w:p>
    <w:p>
      <w:r>
        <w:rPr>
          <w:rFonts w:ascii="Arimo" w:hAnsi="Arimo" w:eastAsia="Arimo"/>
          <w:color w:val="1F2937"/>
          <w:sz w:val="21"/>
        </w:rPr>
        <w:t>Mục tiêu của kiến trúc này là cung cấp một baseline đủ chắc để Coding Agent triển khai end-to-end trong thời gian hackathon, nhưng không khóa hệ thống vào một framework orchestration cụ thể ở API boundary. Frontend chỉ phụ thuộc REST contract /api/v1; raw Bedrock output, Step Functions execution details và internal worker topology không được trở thành frontend dependency.</w:t>
      </w:r>
    </w:p>
    <w:p>
      <w:pPr>
        <w:pStyle w:val="ListBullet"/>
        <w:spacing w:after="40"/>
      </w:pPr>
      <w:r>
        <w:rPr>
          <w:rFonts w:ascii="Arimo" w:hAnsi="Arimo" w:eastAsia="Arimo"/>
          <w:color w:val="1F2937"/>
          <w:sz w:val="20"/>
        </w:rPr>
        <w:t>Serverless-first: ưu tiên managed/serverless services để giảm vận hành hạ tầng trong MVP 2 tuần.</w:t>
      </w:r>
    </w:p>
    <w:p>
      <w:pPr>
        <w:pStyle w:val="ListBullet"/>
        <w:spacing w:after="40"/>
      </w:pPr>
      <w:r>
        <w:rPr>
          <w:rFonts w:ascii="Arimo" w:hAnsi="Arimo" w:eastAsia="Arimo"/>
          <w:color w:val="1F2937"/>
          <w:sz w:val="20"/>
        </w:rPr>
        <w:t>Contract-first: API DTO, domain model và agent structured output tách biệt; frontend không parse raw model payload.</w:t>
      </w:r>
    </w:p>
    <w:p>
      <w:pPr>
        <w:pStyle w:val="ListBullet"/>
        <w:spacing w:after="40"/>
      </w:pPr>
      <w:r>
        <w:rPr>
          <w:rFonts w:ascii="Arimo" w:hAnsi="Arimo" w:eastAsia="Arimo"/>
          <w:color w:val="1F2937"/>
          <w:sz w:val="20"/>
        </w:rPr>
        <w:t>Evidence-first: mọi AI-visible factual assessment phải có SourcePointer resolve được hoặc explicit abstention.</w:t>
      </w:r>
    </w:p>
    <w:p>
      <w:pPr>
        <w:pStyle w:val="ListBullet"/>
        <w:spacing w:after="40"/>
      </w:pPr>
      <w:r>
        <w:rPr>
          <w:rFonts w:ascii="Arimo" w:hAnsi="Arimo" w:eastAsia="Arimo"/>
          <w:color w:val="1F2937"/>
          <w:sz w:val="20"/>
        </w:rPr>
        <w:t>Dual-path separation: LLM xử lý semantic reasoning; deterministic code xử lý booleans, thresholds, TCO, formulas và weighted scoring.</w:t>
      </w:r>
    </w:p>
    <w:p>
      <w:pPr>
        <w:pStyle w:val="ListBullet"/>
        <w:spacing w:after="40"/>
      </w:pPr>
      <w:r>
        <w:rPr>
          <w:rFonts w:ascii="Arimo" w:hAnsi="Arimo" w:eastAsia="Arimo"/>
          <w:color w:val="1F2937"/>
          <w:sz w:val="20"/>
        </w:rPr>
        <w:t>Human authority: AI chỉ đề xuất state/score; human reviewer xác nhận hoặc override và lưu rationale.</w:t>
      </w:r>
    </w:p>
    <w:p>
      <w:pPr>
        <w:pStyle w:val="ListBullet"/>
        <w:spacing w:after="40"/>
      </w:pPr>
      <w:r>
        <w:rPr>
          <w:rFonts w:ascii="Arimo" w:hAnsi="Arimo" w:eastAsia="Arimo"/>
          <w:color w:val="1F2937"/>
          <w:sz w:val="20"/>
        </w:rPr>
        <w:t>Scope discipline: không thêm AgentCore, OpenSearch Serverless hoặc hạ tầng không thiết yếu trước khi vertical slice P0/P1 chạy xanh.</w:t>
      </w:r>
    </w:p>
    <w:tbl>
      <w:tblPr>
        <w:tblW w:type="auto" w:w="0"/>
        <w:jc w:val="center"/>
        <w:tblLayout w:type="autofit"/>
        <w:tblLook w:firstColumn="1" w:firstRow="1" w:lastColumn="0" w:lastRow="0" w:noHBand="0" w:noVBand="1" w:val="04A0"/>
        <w:tblBorders>
          <w:top w:val="single" w:sz="1" w:space="0" w:color="EAF6F6"/>
          <w:left w:val="single" w:sz="1" w:space="0" w:color="EAF6F6"/>
          <w:bottom w:val="single" w:sz="1" w:space="0" w:color="EAF6F6"/>
          <w:right w:val="single" w:sz="1" w:space="0" w:color="EAF6F6"/>
          <w:insideH w:val="single" w:sz="1" w:space="0" w:color="EAF6F6"/>
          <w:insideV w:val="single" w:sz="1" w:space="0" w:color="EAF6F6"/>
        </w:tblBorders>
      </w:tblPr>
      <w:tblGrid>
        <w:gridCol w:w="10080"/>
      </w:tblGrid>
      <w:tr>
        <w:tc>
          <w:tcPr>
            <w:tcW w:type="dxa" w:w="10080"/>
            <w:shd w:fill="EAF6F6"/>
            <w:tcMar>
              <w:top w:w="110" w:type="dxa"/>
              <w:start w:w="130" w:type="dxa"/>
              <w:bottom w:w="110" w:type="dxa"/>
              <w:end w:w="130" w:type="dxa"/>
            </w:tcMar>
          </w:tcPr>
          <w:p>
            <w:pPr>
              <w:spacing w:after="0"/>
            </w:pPr>
            <w:r>
              <w:rPr>
                <w:rFonts w:ascii="Arimo" w:hAnsi="Arimo" w:eastAsia="Arimo"/>
                <w:b/>
                <w:color w:val="0F6B78"/>
                <w:sz w:val="20"/>
              </w:rPr>
              <w:t xml:space="preserve">Baseline decision. </w:t>
            </w:r>
            <w:r>
              <w:rPr>
                <w:rFonts w:ascii="Arimo" w:hAnsi="Arimo" w:eastAsia="Arimo"/>
                <w:color w:val="1F2937"/>
                <w:sz w:val="20"/>
              </w:rPr>
              <w:t>Step Functions + Lambda + Bedrock được khóa làm orchestration baseline cho MVP. AgentCore có thể được đánh giá sau nếu nó thay thế một phần runtime một cách rõ ràng; không chạy song song hai orchestration layers chỉ để tăng số lượng dịch vụ.</w:t>
            </w:r>
          </w:p>
        </w:tc>
      </w:tr>
    </w:tbl>
    <w:p>
      <w:pPr>
        <w:spacing w:after="20"/>
      </w:pPr>
    </w:p>
    <w:p>
      <w:pPr>
        <w:pStyle w:val="Heading1"/>
      </w:pPr>
      <w:r>
        <w:t>2. Final AWS Service Map</w:t>
      </w:r>
    </w:p>
    <w:tbl>
      <w:tblPr>
        <w:tblStyle w:val="TableGrid"/>
        <w:tblW w:type="auto" w:w="0"/>
        <w:jc w:val="center"/>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2520"/>
        <w:gridCol w:w="2520"/>
        <w:gridCol w:w="2520"/>
        <w:gridCol w:w="2520"/>
      </w:tblGrid>
      <w:tr>
        <w:trPr>
          <w:tblHeader w:val="true"/>
        </w:trPr>
        <w:tc>
          <w:tcPr>
            <w:tcW w:type="dxa" w:w="2016"/>
            <w:shd w:fill="17365D"/>
            <w:vAlign w:val="center"/>
            <w:tcMar>
              <w:top w:w="70" w:type="dxa"/>
              <w:start w:w="80" w:type="dxa"/>
              <w:bottom w:w="70" w:type="dxa"/>
              <w:end w:w="80" w:type="dxa"/>
            </w:tcMar>
          </w:tcPr>
          <w:p>
            <w:pPr>
              <w:jc w:val="left"/>
            </w:pPr>
            <w:r>
              <w:rPr>
                <w:rFonts w:ascii="Arimo" w:hAnsi="Arimo" w:eastAsia="Arimo"/>
                <w:b/>
                <w:color w:val="FFFFFF"/>
                <w:sz w:val="18"/>
              </w:rPr>
              <w:t>Layer</w:t>
            </w:r>
          </w:p>
        </w:tc>
        <w:tc>
          <w:tcPr>
            <w:tcW w:type="dxa" w:w="2448"/>
            <w:shd w:fill="17365D"/>
            <w:vAlign w:val="center"/>
            <w:tcMar>
              <w:top w:w="70" w:type="dxa"/>
              <w:start w:w="80" w:type="dxa"/>
              <w:bottom w:w="70" w:type="dxa"/>
              <w:end w:w="80" w:type="dxa"/>
            </w:tcMar>
          </w:tcPr>
          <w:p>
            <w:pPr>
              <w:jc w:val="left"/>
            </w:pPr>
            <w:r>
              <w:rPr>
                <w:rFonts w:ascii="Arimo" w:hAnsi="Arimo" w:eastAsia="Arimo"/>
                <w:b/>
                <w:color w:val="FFFFFF"/>
                <w:sz w:val="18"/>
              </w:rPr>
              <w:t>AWS service</w:t>
            </w:r>
          </w:p>
        </w:tc>
        <w:tc>
          <w:tcPr>
            <w:tcW w:type="dxa" w:w="1800"/>
            <w:shd w:fill="17365D"/>
            <w:vAlign w:val="center"/>
            <w:tcMar>
              <w:top w:w="70" w:type="dxa"/>
              <w:start w:w="80" w:type="dxa"/>
              <w:bottom w:w="70" w:type="dxa"/>
              <w:end w:w="80" w:type="dxa"/>
            </w:tcMar>
          </w:tcPr>
          <w:p>
            <w:pPr>
              <w:jc w:val="left"/>
            </w:pPr>
            <w:r>
              <w:rPr>
                <w:rFonts w:ascii="Arimo" w:hAnsi="Arimo" w:eastAsia="Arimo"/>
                <w:b/>
                <w:color w:val="FFFFFF"/>
                <w:sz w:val="18"/>
              </w:rPr>
              <w:t>Status</w:t>
            </w:r>
          </w:p>
        </w:tc>
        <w:tc>
          <w:tcPr>
            <w:tcW w:type="dxa" w:w="4320"/>
            <w:shd w:fill="17365D"/>
            <w:vAlign w:val="center"/>
            <w:tcMar>
              <w:top w:w="70" w:type="dxa"/>
              <w:start w:w="80" w:type="dxa"/>
              <w:bottom w:w="70" w:type="dxa"/>
              <w:end w:w="80" w:type="dxa"/>
            </w:tcMar>
          </w:tcPr>
          <w:p>
            <w:pPr>
              <w:jc w:val="left"/>
            </w:pPr>
            <w:r>
              <w:rPr>
                <w:rFonts w:ascii="Arimo" w:hAnsi="Arimo" w:eastAsia="Arimo"/>
                <w:b/>
                <w:color w:val="FFFFFF"/>
                <w:sz w:val="18"/>
              </w:rPr>
              <w:t>Purpose</w:t>
            </w:r>
          </w:p>
        </w:tc>
      </w:tr>
      <w:tr>
        <w:tc>
          <w:tcPr>
            <w:tcW w:type="dxa" w:w="2016"/>
            <w:tcMar>
              <w:top w:w="70" w:type="dxa"/>
              <w:start w:w="80" w:type="dxa"/>
              <w:bottom w:w="70" w:type="dxa"/>
              <w:end w:w="80" w:type="dxa"/>
            </w:tcMar>
            <w:vAlign w:val="top"/>
          </w:tcPr>
          <w:p>
            <w:pPr>
              <w:spacing w:after="0"/>
            </w:pPr>
            <w:r>
              <w:rPr>
                <w:rFonts w:ascii="Arimo" w:hAnsi="Arimo" w:eastAsia="Arimo"/>
                <w:color w:val="1F2937"/>
                <w:sz w:val="18"/>
              </w:rPr>
              <w:t>Frontend hosting</w:t>
            </w:r>
          </w:p>
        </w:tc>
        <w:tc>
          <w:tcPr>
            <w:tcW w:type="dxa" w:w="2448"/>
            <w:tcMar>
              <w:top w:w="70" w:type="dxa"/>
              <w:start w:w="80" w:type="dxa"/>
              <w:bottom w:w="70" w:type="dxa"/>
              <w:end w:w="80" w:type="dxa"/>
            </w:tcMar>
            <w:vAlign w:val="top"/>
          </w:tcPr>
          <w:p>
            <w:pPr>
              <w:spacing w:after="0"/>
            </w:pPr>
            <w:r>
              <w:rPr>
                <w:rFonts w:ascii="Arimo" w:hAnsi="Arimo" w:eastAsia="Arimo"/>
                <w:color w:val="1F2937"/>
                <w:sz w:val="18"/>
              </w:rPr>
              <w:t>AWS Amplify Hosting</w:t>
            </w:r>
          </w:p>
        </w:tc>
        <w:tc>
          <w:tcPr>
            <w:tcW w:type="dxa" w:w="1800"/>
            <w:tcMar>
              <w:top w:w="70" w:type="dxa"/>
              <w:start w:w="80" w:type="dxa"/>
              <w:bottom w:w="70" w:type="dxa"/>
              <w:end w:w="80" w:type="dxa"/>
            </w:tcMar>
            <w:vAlign w:val="top"/>
          </w:tcPr>
          <w:p>
            <w:pPr>
              <w:spacing w:after="0"/>
            </w:pPr>
            <w:r>
              <w:rPr>
                <w:rFonts w:ascii="Arimo" w:hAnsi="Arimo" w:eastAsia="Arimo"/>
                <w:color w:val="1F2937"/>
                <w:sz w:val="18"/>
              </w:rPr>
              <w:t>Required</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Host React/Next.js; HTTPS public URL; /demo read-only và /app authenticated.</w:t>
            </w:r>
          </w:p>
        </w:tc>
      </w:tr>
      <w:tr>
        <w:tc>
          <w:tcPr>
            <w:tcW w:type="dxa" w:w="2016"/>
            <w:tcMar>
              <w:top w:w="70" w:type="dxa"/>
              <w:start w:w="80" w:type="dxa"/>
              <w:bottom w:w="70" w:type="dxa"/>
              <w:end w:w="80" w:type="dxa"/>
            </w:tcMar>
            <w:vAlign w:val="top"/>
          </w:tcPr>
          <w:p>
            <w:pPr>
              <w:spacing w:after="0"/>
            </w:pPr>
            <w:r>
              <w:rPr>
                <w:rFonts w:ascii="Arimo" w:hAnsi="Arimo" w:eastAsia="Arimo"/>
                <w:color w:val="1F2937"/>
                <w:sz w:val="18"/>
              </w:rPr>
              <w:t>Authentication</w:t>
            </w:r>
          </w:p>
        </w:tc>
        <w:tc>
          <w:tcPr>
            <w:tcW w:type="dxa" w:w="2448"/>
            <w:tcMar>
              <w:top w:w="70" w:type="dxa"/>
              <w:start w:w="80" w:type="dxa"/>
              <w:bottom w:w="70" w:type="dxa"/>
              <w:end w:w="80" w:type="dxa"/>
            </w:tcMar>
            <w:vAlign w:val="top"/>
          </w:tcPr>
          <w:p>
            <w:pPr>
              <w:spacing w:after="0"/>
            </w:pPr>
            <w:r>
              <w:rPr>
                <w:rFonts w:ascii="Arimo" w:hAnsi="Arimo" w:eastAsia="Arimo"/>
                <w:color w:val="1F2937"/>
                <w:sz w:val="18"/>
              </w:rPr>
              <w:t>Amazon Cognito</w:t>
            </w:r>
          </w:p>
        </w:tc>
        <w:tc>
          <w:tcPr>
            <w:tcW w:type="dxa" w:w="1800"/>
            <w:tcMar>
              <w:top w:w="70" w:type="dxa"/>
              <w:start w:w="80" w:type="dxa"/>
              <w:bottom w:w="70" w:type="dxa"/>
              <w:end w:w="80" w:type="dxa"/>
            </w:tcMar>
            <w:vAlign w:val="top"/>
          </w:tcPr>
          <w:p>
            <w:pPr>
              <w:spacing w:after="0"/>
            </w:pPr>
            <w:r>
              <w:rPr>
                <w:rFonts w:ascii="Arimo" w:hAnsi="Arimo" w:eastAsia="Arimo"/>
                <w:color w:val="1F2937"/>
                <w:sz w:val="18"/>
              </w:rPr>
              <w:t>Required</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User Pool + JWT for protected application actions.</w:t>
            </w:r>
          </w:p>
        </w:tc>
      </w:tr>
      <w:tr>
        <w:tc>
          <w:tcPr>
            <w:tcW w:type="dxa" w:w="2016"/>
            <w:tcMar>
              <w:top w:w="70" w:type="dxa"/>
              <w:start w:w="80" w:type="dxa"/>
              <w:bottom w:w="70" w:type="dxa"/>
              <w:end w:w="80" w:type="dxa"/>
            </w:tcMar>
            <w:vAlign w:val="top"/>
          </w:tcPr>
          <w:p>
            <w:pPr>
              <w:spacing w:after="0"/>
            </w:pPr>
            <w:r>
              <w:rPr>
                <w:rFonts w:ascii="Arimo" w:hAnsi="Arimo" w:eastAsia="Arimo"/>
                <w:color w:val="1F2937"/>
                <w:sz w:val="18"/>
              </w:rPr>
              <w:t>Public API</w:t>
            </w:r>
          </w:p>
        </w:tc>
        <w:tc>
          <w:tcPr>
            <w:tcW w:type="dxa" w:w="2448"/>
            <w:tcMar>
              <w:top w:w="70" w:type="dxa"/>
              <w:start w:w="80" w:type="dxa"/>
              <w:bottom w:w="70" w:type="dxa"/>
              <w:end w:w="80" w:type="dxa"/>
            </w:tcMar>
            <w:vAlign w:val="top"/>
          </w:tcPr>
          <w:p>
            <w:pPr>
              <w:spacing w:after="0"/>
            </w:pPr>
            <w:r>
              <w:rPr>
                <w:rFonts w:ascii="Arimo" w:hAnsi="Arimo" w:eastAsia="Arimo"/>
                <w:color w:val="1F2937"/>
                <w:sz w:val="18"/>
              </w:rPr>
              <w:t>Amazon API Gateway</w:t>
            </w:r>
          </w:p>
        </w:tc>
        <w:tc>
          <w:tcPr>
            <w:tcW w:type="dxa" w:w="1800"/>
            <w:tcMar>
              <w:top w:w="70" w:type="dxa"/>
              <w:start w:w="80" w:type="dxa"/>
              <w:bottom w:w="70" w:type="dxa"/>
              <w:end w:w="80" w:type="dxa"/>
            </w:tcMar>
            <w:vAlign w:val="top"/>
          </w:tcPr>
          <w:p>
            <w:pPr>
              <w:spacing w:after="0"/>
            </w:pPr>
            <w:r>
              <w:rPr>
                <w:rFonts w:ascii="Arimo" w:hAnsi="Arimo" w:eastAsia="Arimo"/>
                <w:color w:val="1F2937"/>
                <w:sz w:val="18"/>
              </w:rPr>
              <w:t>Required</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Expose /api/v1; validate JWT on protected routes.</w:t>
            </w:r>
          </w:p>
        </w:tc>
      </w:tr>
      <w:tr>
        <w:tc>
          <w:tcPr>
            <w:tcW w:type="dxa" w:w="2016"/>
            <w:tcMar>
              <w:top w:w="70" w:type="dxa"/>
              <w:start w:w="80" w:type="dxa"/>
              <w:bottom w:w="70" w:type="dxa"/>
              <w:end w:w="80" w:type="dxa"/>
            </w:tcMar>
            <w:vAlign w:val="top"/>
          </w:tcPr>
          <w:p>
            <w:pPr>
              <w:spacing w:after="0"/>
            </w:pPr>
            <w:r>
              <w:rPr>
                <w:rFonts w:ascii="Arimo" w:hAnsi="Arimo" w:eastAsia="Arimo"/>
                <w:color w:val="1F2937"/>
                <w:sz w:val="18"/>
              </w:rPr>
              <w:t>Compute</w:t>
            </w:r>
          </w:p>
        </w:tc>
        <w:tc>
          <w:tcPr>
            <w:tcW w:type="dxa" w:w="2448"/>
            <w:tcMar>
              <w:top w:w="70" w:type="dxa"/>
              <w:start w:w="80" w:type="dxa"/>
              <w:bottom w:w="70" w:type="dxa"/>
              <w:end w:w="80" w:type="dxa"/>
            </w:tcMar>
            <w:vAlign w:val="top"/>
          </w:tcPr>
          <w:p>
            <w:pPr>
              <w:spacing w:after="0"/>
            </w:pPr>
            <w:r>
              <w:rPr>
                <w:rFonts w:ascii="Arimo" w:hAnsi="Arimo" w:eastAsia="Arimo"/>
                <w:color w:val="1F2937"/>
                <w:sz w:val="18"/>
              </w:rPr>
              <w:t>AWS Lambda</w:t>
            </w:r>
          </w:p>
        </w:tc>
        <w:tc>
          <w:tcPr>
            <w:tcW w:type="dxa" w:w="1800"/>
            <w:tcMar>
              <w:top w:w="70" w:type="dxa"/>
              <w:start w:w="80" w:type="dxa"/>
              <w:bottom w:w="70" w:type="dxa"/>
              <w:end w:w="80" w:type="dxa"/>
            </w:tcMar>
            <w:vAlign w:val="top"/>
          </w:tcPr>
          <w:p>
            <w:pPr>
              <w:spacing w:after="0"/>
            </w:pPr>
            <w:r>
              <w:rPr>
                <w:rFonts w:ascii="Arimo" w:hAnsi="Arimo" w:eastAsia="Arimo"/>
                <w:color w:val="1F2937"/>
                <w:sz w:val="18"/>
              </w:rPr>
              <w:t>Required</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API handlers, parsing workers, deterministic tools, export helpers.</w:t>
            </w:r>
          </w:p>
        </w:tc>
      </w:tr>
      <w:tr>
        <w:tc>
          <w:tcPr>
            <w:tcW w:type="dxa" w:w="2016"/>
            <w:tcMar>
              <w:top w:w="70" w:type="dxa"/>
              <w:start w:w="80" w:type="dxa"/>
              <w:bottom w:w="70" w:type="dxa"/>
              <w:end w:w="80" w:type="dxa"/>
            </w:tcMar>
            <w:vAlign w:val="top"/>
          </w:tcPr>
          <w:p>
            <w:pPr>
              <w:spacing w:after="0"/>
            </w:pPr>
            <w:r>
              <w:rPr>
                <w:rFonts w:ascii="Arimo" w:hAnsi="Arimo" w:eastAsia="Arimo"/>
                <w:color w:val="1F2937"/>
                <w:sz w:val="18"/>
              </w:rPr>
              <w:t>Workflow</w:t>
            </w:r>
          </w:p>
        </w:tc>
        <w:tc>
          <w:tcPr>
            <w:tcW w:type="dxa" w:w="2448"/>
            <w:tcMar>
              <w:top w:w="70" w:type="dxa"/>
              <w:start w:w="80" w:type="dxa"/>
              <w:bottom w:w="70" w:type="dxa"/>
              <w:end w:w="80" w:type="dxa"/>
            </w:tcMar>
            <w:vAlign w:val="top"/>
          </w:tcPr>
          <w:p>
            <w:pPr>
              <w:spacing w:after="0"/>
            </w:pPr>
            <w:r>
              <w:rPr>
                <w:rFonts w:ascii="Arimo" w:hAnsi="Arimo" w:eastAsia="Arimo"/>
                <w:color w:val="1F2937"/>
                <w:sz w:val="18"/>
              </w:rPr>
              <w:t>AWS Step Functions</w:t>
            </w:r>
          </w:p>
        </w:tc>
        <w:tc>
          <w:tcPr>
            <w:tcW w:type="dxa" w:w="1800"/>
            <w:tcMar>
              <w:top w:w="70" w:type="dxa"/>
              <w:start w:w="80" w:type="dxa"/>
              <w:bottom w:w="70" w:type="dxa"/>
              <w:end w:w="80" w:type="dxa"/>
            </w:tcMar>
            <w:vAlign w:val="top"/>
          </w:tcPr>
          <w:p>
            <w:pPr>
              <w:spacing w:after="0"/>
            </w:pPr>
            <w:r>
              <w:rPr>
                <w:rFonts w:ascii="Arimo" w:hAnsi="Arimo" w:eastAsia="Arimo"/>
                <w:color w:val="1F2937"/>
                <w:sz w:val="18"/>
              </w:rPr>
              <w:t>Baseline</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Async ingest / extract / evaluate / verify / export orchestration.</w:t>
            </w:r>
          </w:p>
        </w:tc>
      </w:tr>
      <w:tr>
        <w:tc>
          <w:tcPr>
            <w:tcW w:type="dxa" w:w="2016"/>
            <w:tcMar>
              <w:top w:w="70" w:type="dxa"/>
              <w:start w:w="80" w:type="dxa"/>
              <w:bottom w:w="70" w:type="dxa"/>
              <w:end w:w="80" w:type="dxa"/>
            </w:tcMar>
            <w:vAlign w:val="top"/>
          </w:tcPr>
          <w:p>
            <w:pPr>
              <w:spacing w:after="0"/>
            </w:pPr>
            <w:r>
              <w:rPr>
                <w:rFonts w:ascii="Arimo" w:hAnsi="Arimo" w:eastAsia="Arimo"/>
                <w:color w:val="1F2937"/>
                <w:sz w:val="18"/>
              </w:rPr>
              <w:t>AI reasoning</w:t>
            </w:r>
          </w:p>
        </w:tc>
        <w:tc>
          <w:tcPr>
            <w:tcW w:type="dxa" w:w="2448"/>
            <w:tcMar>
              <w:top w:w="70" w:type="dxa"/>
              <w:start w:w="80" w:type="dxa"/>
              <w:bottom w:w="70" w:type="dxa"/>
              <w:end w:w="80" w:type="dxa"/>
            </w:tcMar>
            <w:vAlign w:val="top"/>
          </w:tcPr>
          <w:p>
            <w:pPr>
              <w:spacing w:after="0"/>
            </w:pPr>
            <w:r>
              <w:rPr>
                <w:rFonts w:ascii="Arimo" w:hAnsi="Arimo" w:eastAsia="Arimo"/>
                <w:color w:val="1F2937"/>
                <w:sz w:val="18"/>
              </w:rPr>
              <w:t>Amazon Bedrock</w:t>
            </w:r>
          </w:p>
        </w:tc>
        <w:tc>
          <w:tcPr>
            <w:tcW w:type="dxa" w:w="1800"/>
            <w:tcMar>
              <w:top w:w="70" w:type="dxa"/>
              <w:start w:w="80" w:type="dxa"/>
              <w:bottom w:w="70" w:type="dxa"/>
              <w:end w:w="80" w:type="dxa"/>
            </w:tcMar>
            <w:vAlign w:val="top"/>
          </w:tcPr>
          <w:p>
            <w:pPr>
              <w:spacing w:after="0"/>
            </w:pPr>
            <w:r>
              <w:rPr>
                <w:rFonts w:ascii="Arimo" w:hAnsi="Arimo" w:eastAsia="Arimo"/>
                <w:color w:val="1F2937"/>
                <w:sz w:val="18"/>
              </w:rPr>
              <w:t>Required</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Requirement extraction, specialist evaluators, Skeptical Verifier.</w:t>
            </w:r>
          </w:p>
        </w:tc>
      </w:tr>
      <w:tr>
        <w:tc>
          <w:tcPr>
            <w:tcW w:type="dxa" w:w="2016"/>
            <w:tcMar>
              <w:top w:w="70" w:type="dxa"/>
              <w:start w:w="80" w:type="dxa"/>
              <w:bottom w:w="70" w:type="dxa"/>
              <w:end w:w="80" w:type="dxa"/>
            </w:tcMar>
            <w:vAlign w:val="top"/>
          </w:tcPr>
          <w:p>
            <w:pPr>
              <w:spacing w:after="0"/>
            </w:pPr>
            <w:r>
              <w:rPr>
                <w:rFonts w:ascii="Arimo" w:hAnsi="Arimo" w:eastAsia="Arimo"/>
                <w:color w:val="1F2937"/>
                <w:sz w:val="18"/>
              </w:rPr>
              <w:t>Prompt caching</w:t>
            </w:r>
          </w:p>
        </w:tc>
        <w:tc>
          <w:tcPr>
            <w:tcW w:type="dxa" w:w="2448"/>
            <w:tcMar>
              <w:top w:w="70" w:type="dxa"/>
              <w:start w:w="80" w:type="dxa"/>
              <w:bottom w:w="70" w:type="dxa"/>
              <w:end w:w="80" w:type="dxa"/>
            </w:tcMar>
            <w:vAlign w:val="top"/>
          </w:tcPr>
          <w:p>
            <w:pPr>
              <w:spacing w:after="0"/>
            </w:pPr>
            <w:r>
              <w:rPr>
                <w:rFonts w:ascii="Arimo" w:hAnsi="Arimo" w:eastAsia="Arimo"/>
                <w:color w:val="1F2937"/>
                <w:sz w:val="18"/>
              </w:rPr>
              <w:t>Amazon Bedrock Prompt Caching</w:t>
            </w:r>
          </w:p>
        </w:tc>
        <w:tc>
          <w:tcPr>
            <w:tcW w:type="dxa" w:w="1800"/>
            <w:tcMar>
              <w:top w:w="70" w:type="dxa"/>
              <w:start w:w="80" w:type="dxa"/>
              <w:bottom w:w="70" w:type="dxa"/>
              <w:end w:w="80" w:type="dxa"/>
            </w:tcMar>
            <w:vAlign w:val="top"/>
          </w:tcPr>
          <w:p>
            <w:pPr>
              <w:spacing w:after="0"/>
            </w:pPr>
            <w:r>
              <w:rPr>
                <w:rFonts w:ascii="Arimo" w:hAnsi="Arimo" w:eastAsia="Arimo"/>
                <w:color w:val="1F2937"/>
                <w:sz w:val="18"/>
              </w:rPr>
              <w:t>Required for benchmark</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Stable RFP/rubric/shared-policy prefix; record actual cache telemetry.</w:t>
            </w:r>
          </w:p>
        </w:tc>
      </w:tr>
      <w:tr>
        <w:tc>
          <w:tcPr>
            <w:tcW w:type="dxa" w:w="2016"/>
            <w:tcMar>
              <w:top w:w="70" w:type="dxa"/>
              <w:start w:w="80" w:type="dxa"/>
              <w:bottom w:w="70" w:type="dxa"/>
              <w:end w:w="80" w:type="dxa"/>
            </w:tcMar>
            <w:vAlign w:val="top"/>
          </w:tcPr>
          <w:p>
            <w:pPr>
              <w:spacing w:after="0"/>
            </w:pPr>
            <w:r>
              <w:rPr>
                <w:rFonts w:ascii="Arimo" w:hAnsi="Arimo" w:eastAsia="Arimo"/>
                <w:color w:val="1F2937"/>
                <w:sz w:val="18"/>
              </w:rPr>
              <w:t>Object storage</w:t>
            </w:r>
          </w:p>
        </w:tc>
        <w:tc>
          <w:tcPr>
            <w:tcW w:type="dxa" w:w="2448"/>
            <w:tcMar>
              <w:top w:w="70" w:type="dxa"/>
              <w:start w:w="80" w:type="dxa"/>
              <w:bottom w:w="70" w:type="dxa"/>
              <w:end w:w="80" w:type="dxa"/>
            </w:tcMar>
            <w:vAlign w:val="top"/>
          </w:tcPr>
          <w:p>
            <w:pPr>
              <w:spacing w:after="0"/>
            </w:pPr>
            <w:r>
              <w:rPr>
                <w:rFonts w:ascii="Arimo" w:hAnsi="Arimo" w:eastAsia="Arimo"/>
                <w:color w:val="1F2937"/>
                <w:sz w:val="18"/>
              </w:rPr>
              <w:t>Amazon S3</w:t>
            </w:r>
          </w:p>
        </w:tc>
        <w:tc>
          <w:tcPr>
            <w:tcW w:type="dxa" w:w="1800"/>
            <w:tcMar>
              <w:top w:w="70" w:type="dxa"/>
              <w:start w:w="80" w:type="dxa"/>
              <w:bottom w:w="70" w:type="dxa"/>
              <w:end w:w="80" w:type="dxa"/>
            </w:tcMar>
            <w:vAlign w:val="top"/>
          </w:tcPr>
          <w:p>
            <w:pPr>
              <w:spacing w:after="0"/>
            </w:pPr>
            <w:r>
              <w:rPr>
                <w:rFonts w:ascii="Arimo" w:hAnsi="Arimo" w:eastAsia="Arimo"/>
                <w:color w:val="1F2937"/>
                <w:sz w:val="18"/>
              </w:rPr>
              <w:t>Required</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Private source documents, extracted artifacts, generated Markdown/PDF reports.</w:t>
            </w:r>
          </w:p>
        </w:tc>
      </w:tr>
      <w:tr>
        <w:tc>
          <w:tcPr>
            <w:tcW w:type="dxa" w:w="2016"/>
            <w:tcMar>
              <w:top w:w="70" w:type="dxa"/>
              <w:start w:w="80" w:type="dxa"/>
              <w:bottom w:w="70" w:type="dxa"/>
              <w:end w:w="80" w:type="dxa"/>
            </w:tcMar>
            <w:vAlign w:val="top"/>
          </w:tcPr>
          <w:p>
            <w:pPr>
              <w:spacing w:after="0"/>
            </w:pPr>
            <w:r>
              <w:rPr>
                <w:rFonts w:ascii="Arimo" w:hAnsi="Arimo" w:eastAsia="Arimo"/>
                <w:color w:val="1F2937"/>
                <w:sz w:val="18"/>
              </w:rPr>
              <w:t>Structured state</w:t>
            </w:r>
          </w:p>
        </w:tc>
        <w:tc>
          <w:tcPr>
            <w:tcW w:type="dxa" w:w="2448"/>
            <w:tcMar>
              <w:top w:w="70" w:type="dxa"/>
              <w:start w:w="80" w:type="dxa"/>
              <w:bottom w:w="70" w:type="dxa"/>
              <w:end w:w="80" w:type="dxa"/>
            </w:tcMar>
            <w:vAlign w:val="top"/>
          </w:tcPr>
          <w:p>
            <w:pPr>
              <w:spacing w:after="0"/>
            </w:pPr>
            <w:r>
              <w:rPr>
                <w:rFonts w:ascii="Arimo" w:hAnsi="Arimo" w:eastAsia="Arimo"/>
                <w:color w:val="1F2937"/>
                <w:sz w:val="18"/>
              </w:rPr>
              <w:t>Amazon DynamoDB</w:t>
            </w:r>
          </w:p>
        </w:tc>
        <w:tc>
          <w:tcPr>
            <w:tcW w:type="dxa" w:w="1800"/>
            <w:tcMar>
              <w:top w:w="70" w:type="dxa"/>
              <w:start w:w="80" w:type="dxa"/>
              <w:bottom w:w="70" w:type="dxa"/>
              <w:end w:w="80" w:type="dxa"/>
            </w:tcMar>
            <w:vAlign w:val="top"/>
          </w:tcPr>
          <w:p>
            <w:pPr>
              <w:spacing w:after="0"/>
            </w:pPr>
            <w:r>
              <w:rPr>
                <w:rFonts w:ascii="Arimo" w:hAnsi="Arimo" w:eastAsia="Arimo"/>
                <w:color w:val="1F2937"/>
                <w:sz w:val="18"/>
              </w:rPr>
              <w:t>Required</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Workspace, requirements, evidence, results, reviews, AuditEvents, jobs and idempotency state.</w:t>
            </w:r>
          </w:p>
        </w:tc>
      </w:tr>
      <w:tr>
        <w:tc>
          <w:tcPr>
            <w:tcW w:type="dxa" w:w="2016"/>
            <w:tcMar>
              <w:top w:w="70" w:type="dxa"/>
              <w:start w:w="80" w:type="dxa"/>
              <w:bottom w:w="70" w:type="dxa"/>
              <w:end w:w="80" w:type="dxa"/>
            </w:tcMar>
            <w:vAlign w:val="top"/>
          </w:tcPr>
          <w:p>
            <w:pPr>
              <w:spacing w:after="0"/>
            </w:pPr>
            <w:r>
              <w:rPr>
                <w:rFonts w:ascii="Arimo" w:hAnsi="Arimo" w:eastAsia="Arimo"/>
                <w:color w:val="1F2937"/>
                <w:sz w:val="18"/>
              </w:rPr>
              <w:t>Document OCR</w:t>
            </w:r>
          </w:p>
        </w:tc>
        <w:tc>
          <w:tcPr>
            <w:tcW w:type="dxa" w:w="2448"/>
            <w:tcMar>
              <w:top w:w="70" w:type="dxa"/>
              <w:start w:w="80" w:type="dxa"/>
              <w:bottom w:w="70" w:type="dxa"/>
              <w:end w:w="80" w:type="dxa"/>
            </w:tcMar>
            <w:vAlign w:val="top"/>
          </w:tcPr>
          <w:p>
            <w:pPr>
              <w:spacing w:after="0"/>
            </w:pPr>
            <w:r>
              <w:rPr>
                <w:rFonts w:ascii="Arimo" w:hAnsi="Arimo" w:eastAsia="Arimo"/>
                <w:color w:val="1F2937"/>
                <w:sz w:val="18"/>
              </w:rPr>
              <w:t>Amazon Textract</w:t>
            </w:r>
          </w:p>
        </w:tc>
        <w:tc>
          <w:tcPr>
            <w:tcW w:type="dxa" w:w="1800"/>
            <w:tcMar>
              <w:top w:w="70" w:type="dxa"/>
              <w:start w:w="80" w:type="dxa"/>
              <w:bottom w:w="70" w:type="dxa"/>
              <w:end w:w="80" w:type="dxa"/>
            </w:tcMar>
            <w:vAlign w:val="top"/>
          </w:tcPr>
          <w:p>
            <w:pPr>
              <w:spacing w:after="0"/>
            </w:pPr>
            <w:r>
              <w:rPr>
                <w:rFonts w:ascii="Arimo" w:hAnsi="Arimo" w:eastAsia="Arimo"/>
                <w:color w:val="1F2937"/>
                <w:sz w:val="18"/>
              </w:rPr>
              <w:t>Conditional</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Use only for scanned/image-heavy PDFs; do not send every document through OCR.</w:t>
            </w:r>
          </w:p>
        </w:tc>
      </w:tr>
      <w:tr>
        <w:tc>
          <w:tcPr>
            <w:tcW w:type="dxa" w:w="2016"/>
            <w:tcMar>
              <w:top w:w="70" w:type="dxa"/>
              <w:start w:w="80" w:type="dxa"/>
              <w:bottom w:w="70" w:type="dxa"/>
              <w:end w:w="80" w:type="dxa"/>
            </w:tcMar>
            <w:vAlign w:val="top"/>
          </w:tcPr>
          <w:p>
            <w:pPr>
              <w:spacing w:after="0"/>
            </w:pPr>
            <w:r>
              <w:rPr>
                <w:rFonts w:ascii="Arimo" w:hAnsi="Arimo" w:eastAsia="Arimo"/>
                <w:color w:val="1F2937"/>
                <w:sz w:val="18"/>
              </w:rPr>
              <w:t>Observability</w:t>
            </w:r>
          </w:p>
        </w:tc>
        <w:tc>
          <w:tcPr>
            <w:tcW w:type="dxa" w:w="2448"/>
            <w:tcMar>
              <w:top w:w="70" w:type="dxa"/>
              <w:start w:w="80" w:type="dxa"/>
              <w:bottom w:w="70" w:type="dxa"/>
              <w:end w:w="80" w:type="dxa"/>
            </w:tcMar>
            <w:vAlign w:val="top"/>
          </w:tcPr>
          <w:p>
            <w:pPr>
              <w:spacing w:after="0"/>
            </w:pPr>
            <w:r>
              <w:rPr>
                <w:rFonts w:ascii="Arimo" w:hAnsi="Arimo" w:eastAsia="Arimo"/>
                <w:color w:val="1F2937"/>
                <w:sz w:val="18"/>
              </w:rPr>
              <w:t>Amazon CloudWatch</w:t>
            </w:r>
          </w:p>
        </w:tc>
        <w:tc>
          <w:tcPr>
            <w:tcW w:type="dxa" w:w="1800"/>
            <w:tcMar>
              <w:top w:w="70" w:type="dxa"/>
              <w:start w:w="80" w:type="dxa"/>
              <w:bottom w:w="70" w:type="dxa"/>
              <w:end w:w="80" w:type="dxa"/>
            </w:tcMar>
            <w:vAlign w:val="top"/>
          </w:tcPr>
          <w:p>
            <w:pPr>
              <w:spacing w:after="0"/>
            </w:pPr>
            <w:r>
              <w:rPr>
                <w:rFonts w:ascii="Arimo" w:hAnsi="Arimo" w:eastAsia="Arimo"/>
                <w:color w:val="1F2937"/>
                <w:sz w:val="18"/>
              </w:rPr>
              <w:t>Required</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Structured logs, workflow failures, latency, token/cache telemetry.</w:t>
            </w:r>
          </w:p>
        </w:tc>
      </w:tr>
      <w:tr>
        <w:tc>
          <w:tcPr>
            <w:tcW w:type="dxa" w:w="2016"/>
            <w:tcMar>
              <w:top w:w="70" w:type="dxa"/>
              <w:start w:w="80" w:type="dxa"/>
              <w:bottom w:w="70" w:type="dxa"/>
              <w:end w:w="80" w:type="dxa"/>
            </w:tcMar>
            <w:vAlign w:val="top"/>
          </w:tcPr>
          <w:p>
            <w:pPr>
              <w:spacing w:after="0"/>
            </w:pPr>
            <w:r>
              <w:rPr>
                <w:rFonts w:ascii="Arimo" w:hAnsi="Arimo" w:eastAsia="Arimo"/>
                <w:color w:val="1F2937"/>
                <w:sz w:val="18"/>
              </w:rPr>
              <w:t>Permissions</w:t>
            </w:r>
          </w:p>
        </w:tc>
        <w:tc>
          <w:tcPr>
            <w:tcW w:type="dxa" w:w="2448"/>
            <w:tcMar>
              <w:top w:w="70" w:type="dxa"/>
              <w:start w:w="80" w:type="dxa"/>
              <w:bottom w:w="70" w:type="dxa"/>
              <w:end w:w="80" w:type="dxa"/>
            </w:tcMar>
            <w:vAlign w:val="top"/>
          </w:tcPr>
          <w:p>
            <w:pPr>
              <w:spacing w:after="0"/>
            </w:pPr>
            <w:r>
              <w:rPr>
                <w:rFonts w:ascii="Arimo" w:hAnsi="Arimo" w:eastAsia="Arimo"/>
                <w:color w:val="1F2937"/>
                <w:sz w:val="18"/>
              </w:rPr>
              <w:t>AWS IAM</w:t>
            </w:r>
          </w:p>
        </w:tc>
        <w:tc>
          <w:tcPr>
            <w:tcW w:type="dxa" w:w="1800"/>
            <w:tcMar>
              <w:top w:w="70" w:type="dxa"/>
              <w:start w:w="80" w:type="dxa"/>
              <w:bottom w:w="70" w:type="dxa"/>
              <w:end w:w="80" w:type="dxa"/>
            </w:tcMar>
            <w:vAlign w:val="top"/>
          </w:tcPr>
          <w:p>
            <w:pPr>
              <w:spacing w:after="0"/>
            </w:pPr>
            <w:r>
              <w:rPr>
                <w:rFonts w:ascii="Arimo" w:hAnsi="Arimo" w:eastAsia="Arimo"/>
                <w:color w:val="1F2937"/>
                <w:sz w:val="18"/>
              </w:rPr>
              <w:t>Required</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Least-privilege roles for API, workers, workflow execution and coding-agent connection.</w:t>
            </w:r>
          </w:p>
        </w:tc>
      </w:tr>
    </w:tbl>
    <w:p>
      <w:pPr>
        <w:spacing w:before="120"/>
      </w:pPr>
      <w:r>
        <w:rPr>
          <w:rFonts w:ascii="Arimo" w:hAnsi="Arimo" w:eastAsia="Arimo"/>
          <w:b/>
          <w:color w:val="B91C1C"/>
          <w:sz w:val="20"/>
        </w:rPr>
        <w:t xml:space="preserve">Explicitly not baseline: </w:t>
      </w:r>
      <w:r>
        <w:rPr>
          <w:rFonts w:ascii="Arimo" w:hAnsi="Arimo" w:eastAsia="Arimo"/>
          <w:color w:val="1F2937"/>
          <w:sz w:val="20"/>
        </w:rPr>
        <w:t>AgentCore, OpenSearch Serverless / dedicated vector store, custom domain, CloudTrail-only audit design, and other P2 infrastructure. These can be added only when a measured MVP need justifies them.</w:t>
      </w:r>
    </w:p>
    <w:p>
      <w:pPr>
        <w:pStyle w:val="Heading1"/>
      </w:pPr>
      <w:r>
        <w:t>3. Deployment Topology</w:t>
      </w:r>
    </w:p>
    <w:p>
      <w:r>
        <w:rPr>
          <w:rFonts w:ascii="Arimo" w:hAnsi="Arimo" w:eastAsia="Arimo"/>
          <w:b/>
          <w:color w:val="17365D"/>
          <w:sz w:val="20"/>
        </w:rPr>
        <w:t>Logical request and processing topology:</w:t>
      </w:r>
    </w:p>
    <w:p>
      <w:pPr>
        <w:pStyle w:val="ArchitectureCode"/>
        <w:ind w:left="360"/>
      </w:pPr>
      <w:r>
        <w:rPr>
          <w:rFonts w:ascii="DejaVu Sans Mono" w:hAnsi="DejaVu Sans Mono" w:eastAsia="DejaVu Sans Mono"/>
          <w:color w:val="374151"/>
          <w:sz w:val="16"/>
        </w:rPr>
        <w:t>Browser / Reviewer</w:t>
      </w:r>
    </w:p>
    <w:p>
      <w:pPr>
        <w:pStyle w:val="ArchitectureCode"/>
        <w:ind w:left="360"/>
      </w:pPr>
      <w:r>
        <w:rPr>
          <w:rFonts w:ascii="DejaVu Sans Mono" w:hAnsi="DejaVu Sans Mono" w:eastAsia="DejaVu Sans Mono"/>
          <w:color w:val="374151"/>
          <w:sz w:val="16"/>
        </w:rPr>
        <w:t xml:space="preserve">      | HTTPS</w:t>
      </w:r>
    </w:p>
    <w:p>
      <w:pPr>
        <w:pStyle w:val="ArchitectureCode"/>
        <w:ind w:left="360"/>
      </w:pPr>
      <w:r>
        <w:rPr>
          <w:rFonts w:ascii="DejaVu Sans Mono" w:hAnsi="DejaVu Sans Mono" w:eastAsia="DejaVu Sans Mono"/>
          <w:color w:val="374151"/>
          <w:sz w:val="16"/>
        </w:rPr>
        <w:t xml:space="preserve">      v</w:t>
      </w:r>
    </w:p>
    <w:p>
      <w:pPr>
        <w:pStyle w:val="ArchitectureCode"/>
        <w:ind w:left="360"/>
      </w:pPr>
      <w:r>
        <w:rPr>
          <w:rFonts w:ascii="DejaVu Sans Mono" w:hAnsi="DejaVu Sans Mono" w:eastAsia="DejaVu Sans Mono"/>
          <w:color w:val="374151"/>
          <w:sz w:val="16"/>
        </w:rPr>
        <w:t>AWS Amplify Hosting -----&gt; Amazon Cognito (login / JWT)</w:t>
      </w:r>
    </w:p>
    <w:p>
      <w:pPr>
        <w:pStyle w:val="ArchitectureCode"/>
        <w:ind w:left="360"/>
      </w:pPr>
      <w:r>
        <w:rPr>
          <w:rFonts w:ascii="DejaVu Sans Mono" w:hAnsi="DejaVu Sans Mono" w:eastAsia="DejaVu Sans Mono"/>
          <w:color w:val="374151"/>
          <w:sz w:val="16"/>
        </w:rPr>
        <w:t xml:space="preserve">      | REST + JWT                  | authorizer</w:t>
      </w:r>
    </w:p>
    <w:p>
      <w:pPr>
        <w:pStyle w:val="ArchitectureCode"/>
        <w:ind w:left="360"/>
      </w:pPr>
      <w:r>
        <w:rPr>
          <w:rFonts w:ascii="DejaVu Sans Mono" w:hAnsi="DejaVu Sans Mono" w:eastAsia="DejaVu Sans Mono"/>
          <w:color w:val="374151"/>
          <w:sz w:val="16"/>
        </w:rPr>
        <w:t xml:space="preserve">      v                             v</w:t>
      </w:r>
    </w:p>
    <w:p>
      <w:pPr>
        <w:pStyle w:val="ArchitectureCode"/>
        <w:ind w:left="360"/>
      </w:pPr>
      <w:r>
        <w:rPr>
          <w:rFonts w:ascii="DejaVu Sans Mono" w:hAnsi="DejaVu Sans Mono" w:eastAsia="DejaVu Sans Mono"/>
          <w:color w:val="374151"/>
          <w:sz w:val="16"/>
        </w:rPr>
        <w:t>Amazon API Gateway ------------&gt; AWS Lambda (API Handler)</w:t>
      </w:r>
    </w:p>
    <w:p>
      <w:pPr>
        <w:pStyle w:val="ArchitectureCode"/>
        <w:ind w:left="360"/>
      </w:pPr>
      <w:r>
        <w:rPr>
          <w:rFonts w:ascii="DejaVu Sans Mono" w:hAnsi="DejaVu Sans Mono" w:eastAsia="DejaVu Sans Mono"/>
          <w:color w:val="374151"/>
          <w:sz w:val="16"/>
        </w:rPr>
        <w:t xml:space="preserve">                                      |</w:t>
      </w:r>
    </w:p>
    <w:p>
      <w:pPr>
        <w:pStyle w:val="ArchitectureCode"/>
        <w:ind w:left="360"/>
      </w:pPr>
      <w:r>
        <w:rPr>
          <w:rFonts w:ascii="DejaVu Sans Mono" w:hAnsi="DejaVu Sans Mono" w:eastAsia="DejaVu Sans Mono"/>
          <w:color w:val="374151"/>
          <w:sz w:val="16"/>
        </w:rPr>
        <w:t xml:space="preserve">                         +------------+-------------+</w:t>
      </w:r>
    </w:p>
    <w:p>
      <w:pPr>
        <w:pStyle w:val="ArchitectureCode"/>
        <w:ind w:left="360"/>
      </w:pPr>
      <w:r>
        <w:rPr>
          <w:rFonts w:ascii="DejaVu Sans Mono" w:hAnsi="DejaVu Sans Mono" w:eastAsia="DejaVu Sans Mono"/>
          <w:color w:val="374151"/>
          <w:sz w:val="16"/>
        </w:rPr>
        <w:t xml:space="preserve">                         |                          |</w:t>
      </w:r>
    </w:p>
    <w:p>
      <w:pPr>
        <w:pStyle w:val="ArchitectureCode"/>
        <w:ind w:left="360"/>
      </w:pPr>
      <w:r>
        <w:rPr>
          <w:rFonts w:ascii="DejaVu Sans Mono" w:hAnsi="DejaVu Sans Mono" w:eastAsia="DejaVu Sans Mono"/>
          <w:color w:val="374151"/>
          <w:sz w:val="16"/>
        </w:rPr>
        <w:t xml:space="preserve">                         v                          v</w:t>
      </w:r>
    </w:p>
    <w:p>
      <w:pPr>
        <w:pStyle w:val="ArchitectureCode"/>
        <w:ind w:left="360"/>
      </w:pPr>
      <w:r>
        <w:rPr>
          <w:rFonts w:ascii="DejaVu Sans Mono" w:hAnsi="DejaVu Sans Mono" w:eastAsia="DejaVu Sans Mono"/>
          <w:color w:val="374151"/>
          <w:sz w:val="16"/>
        </w:rPr>
        <w:t xml:space="preserve">                  Amazon DynamoDB           AWS Step Functions</w:t>
      </w:r>
    </w:p>
    <w:p>
      <w:pPr>
        <w:pStyle w:val="ArchitectureCode"/>
        <w:ind w:left="360"/>
      </w:pPr>
      <w:r>
        <w:rPr>
          <w:rFonts w:ascii="DejaVu Sans Mono" w:hAnsi="DejaVu Sans Mono" w:eastAsia="DejaVu Sans Mono"/>
          <w:color w:val="374151"/>
          <w:sz w:val="16"/>
        </w:rPr>
        <w:t xml:space="preserve">                  sync state/review         async workflows</w:t>
      </w:r>
    </w:p>
    <w:p>
      <w:pPr>
        <w:pStyle w:val="ArchitectureCode"/>
        <w:ind w:left="360"/>
      </w:pPr>
      <w:r>
        <w:rPr>
          <w:rFonts w:ascii="DejaVu Sans Mono" w:hAnsi="DejaVu Sans Mono" w:eastAsia="DejaVu Sans Mono"/>
          <w:color w:val="374151"/>
          <w:sz w:val="16"/>
        </w:rPr>
        <w:t xml:space="preserve">                                                   |</w:t>
      </w:r>
    </w:p>
    <w:p>
      <w:pPr>
        <w:pStyle w:val="ArchitectureCode"/>
        <w:ind w:left="360"/>
      </w:pPr>
      <w:r>
        <w:rPr>
          <w:rFonts w:ascii="DejaVu Sans Mono" w:hAnsi="DejaVu Sans Mono" w:eastAsia="DejaVu Sans Mono"/>
          <w:color w:val="374151"/>
          <w:sz w:val="16"/>
        </w:rPr>
        <w:t xml:space="preserve">                         +-------------------------+-------------------------+</w:t>
      </w:r>
    </w:p>
    <w:p>
      <w:pPr>
        <w:pStyle w:val="ArchitectureCode"/>
        <w:ind w:left="360"/>
      </w:pPr>
      <w:r>
        <w:rPr>
          <w:rFonts w:ascii="DejaVu Sans Mono" w:hAnsi="DejaVu Sans Mono" w:eastAsia="DejaVu Sans Mono"/>
          <w:color w:val="374151"/>
          <w:sz w:val="16"/>
        </w:rPr>
        <w:t xml:space="preserve">                         |                         |                         |</w:t>
      </w:r>
    </w:p>
    <w:p>
      <w:pPr>
        <w:pStyle w:val="ArchitectureCode"/>
        <w:ind w:left="360"/>
      </w:pPr>
      <w:r>
        <w:rPr>
          <w:rFonts w:ascii="DejaVu Sans Mono" w:hAnsi="DejaVu Sans Mono" w:eastAsia="DejaVu Sans Mono"/>
          <w:color w:val="374151"/>
          <w:sz w:val="16"/>
        </w:rPr>
        <w:t xml:space="preserve">                         v                         v                         v</w:t>
      </w:r>
    </w:p>
    <w:p>
      <w:pPr>
        <w:pStyle w:val="ArchitectureCode"/>
        <w:ind w:left="360"/>
      </w:pPr>
      <w:r>
        <w:rPr>
          <w:rFonts w:ascii="DejaVu Sans Mono" w:hAnsi="DejaVu Sans Mono" w:eastAsia="DejaVu Sans Mono"/>
          <w:color w:val="374151"/>
          <w:sz w:val="16"/>
        </w:rPr>
        <w:t xml:space="preserve">                Lambda parsers              Amazon Bedrock          Deterministic Lambda</w:t>
      </w:r>
    </w:p>
    <w:p>
      <w:pPr>
        <w:pStyle w:val="ArchitectureCode"/>
        <w:ind w:left="360"/>
      </w:pPr>
      <w:r>
        <w:rPr>
          <w:rFonts w:ascii="DejaVu Sans Mono" w:hAnsi="DejaVu Sans Mono" w:eastAsia="DejaVu Sans Mono"/>
          <w:color w:val="374151"/>
          <w:sz w:val="16"/>
        </w:rPr>
        <w:t xml:space="preserve">                   |   |                     evaluator/verifier      thresholds/TCO/score</w:t>
      </w:r>
    </w:p>
    <w:p>
      <w:pPr>
        <w:pStyle w:val="ArchitectureCode"/>
        <w:ind w:left="360"/>
      </w:pPr>
      <w:r>
        <w:rPr>
          <w:rFonts w:ascii="DejaVu Sans Mono" w:hAnsi="DejaVu Sans Mono" w:eastAsia="DejaVu Sans Mono"/>
          <w:color w:val="374151"/>
          <w:sz w:val="16"/>
        </w:rPr>
        <w:t xml:space="preserve">                   |   +--&gt; Textract (conditional)</w:t>
      </w:r>
    </w:p>
    <w:p>
      <w:pPr>
        <w:pStyle w:val="ArchitectureCode"/>
        <w:ind w:left="360"/>
      </w:pPr>
      <w:r>
        <w:rPr>
          <w:rFonts w:ascii="DejaVu Sans Mono" w:hAnsi="DejaVu Sans Mono" w:eastAsia="DejaVu Sans Mono"/>
          <w:color w:val="374151"/>
          <w:sz w:val="16"/>
        </w:rPr>
        <w:t xml:space="preserve">                   v</w:t>
      </w:r>
    </w:p>
    <w:p>
      <w:pPr>
        <w:pStyle w:val="ArchitectureCode"/>
        <w:ind w:left="360"/>
      </w:pPr>
      <w:r>
        <w:rPr>
          <w:rFonts w:ascii="DejaVu Sans Mono" w:hAnsi="DejaVu Sans Mono" w:eastAsia="DejaVu Sans Mono"/>
          <w:color w:val="374151"/>
          <w:sz w:val="16"/>
        </w:rPr>
        <w:t xml:space="preserve">                 Amazon S3  &lt;------------------------------ Export Lambda</w:t>
      </w:r>
    </w:p>
    <w:p>
      <w:pPr>
        <w:pStyle w:val="ArchitectureCode"/>
        <w:ind w:left="360"/>
      </w:pPr>
      <w:r>
        <w:rPr>
          <w:rFonts w:ascii="DejaVu Sans Mono" w:hAnsi="DejaVu Sans Mono" w:eastAsia="DejaVu Sans Mono"/>
          <w:color w:val="374151"/>
          <w:sz w:val="16"/>
        </w:rPr>
        <w:t xml:space="preserve">          source docs / artifacts / reports</w:t>
      </w:r>
    </w:p>
    <w:p>
      <w:pPr>
        <w:pStyle w:val="ArchitectureCode"/>
        <w:ind w:left="360"/>
      </w:pPr>
      <w:r>
        <w:rPr>
          <w:rFonts w:ascii="DejaVu Sans Mono" w:hAnsi="DejaVu Sans Mono" w:eastAsia="DejaVu Sans Mono"/>
          <w:color w:val="374151"/>
          <w:sz w:val="16"/>
        </w:rPr>
      </w:r>
    </w:p>
    <w:p>
      <w:pPr>
        <w:pStyle w:val="ArchitectureCode"/>
        <w:ind w:left="360"/>
      </w:pPr>
      <w:r>
        <w:rPr>
          <w:rFonts w:ascii="DejaVu Sans Mono" w:hAnsi="DejaVu Sans Mono" w:eastAsia="DejaVu Sans Mono"/>
          <w:color w:val="374151"/>
          <w:sz w:val="16"/>
        </w:rPr>
        <w:t>CloudWatch observes Lambda + Step Functions + Bedrock runtime telemetry.</w:t>
      </w:r>
    </w:p>
    <w:p>
      <w:pPr>
        <w:pStyle w:val="ArchitectureCode"/>
        <w:ind w:left="360"/>
      </w:pPr>
      <w:r>
        <w:rPr>
          <w:rFonts w:ascii="DejaVu Sans Mono" w:hAnsi="DejaVu Sans Mono" w:eastAsia="DejaVu Sans Mono"/>
          <w:color w:val="374151"/>
          <w:sz w:val="16"/>
        </w:rPr>
        <w:t>DynamoDB AuditEvent remains the business/audit history; it is not replaced by CloudWatch.</w:t>
      </w:r>
    </w:p>
    <w:tbl>
      <w:tblPr>
        <w:tblW w:type="auto" w:w="0"/>
        <w:jc w:val="center"/>
        <w:tblLayout w:type="autofit"/>
        <w:tblLook w:firstColumn="1" w:firstRow="1" w:lastColumn="0" w:lastRow="0" w:noHBand="0" w:noVBand="1" w:val="04A0"/>
        <w:tblBorders>
          <w:top w:val="single" w:sz="1" w:space="0" w:color="FFF7ED"/>
          <w:left w:val="single" w:sz="1" w:space="0" w:color="FFF7ED"/>
          <w:bottom w:val="single" w:sz="1" w:space="0" w:color="FFF7ED"/>
          <w:right w:val="single" w:sz="1" w:space="0" w:color="FFF7ED"/>
          <w:insideH w:val="single" w:sz="1" w:space="0" w:color="FFF7ED"/>
          <w:insideV w:val="single" w:sz="1" w:space="0" w:color="FFF7ED"/>
        </w:tblBorders>
      </w:tblPr>
      <w:tblGrid>
        <w:gridCol w:w="10080"/>
      </w:tblGrid>
      <w:tr>
        <w:tc>
          <w:tcPr>
            <w:tcW w:type="dxa" w:w="10080"/>
            <w:shd w:fill="FFF7ED"/>
            <w:tcMar>
              <w:top w:w="110" w:type="dxa"/>
              <w:start w:w="130" w:type="dxa"/>
              <w:bottom w:w="110" w:type="dxa"/>
              <w:end w:w="130" w:type="dxa"/>
            </w:tcMar>
          </w:tcPr>
          <w:p>
            <w:pPr>
              <w:spacing w:after="0"/>
            </w:pPr>
            <w:r>
              <w:rPr>
                <w:rFonts w:ascii="Arimo" w:hAnsi="Arimo" w:eastAsia="Arimo"/>
                <w:b/>
                <w:color w:val="C65911"/>
                <w:sz w:val="20"/>
              </w:rPr>
              <w:t xml:space="preserve">Important upload detail. </w:t>
            </w:r>
            <w:r>
              <w:rPr>
                <w:rFonts w:ascii="Arimo" w:hAnsi="Arimo" w:eastAsia="Arimo"/>
                <w:color w:val="1F2937"/>
                <w:sz w:val="20"/>
              </w:rPr>
              <w:t>Frontend uploads document bytes directly to private S3 by presigned PUT. The API initializes the upload and later receives complete-upload; backend verifies the object before ingestion. This avoids proxying large file bodies through API Gateway/Lambda.</w:t>
            </w:r>
          </w:p>
        </w:tc>
      </w:tr>
    </w:tbl>
    <w:p>
      <w:pPr>
        <w:spacing w:after="20"/>
      </w:pPr>
    </w:p>
    <w:p>
      <w:pPr>
        <w:pStyle w:val="Heading1"/>
      </w:pPr>
      <w:r>
        <w:t>4. Request and Workflow Paths</w:t>
      </w:r>
    </w:p>
    <w:p>
      <w:pPr>
        <w:pStyle w:val="Heading2"/>
      </w:pPr>
      <w:r>
        <w:t>4.1 Authentication and API access</w:t>
      </w:r>
    </w:p>
    <w:p>
      <w:pPr>
        <w:pStyle w:val="ListBullet"/>
        <w:spacing w:after="40"/>
      </w:pPr>
      <w:r>
        <w:rPr>
          <w:rFonts w:ascii="Arimo" w:hAnsi="Arimo" w:eastAsia="Arimo"/>
          <w:color w:val="1F2937"/>
          <w:sz w:val="20"/>
        </w:rPr>
        <w:t>Public landing/demo route is served from Amplify. Mutating /app workflows require Cognito authentication.</w:t>
      </w:r>
    </w:p>
    <w:p>
      <w:pPr>
        <w:pStyle w:val="ListBullet"/>
        <w:spacing w:after="40"/>
      </w:pPr>
      <w:r>
        <w:rPr>
          <w:rFonts w:ascii="Arimo" w:hAnsi="Arimo" w:eastAsia="Arimo"/>
          <w:color w:val="1F2937"/>
          <w:sz w:val="20"/>
        </w:rPr>
        <w:t>Frontend obtains a Cognito JWT and calls API Gateway /api/v1. Protected routes reject missing/invalid tokens.</w:t>
      </w:r>
    </w:p>
    <w:p>
      <w:pPr>
        <w:pStyle w:val="ListBullet"/>
        <w:spacing w:after="40"/>
      </w:pPr>
      <w:r>
        <w:rPr>
          <w:rFonts w:ascii="Arimo" w:hAnsi="Arimo" w:eastAsia="Arimo"/>
          <w:color w:val="1F2937"/>
          <w:sz w:val="20"/>
        </w:rPr>
        <w:t>API Gateway invokes a Lambda API handler that validates request DTOs, vendor/proposal scope and business preconditions before mutation or workflow start.</w:t>
      </w:r>
    </w:p>
    <w:p>
      <w:pPr>
        <w:pStyle w:val="Heading2"/>
      </w:pPr>
      <w:r>
        <w:t>4.2 Two-phase document upload</w:t>
      </w:r>
    </w:p>
    <w:p>
      <w:pPr>
        <w:pStyle w:val="ListNumber"/>
        <w:spacing w:after="40"/>
      </w:pPr>
      <w:r>
        <w:rPr>
          <w:rFonts w:ascii="Arimo" w:hAnsi="Arimo" w:eastAsia="Arimo"/>
          <w:color w:val="1F2937"/>
          <w:sz w:val="20"/>
        </w:rPr>
        <w:t>Phase 1 — initialize: API creates document metadata and returns an S3 presigned PUT URL.</w:t>
      </w:r>
    </w:p>
    <w:p>
      <w:pPr>
        <w:pStyle w:val="ListNumber"/>
        <w:spacing w:after="40"/>
      </w:pPr>
      <w:r>
        <w:rPr>
          <w:rFonts w:ascii="Arimo" w:hAnsi="Arimo" w:eastAsia="Arimo"/>
          <w:color w:val="1F2937"/>
          <w:sz w:val="20"/>
        </w:rPr>
        <w:t>Phase 2 — transfer: browser uploads directly to the private S3 object key.</w:t>
      </w:r>
    </w:p>
    <w:p>
      <w:pPr>
        <w:pStyle w:val="ListNumber"/>
        <w:spacing w:after="40"/>
      </w:pPr>
      <w:r>
        <w:rPr>
          <w:rFonts w:ascii="Arimo" w:hAnsi="Arimo" w:eastAsia="Arimo"/>
          <w:color w:val="1F2937"/>
          <w:sz w:val="20"/>
        </w:rPr>
        <w:t>Phase 3 — complete-upload: API verifies that the S3 object exists and matches the expected document key/metadata before starting ingestion.</w:t>
      </w:r>
    </w:p>
    <w:p>
      <w:pPr>
        <w:pStyle w:val="ListNumber"/>
        <w:spacing w:after="40"/>
      </w:pPr>
      <w:r>
        <w:rPr>
          <w:rFonts w:ascii="Arimo" w:hAnsi="Arimo" w:eastAsia="Arimo"/>
          <w:color w:val="1F2937"/>
          <w:sz w:val="20"/>
        </w:rPr>
        <w:t>Duplicate complete-upload or storage events must be idempotent by document_id / Idempotency-Key.</w:t>
      </w:r>
    </w:p>
    <w:p>
      <w:pPr>
        <w:pStyle w:val="Heading2"/>
      </w:pPr>
      <w:r>
        <w:t>4.3 Asynchronous orchestration</w:t>
      </w:r>
    </w:p>
    <w:p>
      <w:r>
        <w:rPr>
          <w:rFonts w:ascii="Arimo" w:hAnsi="Arimo" w:eastAsia="Arimo"/>
          <w:color w:val="1F2937"/>
          <w:sz w:val="20"/>
        </w:rPr>
        <w:t>Requirement extraction, evaluation runs and export are long-running operations. They return HTTP 202 with a job_id / run_id / export_id and continue in Step Functions. The frontend polls status resources rather than holding an HTTP request open.</w:t>
      </w:r>
    </w:p>
    <w:p>
      <w:pPr>
        <w:pStyle w:val="ListNumber"/>
        <w:spacing w:after="40"/>
      </w:pPr>
      <w:r>
        <w:rPr>
          <w:rFonts w:ascii="Arimo" w:hAnsi="Arimo" w:eastAsia="Arimo"/>
          <w:color w:val="1F2937"/>
          <w:sz w:val="20"/>
        </w:rPr>
        <w:t>Ingest / parse document chunks and preserve source location metadata.</w:t>
      </w:r>
    </w:p>
    <w:p>
      <w:pPr>
        <w:pStyle w:val="ListNumber"/>
        <w:spacing w:after="40"/>
      </w:pPr>
      <w:r>
        <w:rPr>
          <w:rFonts w:ascii="Arimo" w:hAnsi="Arimo" w:eastAsia="Arimo"/>
          <w:color w:val="1F2937"/>
          <w:sz w:val="20"/>
        </w:rPr>
        <w:t>Extract atomic requirements and validate schema/rubric constraints.</w:t>
      </w:r>
    </w:p>
    <w:p>
      <w:pPr>
        <w:pStyle w:val="ListNumber"/>
        <w:spacing w:after="40"/>
      </w:pPr>
      <w:r>
        <w:rPr>
          <w:rFonts w:ascii="Arimo" w:hAnsi="Arimo" w:eastAsia="Arimo"/>
          <w:color w:val="1F2937"/>
          <w:sz w:val="20"/>
        </w:rPr>
        <w:t>For each Requirement × Vendor, perform vendor-scoped retrieval before specialist evaluation.</w:t>
      </w:r>
    </w:p>
    <w:p>
      <w:pPr>
        <w:pStyle w:val="ListNumber"/>
        <w:spacing w:after="40"/>
      </w:pPr>
      <w:r>
        <w:rPr>
          <w:rFonts w:ascii="Arimo" w:hAnsi="Arimo" w:eastAsia="Arimo"/>
          <w:color w:val="1F2937"/>
          <w:sz w:val="20"/>
        </w:rPr>
        <w:t>Route to Technical, Commercial or Compliance evaluator.</w:t>
      </w:r>
    </w:p>
    <w:p>
      <w:pPr>
        <w:pStyle w:val="ListNumber"/>
        <w:spacing w:after="40"/>
      </w:pPr>
      <w:r>
        <w:rPr>
          <w:rFonts w:ascii="Arimo" w:hAnsi="Arimo" w:eastAsia="Arimo"/>
          <w:color w:val="1F2937"/>
          <w:sz w:val="20"/>
        </w:rPr>
        <w:t>Invoke deterministic Lambda tools when the criterion is boolean, numeric, formula-based or commercial arithmetic.</w:t>
      </w:r>
    </w:p>
    <w:p>
      <w:pPr>
        <w:pStyle w:val="ListNumber"/>
        <w:spacing w:after="40"/>
      </w:pPr>
      <w:r>
        <w:rPr>
          <w:rFonts w:ascii="Arimo" w:hAnsi="Arimo" w:eastAsia="Arimo"/>
          <w:color w:val="1F2937"/>
          <w:sz w:val="20"/>
        </w:rPr>
        <w:t>Pass the proposed assessment through the Skeptical Verifier before user visibility.</w:t>
      </w:r>
    </w:p>
    <w:p>
      <w:pPr>
        <w:pStyle w:val="ListNumber"/>
        <w:spacing w:after="40"/>
      </w:pPr>
      <w:r>
        <w:rPr>
          <w:rFonts w:ascii="Arimo" w:hAnsi="Arimo" w:eastAsia="Arimo"/>
          <w:color w:val="1F2937"/>
          <w:sz w:val="20"/>
        </w:rPr>
        <w:t>Persist verified results and expose them through the Evidence Matrix API.</w:t>
      </w:r>
    </w:p>
    <w:p>
      <w:pPr>
        <w:pStyle w:val="ListNumber"/>
        <w:spacing w:after="40"/>
      </w:pPr>
      <w:r>
        <w:rPr>
          <w:rFonts w:ascii="Arimo" w:hAnsi="Arimo" w:eastAsia="Arimo"/>
          <w:color w:val="1F2937"/>
          <w:sz w:val="20"/>
        </w:rPr>
        <w:t>After human review, generate Markdown/PDF audit export.</w:t>
      </w:r>
    </w:p>
    <w:p>
      <w:pPr>
        <w:pStyle w:val="Heading1"/>
      </w:pPr>
      <w:r>
        <w:t>5. Component Responsibilities</w:t>
      </w:r>
    </w:p>
    <w:tbl>
      <w:tblPr>
        <w:tblStyle w:val="TableGrid"/>
        <w:tblW w:type="auto" w:w="0"/>
        <w:jc w:val="center"/>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5040"/>
        <w:gridCol w:w="5040"/>
      </w:tblGrid>
      <w:tr>
        <w:trPr>
          <w:tblHeader w:val="true"/>
        </w:trPr>
        <w:tc>
          <w:tcPr>
            <w:tcW w:type="dxa" w:w="2880"/>
            <w:shd w:fill="17365D"/>
            <w:vAlign w:val="center"/>
            <w:tcMar>
              <w:top w:w="70" w:type="dxa"/>
              <w:start w:w="80" w:type="dxa"/>
              <w:bottom w:w="70" w:type="dxa"/>
              <w:end w:w="80" w:type="dxa"/>
            </w:tcMar>
          </w:tcPr>
          <w:p>
            <w:pPr>
              <w:jc w:val="left"/>
            </w:pPr>
            <w:r>
              <w:rPr>
                <w:rFonts w:ascii="Arimo" w:hAnsi="Arimo" w:eastAsia="Arimo"/>
                <w:b/>
                <w:color w:val="FFFFFF"/>
                <w:sz w:val="18"/>
              </w:rPr>
              <w:t>Component</w:t>
            </w:r>
          </w:p>
        </w:tc>
        <w:tc>
          <w:tcPr>
            <w:tcW w:type="dxa" w:w="7776"/>
            <w:shd w:fill="17365D"/>
            <w:vAlign w:val="center"/>
            <w:tcMar>
              <w:top w:w="70" w:type="dxa"/>
              <w:start w:w="80" w:type="dxa"/>
              <w:bottom w:w="70" w:type="dxa"/>
              <w:end w:w="80" w:type="dxa"/>
            </w:tcMar>
          </w:tcPr>
          <w:p>
            <w:pPr>
              <w:jc w:val="left"/>
            </w:pPr>
            <w:r>
              <w:rPr>
                <w:rFonts w:ascii="Arimo" w:hAnsi="Arimo" w:eastAsia="Arimo"/>
                <w:b/>
                <w:color w:val="FFFFFF"/>
                <w:sz w:val="18"/>
              </w:rPr>
              <w:t>Responsibility</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AWS Amplify Hosting</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Production frontend hosting and public HTTPS URL. Must remain available with the local development machine off.</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Amazon Cognito</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Authentication boundary for protected app actions. Produces JWT consumed by API Gateway authorizer.</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Amazon API Gateway</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Stable public REST boundary. Does not expose internal Step Functions/Bedrock details.</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API Lambda</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Request validation, authorization context, workspace/document/review commands, presigned URLs, idempotency and StartExecution.</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AWS Step Functions</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Stateful async workflow: retries, catches, bounded parallelism, progress state and terminal failure handling.</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Parser/Worker Lambda</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Parse DOCX/XLSX/text PDFs, normalize chunks, preserve source metadata; invoke Textract only when required.</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Amazon Bedrock</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Semantic requirement decomposition, specialist evaluation, evidence reasoning and skeptical verification.</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Deterministic Lambda tools</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Authoritative booleans, thresholds, TCO, formulas, totals and weighted scoring.</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Amazon S3</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Immutable/version-aware source documents, extracted artifacts and downloadable generated reports. Objects stay private.</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Amazon DynamoDB</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Structured domain state, append-only audit history, job status, idempotency and human review records.</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Amazon CloudWatch</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Operational telemetry: request/run correlation, Lambda/Step Functions failures, latency, token and cache metrics.</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AWS IAM</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Separate least-privilege execution roles; no static AWS credentials in repository or frontend.</w:t>
            </w:r>
          </w:p>
        </w:tc>
      </w:tr>
    </w:tbl>
    <w:p>
      <w:pPr>
        <w:pStyle w:val="Heading1"/>
      </w:pPr>
      <w:r>
        <w:t>6. AI Evaluation and CAG Runtime</w:t>
      </w:r>
    </w:p>
    <w:p>
      <w:r>
        <w:rPr>
          <w:rFonts w:ascii="Arimo" w:hAnsi="Arimo" w:eastAsia="Arimo"/>
          <w:color w:val="1F2937"/>
          <w:sz w:val="20"/>
        </w:rPr>
        <w:t>The AI path is evidence-driven rather than chatbot-style. A specialist result is not user-visible until a separate verifier checks source integrity, support/relevance, vendor isolation, contradictions and deterministic-tool provenance.</w:t>
      </w:r>
    </w:p>
    <w:p>
      <w:pPr>
        <w:jc w:val="center"/>
      </w:pPr>
      <w:r>
        <w:rPr>
          <w:rFonts w:ascii="Arimo" w:hAnsi="Arimo" w:eastAsia="Arimo"/>
          <w:b/>
          <w:color w:val="0F6B78"/>
          <w:sz w:val="20"/>
        </w:rPr>
        <w:t>Requirement → Vendor-scoped retrieval → Specialist Evaluator → EvidenceClaim + SourcePointer → Skeptical Verifier → EvaluationResult → Human Review</w:t>
      </w:r>
    </w:p>
    <w:tbl>
      <w:tblPr>
        <w:tblStyle w:val="TableGrid"/>
        <w:tblW w:type="auto" w:w="0"/>
        <w:jc w:val="center"/>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val="true"/>
        </w:trPr>
        <w:tc>
          <w:tcPr>
            <w:tcW w:type="dxa" w:w="2880"/>
            <w:shd w:fill="17365D"/>
            <w:vAlign w:val="center"/>
            <w:tcMar>
              <w:top w:w="70" w:type="dxa"/>
              <w:start w:w="80" w:type="dxa"/>
              <w:bottom w:w="70" w:type="dxa"/>
              <w:end w:w="80" w:type="dxa"/>
            </w:tcMar>
          </w:tcPr>
          <w:p>
            <w:pPr>
              <w:jc w:val="left"/>
            </w:pPr>
            <w:r>
              <w:rPr>
                <w:rFonts w:ascii="Arimo" w:hAnsi="Arimo" w:eastAsia="Arimo"/>
                <w:b/>
                <w:color w:val="FFFFFF"/>
                <w:sz w:val="18"/>
              </w:rPr>
              <w:t>Path</w:t>
            </w:r>
          </w:p>
        </w:tc>
        <w:tc>
          <w:tcPr>
            <w:tcW w:type="dxa" w:w="5184"/>
            <w:shd w:fill="17365D"/>
            <w:vAlign w:val="center"/>
            <w:tcMar>
              <w:top w:w="70" w:type="dxa"/>
              <w:start w:w="80" w:type="dxa"/>
              <w:bottom w:w="70" w:type="dxa"/>
              <w:end w:w="80" w:type="dxa"/>
            </w:tcMar>
          </w:tcPr>
          <w:p>
            <w:pPr>
              <w:jc w:val="left"/>
            </w:pPr>
            <w:r>
              <w:rPr>
                <w:rFonts w:ascii="Arimo" w:hAnsi="Arimo" w:eastAsia="Arimo"/>
                <w:b/>
                <w:color w:val="FFFFFF"/>
                <w:sz w:val="18"/>
              </w:rPr>
              <w:t>Responsibility</w:t>
            </w:r>
          </w:p>
        </w:tc>
        <w:tc>
          <w:tcPr>
            <w:tcW w:type="dxa" w:w="2592"/>
            <w:shd w:fill="17365D"/>
            <w:vAlign w:val="center"/>
            <w:tcMar>
              <w:top w:w="70" w:type="dxa"/>
              <w:start w:w="80" w:type="dxa"/>
              <w:bottom w:w="70" w:type="dxa"/>
              <w:end w:w="80" w:type="dxa"/>
            </w:tcMar>
          </w:tcPr>
          <w:p>
            <w:pPr>
              <w:jc w:val="left"/>
            </w:pPr>
            <w:r>
              <w:rPr>
                <w:rFonts w:ascii="Arimo" w:hAnsi="Arimo" w:eastAsia="Arimo"/>
                <w:b/>
                <w:color w:val="FFFFFF"/>
                <w:sz w:val="18"/>
              </w:rPr>
              <w:t>Authority</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Semantic path — Bedrock</w:t>
            </w:r>
          </w:p>
        </w:tc>
        <w:tc>
          <w:tcPr>
            <w:tcW w:type="dxa" w:w="5184"/>
            <w:tcMar>
              <w:top w:w="70" w:type="dxa"/>
              <w:start w:w="80" w:type="dxa"/>
              <w:bottom w:w="70" w:type="dxa"/>
              <w:end w:w="80" w:type="dxa"/>
            </w:tcMar>
            <w:vAlign w:val="top"/>
          </w:tcPr>
          <w:p>
            <w:pPr>
              <w:spacing w:after="0"/>
            </w:pPr>
            <w:r>
              <w:rPr>
                <w:rFonts w:ascii="Arimo" w:hAnsi="Arimo" w:eastAsia="Arimo"/>
                <w:color w:val="1F2937"/>
                <w:sz w:val="18"/>
              </w:rPr>
              <w:t>Interpret natural language, map evidence, detect narrative contradictions, propose state/score and rationale.</w:t>
            </w:r>
          </w:p>
        </w:tc>
        <w:tc>
          <w:tcPr>
            <w:tcW w:type="dxa" w:w="2592"/>
            <w:tcMar>
              <w:top w:w="70" w:type="dxa"/>
              <w:start w:w="80" w:type="dxa"/>
              <w:bottom w:w="70" w:type="dxa"/>
              <w:end w:w="80" w:type="dxa"/>
            </w:tcMar>
            <w:vAlign w:val="top"/>
          </w:tcPr>
          <w:p>
            <w:pPr>
              <w:spacing w:after="0"/>
            </w:pPr>
            <w:r>
              <w:rPr>
                <w:rFonts w:ascii="Arimo" w:hAnsi="Arimo" w:eastAsia="Arimo"/>
                <w:color w:val="1F2937"/>
                <w:sz w:val="18"/>
              </w:rPr>
              <w:t>Suggestion only; must be grounded and verified.</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Deterministic path — Lambda/Python</w:t>
            </w:r>
          </w:p>
        </w:tc>
        <w:tc>
          <w:tcPr>
            <w:tcW w:type="dxa" w:w="5184"/>
            <w:tcMar>
              <w:top w:w="70" w:type="dxa"/>
              <w:start w:w="80" w:type="dxa"/>
              <w:bottom w:w="70" w:type="dxa"/>
              <w:end w:w="80" w:type="dxa"/>
            </w:tcMar>
            <w:vAlign w:val="top"/>
          </w:tcPr>
          <w:p>
            <w:pPr>
              <w:spacing w:after="0"/>
            </w:pPr>
            <w:r>
              <w:rPr>
                <w:rFonts w:ascii="Arimo" w:hAnsi="Arimo" w:eastAsia="Arimo"/>
                <w:color w:val="1F2937"/>
                <w:sz w:val="18"/>
              </w:rPr>
              <w:t>Evaluate mandatory booleans, numeric thresholds, TCO, formulas, totals and weighted scores.</w:t>
            </w:r>
          </w:p>
        </w:tc>
        <w:tc>
          <w:tcPr>
            <w:tcW w:type="dxa" w:w="2592"/>
            <w:tcMar>
              <w:top w:w="70" w:type="dxa"/>
              <w:start w:w="80" w:type="dxa"/>
              <w:bottom w:w="70" w:type="dxa"/>
              <w:end w:w="80" w:type="dxa"/>
            </w:tcMar>
            <w:vAlign w:val="top"/>
          </w:tcPr>
          <w:p>
            <w:pPr>
              <w:spacing w:after="0"/>
            </w:pPr>
            <w:r>
              <w:rPr>
                <w:rFonts w:ascii="Arimo" w:hAnsi="Arimo" w:eastAsia="Arimo"/>
                <w:color w:val="1F2937"/>
                <w:sz w:val="18"/>
              </w:rPr>
              <w:t>Authoritative for machine-evaluable calculations.</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Skeptical Verifier — Bedrock</w:t>
            </w:r>
          </w:p>
        </w:tc>
        <w:tc>
          <w:tcPr>
            <w:tcW w:type="dxa" w:w="5184"/>
            <w:tcMar>
              <w:top w:w="70" w:type="dxa"/>
              <w:start w:w="80" w:type="dxa"/>
              <w:bottom w:w="70" w:type="dxa"/>
              <w:end w:w="80" w:type="dxa"/>
            </w:tcMar>
            <w:vAlign w:val="top"/>
          </w:tcPr>
          <w:p>
            <w:pPr>
              <w:spacing w:after="0"/>
            </w:pPr>
            <w:r>
              <w:rPr>
                <w:rFonts w:ascii="Arimo" w:hAnsi="Arimo" w:eastAsia="Arimo"/>
                <w:color w:val="1F2937"/>
                <w:sz w:val="18"/>
              </w:rPr>
              <w:t>Resolve citations, test actual support, detect missing/conflicting evidence, enforce canonical states.</w:t>
            </w:r>
          </w:p>
        </w:tc>
        <w:tc>
          <w:tcPr>
            <w:tcW w:type="dxa" w:w="2592"/>
            <w:tcMar>
              <w:top w:w="70" w:type="dxa"/>
              <w:start w:w="80" w:type="dxa"/>
              <w:bottom w:w="70" w:type="dxa"/>
              <w:end w:w="80" w:type="dxa"/>
            </w:tcMar>
            <w:vAlign w:val="top"/>
          </w:tcPr>
          <w:p>
            <w:pPr>
              <w:spacing w:after="0"/>
            </w:pPr>
            <w:r>
              <w:rPr>
                <w:rFonts w:ascii="Arimo" w:hAnsi="Arimo" w:eastAsia="Arimo"/>
                <w:color w:val="1F2937"/>
                <w:sz w:val="18"/>
              </w:rPr>
              <w:t>Gatekeeper before result becomes user-visible.</w:t>
            </w:r>
          </w:p>
        </w:tc>
      </w:tr>
    </w:tbl>
    <w:p>
      <w:pPr>
        <w:pStyle w:val="Heading2"/>
      </w:pPr>
      <w:r>
        <w:t>6.1 Bedrock Prompt Caching / CAG</w:t>
      </w:r>
    </w:p>
    <w:p>
      <w:pPr>
        <w:pStyle w:val="ListBullet"/>
        <w:spacing w:after="40"/>
      </w:pPr>
      <w:r>
        <w:rPr>
          <w:rFonts w:ascii="Arimo" w:hAnsi="Arimo" w:eastAsia="Arimo"/>
          <w:color w:val="1F2937"/>
          <w:sz w:val="20"/>
        </w:rPr>
        <w:t>Stable context: RFP requirements, scoring rubric and shared procurement/evaluation policy.</w:t>
      </w:r>
    </w:p>
    <w:p>
      <w:pPr>
        <w:pStyle w:val="ListBullet"/>
        <w:spacing w:after="40"/>
      </w:pPr>
      <w:r>
        <w:rPr>
          <w:rFonts w:ascii="Arimo" w:hAnsi="Arimo" w:eastAsia="Arimo"/>
          <w:color w:val="1F2937"/>
          <w:sz w:val="20"/>
        </w:rPr>
        <w:t>Place the stable context before vendor-specific evidence and use the same eligible prefix across Vendor A/B/C runs.</w:t>
      </w:r>
    </w:p>
    <w:p>
      <w:pPr>
        <w:pStyle w:val="ListBullet"/>
        <w:spacing w:after="40"/>
      </w:pPr>
      <w:r>
        <w:rPr>
          <w:rFonts w:ascii="Arimo" w:hAnsi="Arimo" w:eastAsia="Arimo"/>
          <w:color w:val="1F2937"/>
          <w:sz w:val="20"/>
        </w:rPr>
        <w:t>Prompt caching is inference-time behavior, not a persistent cache object managed by the application.</w:t>
      </w:r>
    </w:p>
    <w:p>
      <w:pPr>
        <w:pStyle w:val="ListBullet"/>
        <w:spacing w:after="40"/>
      </w:pPr>
      <w:r>
        <w:rPr>
          <w:rFonts w:ascii="Arimo" w:hAnsi="Arimo" w:eastAsia="Arimo"/>
          <w:color w:val="1F2937"/>
          <w:sz w:val="20"/>
        </w:rPr>
        <w:t>Persist actual runtime telemetry: input_tokens, output_tokens, cache_read_input_tokens, cache_write_input_tokens and end-to-end latency.</w:t>
      </w:r>
    </w:p>
    <w:p>
      <w:pPr>
        <w:pStyle w:val="ListBullet"/>
        <w:spacing w:after="40"/>
      </w:pPr>
      <w:r>
        <w:rPr>
          <w:rFonts w:ascii="Arimo" w:hAnsi="Arimo" w:eastAsia="Arimo"/>
          <w:color w:val="1F2937"/>
          <w:sz w:val="20"/>
        </w:rPr>
        <w:t>A “warm” benchmark is valid only when the chosen Bedrock model/API reports cached-input usage; timing alone is not proof of a cache hit.</w:t>
      </w:r>
    </w:p>
    <w:p>
      <w:pPr>
        <w:pStyle w:val="Heading1"/>
      </w:pPr>
      <w:r>
        <w:t>7. Document Extraction Strategy</w:t>
      </w:r>
    </w:p>
    <w:tbl>
      <w:tblPr>
        <w:tblW w:type="auto" w:w="0"/>
        <w:jc w:val="center"/>
        <w:tblLayout w:type="autofit"/>
        <w:tblLook w:firstColumn="1" w:firstRow="1" w:lastColumn="0" w:lastRow="0" w:noHBand="0" w:noVBand="1" w:val="04A0"/>
        <w:tblBorders>
          <w:top w:val="single" w:sz="1" w:space="0" w:color="FFF7ED"/>
          <w:left w:val="single" w:sz="1" w:space="0" w:color="FFF7ED"/>
          <w:bottom w:val="single" w:sz="1" w:space="0" w:color="FFF7ED"/>
          <w:right w:val="single" w:sz="1" w:space="0" w:color="FFF7ED"/>
          <w:insideH w:val="single" w:sz="1" w:space="0" w:color="FFF7ED"/>
          <w:insideV w:val="single" w:sz="1" w:space="0" w:color="FFF7ED"/>
        </w:tblBorders>
      </w:tblPr>
      <w:tblGrid>
        <w:gridCol w:w="10080"/>
      </w:tblGrid>
      <w:tr>
        <w:tc>
          <w:tcPr>
            <w:tcW w:type="dxa" w:w="10080"/>
            <w:shd w:fill="FFF7ED"/>
            <w:tcMar>
              <w:top w:w="110" w:type="dxa"/>
              <w:start w:w="130" w:type="dxa"/>
              <w:bottom w:w="110" w:type="dxa"/>
              <w:end w:w="130" w:type="dxa"/>
            </w:tcMar>
          </w:tcPr>
          <w:p>
            <w:pPr>
              <w:spacing w:after="0"/>
            </w:pPr>
            <w:r>
              <w:rPr>
                <w:rFonts w:ascii="Arimo" w:hAnsi="Arimo" w:eastAsia="Arimo"/>
                <w:b/>
                <w:color w:val="C65911"/>
                <w:sz w:val="20"/>
              </w:rPr>
              <w:t xml:space="preserve">Decision. </w:t>
            </w:r>
            <w:r>
              <w:rPr>
                <w:rFonts w:ascii="Arimo" w:hAnsi="Arimo" w:eastAsia="Arimo"/>
                <w:color w:val="1F2937"/>
                <w:sz w:val="20"/>
              </w:rPr>
              <w:t>Textract is conditional, not the default ingestion path. This keeps the vertical slice faster, cheaper and simpler while preserving an OCR path for scanned sources.</w:t>
            </w:r>
          </w:p>
        </w:tc>
      </w:tr>
    </w:tbl>
    <w:p>
      <w:pPr>
        <w:spacing w:after="20"/>
      </w:pPr>
    </w:p>
    <w:tbl>
      <w:tblPr>
        <w:tblStyle w:val="TableGrid"/>
        <w:tblW w:type="auto" w:w="0"/>
        <w:jc w:val="center"/>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val="true"/>
        </w:trPr>
        <w:tc>
          <w:tcPr>
            <w:tcW w:type="dxa" w:w="2880"/>
            <w:shd w:fill="17365D"/>
            <w:vAlign w:val="center"/>
            <w:tcMar>
              <w:top w:w="70" w:type="dxa"/>
              <w:start w:w="80" w:type="dxa"/>
              <w:bottom w:w="70" w:type="dxa"/>
              <w:end w:w="80" w:type="dxa"/>
            </w:tcMar>
          </w:tcPr>
          <w:p>
            <w:pPr>
              <w:jc w:val="left"/>
            </w:pPr>
            <w:r>
              <w:rPr>
                <w:rFonts w:ascii="Arimo" w:hAnsi="Arimo" w:eastAsia="Arimo"/>
                <w:b/>
                <w:color w:val="FFFFFF"/>
                <w:sz w:val="18"/>
              </w:rPr>
              <w:t>Source type</w:t>
            </w:r>
          </w:p>
        </w:tc>
        <w:tc>
          <w:tcPr>
            <w:tcW w:type="dxa" w:w="3600"/>
            <w:shd w:fill="17365D"/>
            <w:vAlign w:val="center"/>
            <w:tcMar>
              <w:top w:w="70" w:type="dxa"/>
              <w:start w:w="80" w:type="dxa"/>
              <w:bottom w:w="70" w:type="dxa"/>
              <w:end w:w="80" w:type="dxa"/>
            </w:tcMar>
          </w:tcPr>
          <w:p>
            <w:pPr>
              <w:jc w:val="left"/>
            </w:pPr>
            <w:r>
              <w:rPr>
                <w:rFonts w:ascii="Arimo" w:hAnsi="Arimo" w:eastAsia="Arimo"/>
                <w:b/>
                <w:color w:val="FFFFFF"/>
                <w:sz w:val="18"/>
              </w:rPr>
              <w:t>Primary path</w:t>
            </w:r>
          </w:p>
        </w:tc>
        <w:tc>
          <w:tcPr>
            <w:tcW w:type="dxa" w:w="4320"/>
            <w:shd w:fill="17365D"/>
            <w:vAlign w:val="center"/>
            <w:tcMar>
              <w:top w:w="70" w:type="dxa"/>
              <w:start w:w="80" w:type="dxa"/>
              <w:bottom w:w="70" w:type="dxa"/>
              <w:end w:w="80" w:type="dxa"/>
            </w:tcMar>
          </w:tcPr>
          <w:p>
            <w:pPr>
              <w:jc w:val="left"/>
            </w:pPr>
            <w:r>
              <w:rPr>
                <w:rFonts w:ascii="Arimo" w:hAnsi="Arimo" w:eastAsia="Arimo"/>
                <w:b/>
                <w:color w:val="FFFFFF"/>
                <w:sz w:val="18"/>
              </w:rPr>
              <w:t>Fallback / condition</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DOCX</w:t>
            </w:r>
          </w:p>
        </w:tc>
        <w:tc>
          <w:tcPr>
            <w:tcW w:type="dxa" w:w="3600"/>
            <w:tcMar>
              <w:top w:w="70" w:type="dxa"/>
              <w:start w:w="80" w:type="dxa"/>
              <w:bottom w:w="70" w:type="dxa"/>
              <w:end w:w="80" w:type="dxa"/>
            </w:tcMar>
            <w:vAlign w:val="top"/>
          </w:tcPr>
          <w:p>
            <w:pPr>
              <w:spacing w:after="0"/>
            </w:pPr>
            <w:r>
              <w:rPr>
                <w:rFonts w:ascii="Arimo" w:hAnsi="Arimo" w:eastAsia="Arimo"/>
                <w:color w:val="1F2937"/>
                <w:sz w:val="18"/>
              </w:rPr>
              <w:t>Application parser in Lambda</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Preserve heading/section and paragraph/stable extraction locator.</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XLSX</w:t>
            </w:r>
          </w:p>
        </w:tc>
        <w:tc>
          <w:tcPr>
            <w:tcW w:type="dxa" w:w="3600"/>
            <w:tcMar>
              <w:top w:w="70" w:type="dxa"/>
              <w:start w:w="80" w:type="dxa"/>
              <w:bottom w:w="70" w:type="dxa"/>
              <w:end w:w="80" w:type="dxa"/>
            </w:tcMar>
            <w:vAlign w:val="top"/>
          </w:tcPr>
          <w:p>
            <w:pPr>
              <w:spacing w:after="0"/>
            </w:pPr>
            <w:r>
              <w:rPr>
                <w:rFonts w:ascii="Arimo" w:hAnsi="Arimo" w:eastAsia="Arimo"/>
                <w:color w:val="1F2937"/>
                <w:sz w:val="18"/>
              </w:rPr>
              <w:t>Application parser in Lambda</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Preserve workbook, sheet, cell/range or row metadata.</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PDF with text layer</w:t>
            </w:r>
          </w:p>
        </w:tc>
        <w:tc>
          <w:tcPr>
            <w:tcW w:type="dxa" w:w="3600"/>
            <w:tcMar>
              <w:top w:w="70" w:type="dxa"/>
              <w:start w:w="80" w:type="dxa"/>
              <w:bottom w:w="70" w:type="dxa"/>
              <w:end w:w="80" w:type="dxa"/>
            </w:tcMar>
            <w:vAlign w:val="top"/>
          </w:tcPr>
          <w:p>
            <w:pPr>
              <w:spacing w:after="0"/>
            </w:pPr>
            <w:r>
              <w:rPr>
                <w:rFonts w:ascii="Arimo" w:hAnsi="Arimo" w:eastAsia="Arimo"/>
                <w:color w:val="1F2937"/>
                <w:sz w:val="18"/>
              </w:rPr>
              <w:t>PDF text parser in Lambda</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Preserve page and section where available.</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Scanned / image-heavy PDF</w:t>
            </w:r>
          </w:p>
        </w:tc>
        <w:tc>
          <w:tcPr>
            <w:tcW w:type="dxa" w:w="3600"/>
            <w:tcMar>
              <w:top w:w="70" w:type="dxa"/>
              <w:start w:w="80" w:type="dxa"/>
              <w:bottom w:w="70" w:type="dxa"/>
              <w:end w:w="80" w:type="dxa"/>
            </w:tcMar>
            <w:vAlign w:val="top"/>
          </w:tcPr>
          <w:p>
            <w:pPr>
              <w:spacing w:after="0"/>
            </w:pPr>
            <w:r>
              <w:rPr>
                <w:rFonts w:ascii="Arimo" w:hAnsi="Arimo" w:eastAsia="Arimo"/>
                <w:color w:val="1F2937"/>
                <w:sz w:val="18"/>
              </w:rPr>
              <w:t>Amazon Textract</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Invoke only when normal text extraction is insufficient for the controlled fixture.</w:t>
            </w:r>
          </w:p>
        </w:tc>
      </w:tr>
    </w:tbl>
    <w:p>
      <w:r>
        <w:rPr>
          <w:rFonts w:ascii="Arimo" w:hAnsi="Arimo" w:eastAsia="Arimo"/>
          <w:b/>
          <w:color w:val="17365D"/>
          <w:sz w:val="20"/>
        </w:rPr>
        <w:t xml:space="preserve">SourcePointer invariant: </w:t>
      </w:r>
      <w:r>
        <w:rPr>
          <w:rFonts w:ascii="Arimo" w:hAnsi="Arimo" w:eastAsia="Arimo"/>
          <w:color w:val="1F2937"/>
          <w:sz w:val="20"/>
        </w:rPr>
        <w:t>every grounded evidence claim must retain the strongest resolvable document locator available. Extraction optimizations are allowed only if they do not break document/page/section/line or sheet/row traceability.</w:t>
      </w:r>
    </w:p>
    <w:p>
      <w:pPr>
        <w:pStyle w:val="Heading1"/>
      </w:pPr>
      <w:r>
        <w:t>8. Reliability, Retry and Failure Semantics</w:t>
      </w:r>
    </w:p>
    <w:p>
      <w:pPr>
        <w:pStyle w:val="ListBullet"/>
        <w:spacing w:after="40"/>
      </w:pPr>
      <w:r>
        <w:rPr>
          <w:rFonts w:ascii="Arimo" w:hAnsi="Arimo" w:eastAsia="Arimo"/>
          <w:color w:val="1F2937"/>
          <w:sz w:val="20"/>
        </w:rPr>
        <w:t>Set explicit timeout boundaries on workflow tasks; for Bedrock/document tasks, start with a practical 60–120 second per-task envelope and tune from measured runtime rather than treating it as a fixed system law.</w:t>
      </w:r>
    </w:p>
    <w:p>
      <w:pPr>
        <w:pStyle w:val="ListBullet"/>
        <w:spacing w:after="40"/>
      </w:pPr>
      <w:r>
        <w:rPr>
          <w:rFonts w:ascii="Arimo" w:hAnsi="Arimo" w:eastAsia="Arimo"/>
          <w:color w:val="1F2937"/>
          <w:sz w:val="20"/>
        </w:rPr>
        <w:t>Use Step Functions Retry for bounded transient retries and Catch to transition terminal failures to a FAILED job state with a correlated error record.</w:t>
      </w:r>
    </w:p>
    <w:p>
      <w:pPr>
        <w:pStyle w:val="ListBullet"/>
        <w:spacing w:after="40"/>
      </w:pPr>
      <w:r>
        <w:rPr>
          <w:rFonts w:ascii="Arimo" w:hAnsi="Arimo" w:eastAsia="Arimo"/>
          <w:color w:val="1F2937"/>
          <w:sz w:val="20"/>
        </w:rPr>
        <w:t>Do not leave workflows indefinitely RUNNING after a worker failure. Persist failure code, execution/run identifier and failed workflow_step.</w:t>
      </w:r>
    </w:p>
    <w:p>
      <w:pPr>
        <w:pStyle w:val="ListBullet"/>
        <w:spacing w:after="40"/>
      </w:pPr>
      <w:r>
        <w:rPr>
          <w:rFonts w:ascii="Arimo" w:hAnsi="Arimo" w:eastAsia="Arimo"/>
          <w:color w:val="1F2937"/>
          <w:sz w:val="20"/>
        </w:rPr>
        <w:t>Agent structured output must pass typed schema validation. Permit at most one bounded repair/retry; a second validation failure fails closed and must not become a valid EvaluationResult.</w:t>
      </w:r>
    </w:p>
    <w:p>
      <w:pPr>
        <w:pStyle w:val="ListBullet"/>
        <w:spacing w:after="40"/>
      </w:pPr>
      <w:r>
        <w:rPr>
          <w:rFonts w:ascii="Arimo" w:hAnsi="Arimo" w:eastAsia="Arimo"/>
          <w:color w:val="1F2937"/>
          <w:sz w:val="20"/>
        </w:rPr>
        <w:t>Execution failure and evidence insufficiency are different facts. A schema/runtime failure must not be mislabeled INSUFFICIENT_EVIDENCE.</w:t>
      </w:r>
    </w:p>
    <w:p>
      <w:pPr>
        <w:pStyle w:val="ListBullet"/>
        <w:spacing w:after="40"/>
      </w:pPr>
      <w:r>
        <w:rPr>
          <w:rFonts w:ascii="Arimo" w:hAnsi="Arimo" w:eastAsia="Arimo"/>
          <w:color w:val="1F2937"/>
          <w:sz w:val="20"/>
        </w:rPr>
        <w:t>Use an SQS DLQ/failure sink only where an asynchronous event-source path actually requires one. Step Functions synchronous Lambda tasks rely primarily on Retry/Catch and explicit terminal-state handling; do not add SQS solely for diagram decoration.</w:t>
      </w:r>
    </w:p>
    <w:p>
      <w:pPr>
        <w:pStyle w:val="Heading1"/>
      </w:pPr>
      <w:r>
        <w:t>9. Security and IAM Least Privilege</w:t>
      </w:r>
    </w:p>
    <w:p>
      <w:r>
        <w:rPr>
          <w:rFonts w:ascii="Arimo" w:hAnsi="Arimo" w:eastAsia="Arimo"/>
          <w:color w:val="1F2937"/>
          <w:sz w:val="20"/>
        </w:rPr>
        <w:t>Use separate execution roles by responsibility rather than one broad application role. Exact resource ARNs are deployment-specific, but the permission surface should follow the table below.</w:t>
      </w:r>
    </w:p>
    <w:tbl>
      <w:tblPr>
        <w:tblStyle w:val="TableGrid"/>
        <w:tblW w:type="auto" w:w="0"/>
        <w:jc w:val="center"/>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5040"/>
        <w:gridCol w:w="5040"/>
      </w:tblGrid>
      <w:tr>
        <w:trPr>
          <w:tblHeader w:val="true"/>
        </w:trPr>
        <w:tc>
          <w:tcPr>
            <w:tcW w:type="dxa" w:w="3168"/>
            <w:shd w:fill="17365D"/>
            <w:vAlign w:val="center"/>
            <w:tcMar>
              <w:top w:w="70" w:type="dxa"/>
              <w:start w:w="80" w:type="dxa"/>
              <w:bottom w:w="70" w:type="dxa"/>
              <w:end w:w="80" w:type="dxa"/>
            </w:tcMar>
          </w:tcPr>
          <w:p>
            <w:pPr>
              <w:jc w:val="left"/>
            </w:pPr>
            <w:r>
              <w:rPr>
                <w:rFonts w:ascii="Arimo" w:hAnsi="Arimo" w:eastAsia="Arimo"/>
                <w:b/>
                <w:color w:val="FFFFFF"/>
                <w:sz w:val="18"/>
              </w:rPr>
              <w:t>Principal / role</w:t>
            </w:r>
          </w:p>
        </w:tc>
        <w:tc>
          <w:tcPr>
            <w:tcW w:type="dxa" w:w="7632"/>
            <w:shd w:fill="17365D"/>
            <w:vAlign w:val="center"/>
            <w:tcMar>
              <w:top w:w="70" w:type="dxa"/>
              <w:start w:w="80" w:type="dxa"/>
              <w:bottom w:w="70" w:type="dxa"/>
              <w:end w:w="80" w:type="dxa"/>
            </w:tcMar>
          </w:tcPr>
          <w:p>
            <w:pPr>
              <w:jc w:val="left"/>
            </w:pPr>
            <w:r>
              <w:rPr>
                <w:rFonts w:ascii="Arimo" w:hAnsi="Arimo" w:eastAsia="Arimo"/>
                <w:b/>
                <w:color w:val="FFFFFF"/>
                <w:sz w:val="18"/>
              </w:rPr>
              <w:t>Minimum responsibility-oriented permissions</w:t>
            </w:r>
          </w:p>
        </w:tc>
      </w:tr>
      <w:tr>
        <w:tc>
          <w:tcPr>
            <w:tcW w:type="dxa" w:w="3168"/>
            <w:tcMar>
              <w:top w:w="70" w:type="dxa"/>
              <w:start w:w="80" w:type="dxa"/>
              <w:bottom w:w="70" w:type="dxa"/>
              <w:end w:w="80" w:type="dxa"/>
            </w:tcMar>
            <w:vAlign w:val="top"/>
          </w:tcPr>
          <w:p>
            <w:pPr>
              <w:spacing w:after="0"/>
            </w:pPr>
            <w:r>
              <w:rPr>
                <w:rFonts w:ascii="Arimo" w:hAnsi="Arimo" w:eastAsia="Arimo"/>
                <w:color w:val="1F2937"/>
                <w:sz w:val="18"/>
              </w:rPr>
              <w:t>API Handler Lambda role</w:t>
            </w:r>
          </w:p>
        </w:tc>
        <w:tc>
          <w:tcPr>
            <w:tcW w:type="dxa" w:w="7632"/>
            <w:tcMar>
              <w:top w:w="70" w:type="dxa"/>
              <w:start w:w="80" w:type="dxa"/>
              <w:bottom w:w="70" w:type="dxa"/>
              <w:end w:w="80" w:type="dxa"/>
            </w:tcMar>
            <w:vAlign w:val="top"/>
          </w:tcPr>
          <w:p>
            <w:pPr>
              <w:spacing w:after="0"/>
            </w:pPr>
            <w:r>
              <w:rPr>
                <w:rFonts w:ascii="Arimo" w:hAnsi="Arimo" w:eastAsia="Arimo"/>
                <w:color w:val="1F2937"/>
                <w:sz w:val="18"/>
              </w:rPr>
              <w:t>DynamoDB read/write required by workspace/document/review/idempotency commands; S3 PutObject permission for presigned upload signing plus read/metadata access needed to verify complete-upload; states:StartExecution; CloudWatch Logs.</w:t>
            </w:r>
          </w:p>
        </w:tc>
      </w:tr>
      <w:tr>
        <w:tc>
          <w:tcPr>
            <w:tcW w:type="dxa" w:w="3168"/>
            <w:tcMar>
              <w:top w:w="70" w:type="dxa"/>
              <w:start w:w="80" w:type="dxa"/>
              <w:bottom w:w="70" w:type="dxa"/>
              <w:end w:w="80" w:type="dxa"/>
            </w:tcMar>
            <w:vAlign w:val="top"/>
          </w:tcPr>
          <w:p>
            <w:pPr>
              <w:spacing w:after="0"/>
            </w:pPr>
            <w:r>
              <w:rPr>
                <w:rFonts w:ascii="Arimo" w:hAnsi="Arimo" w:eastAsia="Arimo"/>
                <w:color w:val="1F2937"/>
                <w:sz w:val="18"/>
              </w:rPr>
              <w:t>Workflow execution role</w:t>
            </w:r>
          </w:p>
        </w:tc>
        <w:tc>
          <w:tcPr>
            <w:tcW w:type="dxa" w:w="7632"/>
            <w:tcMar>
              <w:top w:w="70" w:type="dxa"/>
              <w:start w:w="80" w:type="dxa"/>
              <w:bottom w:w="70" w:type="dxa"/>
              <w:end w:w="80" w:type="dxa"/>
            </w:tcMar>
            <w:vAlign w:val="top"/>
          </w:tcPr>
          <w:p>
            <w:pPr>
              <w:spacing w:after="0"/>
            </w:pPr>
            <w:r>
              <w:rPr>
                <w:rFonts w:ascii="Arimo" w:hAnsi="Arimo" w:eastAsia="Arimo"/>
                <w:color w:val="1F2937"/>
                <w:sz w:val="18"/>
              </w:rPr>
              <w:t>Invoke only the named worker Lambda functions (or named service integrations) and write execution logs/metrics.</w:t>
            </w:r>
          </w:p>
        </w:tc>
      </w:tr>
      <w:tr>
        <w:tc>
          <w:tcPr>
            <w:tcW w:type="dxa" w:w="3168"/>
            <w:tcMar>
              <w:top w:w="70" w:type="dxa"/>
              <w:start w:w="80" w:type="dxa"/>
              <w:bottom w:w="70" w:type="dxa"/>
              <w:end w:w="80" w:type="dxa"/>
            </w:tcMar>
            <w:vAlign w:val="top"/>
          </w:tcPr>
          <w:p>
            <w:pPr>
              <w:spacing w:after="0"/>
            </w:pPr>
            <w:r>
              <w:rPr>
                <w:rFonts w:ascii="Arimo" w:hAnsi="Arimo" w:eastAsia="Arimo"/>
                <w:color w:val="1F2937"/>
                <w:sz w:val="18"/>
              </w:rPr>
              <w:t>Background worker role</w:t>
            </w:r>
          </w:p>
        </w:tc>
        <w:tc>
          <w:tcPr>
            <w:tcW w:type="dxa" w:w="7632"/>
            <w:tcMar>
              <w:top w:w="70" w:type="dxa"/>
              <w:start w:w="80" w:type="dxa"/>
              <w:bottom w:w="70" w:type="dxa"/>
              <w:end w:w="80" w:type="dxa"/>
            </w:tcMar>
            <w:vAlign w:val="top"/>
          </w:tcPr>
          <w:p>
            <w:pPr>
              <w:spacing w:after="0"/>
            </w:pPr>
            <w:r>
              <w:rPr>
                <w:rFonts w:ascii="Arimo" w:hAnsi="Arimo" w:eastAsia="Arimo"/>
                <w:color w:val="1F2937"/>
                <w:sz w:val="18"/>
              </w:rPr>
              <w:t>Read source objects from permitted S3 prefixes; write normalized artifacts; invoke the chosen Bedrock model; call Textract only if the OCR branch is enabled; write only required DynamoDB entities; CloudWatch Logs.</w:t>
            </w:r>
          </w:p>
        </w:tc>
      </w:tr>
      <w:tr>
        <w:tc>
          <w:tcPr>
            <w:tcW w:type="dxa" w:w="3168"/>
            <w:tcMar>
              <w:top w:w="70" w:type="dxa"/>
              <w:start w:w="80" w:type="dxa"/>
              <w:bottom w:w="70" w:type="dxa"/>
              <w:end w:w="80" w:type="dxa"/>
            </w:tcMar>
            <w:vAlign w:val="top"/>
          </w:tcPr>
          <w:p>
            <w:pPr>
              <w:spacing w:after="0"/>
            </w:pPr>
            <w:r>
              <w:rPr>
                <w:rFonts w:ascii="Arimo" w:hAnsi="Arimo" w:eastAsia="Arimo"/>
                <w:color w:val="1F2937"/>
                <w:sz w:val="18"/>
              </w:rPr>
              <w:t>Deterministic tool Lambda role</w:t>
            </w:r>
          </w:p>
        </w:tc>
        <w:tc>
          <w:tcPr>
            <w:tcW w:type="dxa" w:w="7632"/>
            <w:tcMar>
              <w:top w:w="70" w:type="dxa"/>
              <w:start w:w="80" w:type="dxa"/>
              <w:bottom w:w="70" w:type="dxa"/>
              <w:end w:w="80" w:type="dxa"/>
            </w:tcMar>
            <w:vAlign w:val="top"/>
          </w:tcPr>
          <w:p>
            <w:pPr>
              <w:spacing w:after="0"/>
            </w:pPr>
            <w:r>
              <w:rPr>
                <w:rFonts w:ascii="Arimo" w:hAnsi="Arimo" w:eastAsia="Arimo"/>
                <w:color w:val="1F2937"/>
                <w:sz w:val="18"/>
              </w:rPr>
              <w:t>Minimal DynamoDB/S3 access needed for inputs/outputs; no Bedrock permission unless a concrete tool requires it.</w:t>
            </w:r>
          </w:p>
        </w:tc>
      </w:tr>
      <w:tr>
        <w:tc>
          <w:tcPr>
            <w:tcW w:type="dxa" w:w="3168"/>
            <w:tcMar>
              <w:top w:w="70" w:type="dxa"/>
              <w:start w:w="80" w:type="dxa"/>
              <w:bottom w:w="70" w:type="dxa"/>
              <w:end w:w="80" w:type="dxa"/>
            </w:tcMar>
            <w:vAlign w:val="top"/>
          </w:tcPr>
          <w:p>
            <w:pPr>
              <w:spacing w:after="0"/>
            </w:pPr>
            <w:r>
              <w:rPr>
                <w:rFonts w:ascii="Arimo" w:hAnsi="Arimo" w:eastAsia="Arimo"/>
                <w:color w:val="1F2937"/>
                <w:sz w:val="18"/>
              </w:rPr>
              <w:t>Export Lambda role</w:t>
            </w:r>
          </w:p>
        </w:tc>
        <w:tc>
          <w:tcPr>
            <w:tcW w:type="dxa" w:w="7632"/>
            <w:tcMar>
              <w:top w:w="70" w:type="dxa"/>
              <w:start w:w="80" w:type="dxa"/>
              <w:bottom w:w="70" w:type="dxa"/>
              <w:end w:w="80" w:type="dxa"/>
            </w:tcMar>
            <w:vAlign w:val="top"/>
          </w:tcPr>
          <w:p>
            <w:pPr>
              <w:spacing w:after="0"/>
            </w:pPr>
            <w:r>
              <w:rPr>
                <w:rFonts w:ascii="Arimo" w:hAnsi="Arimo" w:eastAsia="Arimo"/>
                <w:color w:val="1F2937"/>
                <w:sz w:val="18"/>
              </w:rPr>
              <w:t>Read human-confirmed structured evaluation state and write report objects to the designated S3 report prefix.</w:t>
            </w:r>
          </w:p>
        </w:tc>
      </w:tr>
      <w:tr>
        <w:tc>
          <w:tcPr>
            <w:tcW w:type="dxa" w:w="3168"/>
            <w:tcMar>
              <w:top w:w="70" w:type="dxa"/>
              <w:start w:w="80" w:type="dxa"/>
              <w:bottom w:w="70" w:type="dxa"/>
              <w:end w:w="80" w:type="dxa"/>
            </w:tcMar>
            <w:vAlign w:val="top"/>
          </w:tcPr>
          <w:p>
            <w:pPr>
              <w:spacing w:after="0"/>
            </w:pPr>
            <w:r>
              <w:rPr>
                <w:rFonts w:ascii="Arimo" w:hAnsi="Arimo" w:eastAsia="Arimo"/>
                <w:color w:val="1F2937"/>
                <w:sz w:val="18"/>
              </w:rPr>
              <w:t>Coding-agent AWS connection</w:t>
            </w:r>
          </w:p>
        </w:tc>
        <w:tc>
          <w:tcPr>
            <w:tcW w:type="dxa" w:w="7632"/>
            <w:tcMar>
              <w:top w:w="70" w:type="dxa"/>
              <w:start w:w="80" w:type="dxa"/>
              <w:bottom w:w="70" w:type="dxa"/>
              <w:end w:w="80" w:type="dxa"/>
            </w:tcMar>
            <w:vAlign w:val="top"/>
          </w:tcPr>
          <w:p>
            <w:pPr>
              <w:spacing w:after="0"/>
            </w:pPr>
            <w:r>
              <w:rPr>
                <w:rFonts w:ascii="Arimo" w:hAnsi="Arimo" w:eastAsia="Arimo"/>
                <w:color w:val="1F2937"/>
                <w:sz w:val="18"/>
              </w:rPr>
              <w:t>Dedicated least-privilege identity/role for deployment/inspection tasks; never commit long-term credentials.</w:t>
            </w:r>
          </w:p>
        </w:tc>
      </w:tr>
    </w:tbl>
    <w:p>
      <w:pPr>
        <w:pStyle w:val="ListBullet"/>
        <w:spacing w:after="40"/>
      </w:pPr>
      <w:r>
        <w:rPr>
          <w:rFonts w:ascii="Arimo" w:hAnsi="Arimo" w:eastAsia="Arimo"/>
          <w:color w:val="1F2937"/>
          <w:sz w:val="20"/>
        </w:rPr>
        <w:t>S3 source objects are private; anonymous reads are denied.</w:t>
      </w:r>
    </w:p>
    <w:p>
      <w:pPr>
        <w:pStyle w:val="ListBullet"/>
        <w:spacing w:after="40"/>
      </w:pPr>
      <w:r>
        <w:rPr>
          <w:rFonts w:ascii="Arimo" w:hAnsi="Arimo" w:eastAsia="Arimo"/>
          <w:color w:val="1F2937"/>
          <w:sz w:val="20"/>
        </w:rPr>
        <w:t>Presigned URLs are short-lived and scoped to the expected object/key operation.</w:t>
      </w:r>
    </w:p>
    <w:p>
      <w:pPr>
        <w:pStyle w:val="ListBullet"/>
        <w:spacing w:after="40"/>
      </w:pPr>
      <w:r>
        <w:rPr>
          <w:rFonts w:ascii="Arimo" w:hAnsi="Arimo" w:eastAsia="Arimo"/>
          <w:color w:val="1F2937"/>
          <w:sz w:val="20"/>
        </w:rPr>
        <w:t>Do not log JWTs, access keys, secret keys, session tokens, complete presigned URLs or confidential raw document bodies.</w:t>
      </w:r>
    </w:p>
    <w:p>
      <w:pPr>
        <w:pStyle w:val="ListBullet"/>
        <w:spacing w:after="40"/>
      </w:pPr>
      <w:r>
        <w:rPr>
          <w:rFonts w:ascii="Arimo" w:hAnsi="Arimo" w:eastAsia="Arimo"/>
          <w:color w:val="1F2937"/>
          <w:sz w:val="20"/>
        </w:rPr>
        <w:t>Every vendor-scoped request validates that vendor_id + proposal_id belong to the same evaluation workspace.</w:t>
      </w:r>
    </w:p>
    <w:p>
      <w:pPr>
        <w:pStyle w:val="Heading1"/>
      </w:pPr>
      <w:r>
        <w:t>10. Observability and Audit Separation</w:t>
      </w:r>
    </w:p>
    <w:tbl>
      <w:tblPr>
        <w:tblStyle w:val="TableGrid"/>
        <w:tblW w:type="auto" w:w="0"/>
        <w:jc w:val="center"/>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val="true"/>
        </w:trPr>
        <w:tc>
          <w:tcPr>
            <w:tcW w:type="dxa" w:w="2448"/>
            <w:shd w:fill="17365D"/>
            <w:vAlign w:val="center"/>
            <w:tcMar>
              <w:top w:w="70" w:type="dxa"/>
              <w:start w:w="80" w:type="dxa"/>
              <w:bottom w:w="70" w:type="dxa"/>
              <w:end w:w="80" w:type="dxa"/>
            </w:tcMar>
          </w:tcPr>
          <w:p>
            <w:pPr>
              <w:jc w:val="left"/>
            </w:pPr>
            <w:r>
              <w:rPr>
                <w:rFonts w:ascii="Arimo" w:hAnsi="Arimo" w:eastAsia="Arimo"/>
                <w:b/>
                <w:color w:val="FFFFFF"/>
                <w:sz w:val="18"/>
              </w:rPr>
              <w:t>Layer</w:t>
            </w:r>
          </w:p>
        </w:tc>
        <w:tc>
          <w:tcPr>
            <w:tcW w:type="dxa" w:w="3600"/>
            <w:shd w:fill="17365D"/>
            <w:vAlign w:val="center"/>
            <w:tcMar>
              <w:top w:w="70" w:type="dxa"/>
              <w:start w:w="80" w:type="dxa"/>
              <w:bottom w:w="70" w:type="dxa"/>
              <w:end w:w="80" w:type="dxa"/>
            </w:tcMar>
          </w:tcPr>
          <w:p>
            <w:pPr>
              <w:jc w:val="left"/>
            </w:pPr>
            <w:r>
              <w:rPr>
                <w:rFonts w:ascii="Arimo" w:hAnsi="Arimo" w:eastAsia="Arimo"/>
                <w:b/>
                <w:color w:val="FFFFFF"/>
                <w:sz w:val="18"/>
              </w:rPr>
              <w:t>Purpose</w:t>
            </w:r>
          </w:p>
        </w:tc>
        <w:tc>
          <w:tcPr>
            <w:tcW w:type="dxa" w:w="4752"/>
            <w:shd w:fill="17365D"/>
            <w:vAlign w:val="center"/>
            <w:tcMar>
              <w:top w:w="70" w:type="dxa"/>
              <w:start w:w="80" w:type="dxa"/>
              <w:bottom w:w="70" w:type="dxa"/>
              <w:end w:w="80" w:type="dxa"/>
            </w:tcMar>
          </w:tcPr>
          <w:p>
            <w:pPr>
              <w:jc w:val="left"/>
            </w:pPr>
            <w:r>
              <w:rPr>
                <w:rFonts w:ascii="Arimo" w:hAnsi="Arimo" w:eastAsia="Arimo"/>
                <w:b/>
                <w:color w:val="FFFFFF"/>
                <w:sz w:val="18"/>
              </w:rPr>
              <w:t>Examples</w:t>
            </w:r>
          </w:p>
        </w:tc>
      </w:tr>
      <w:tr>
        <w:tc>
          <w:tcPr>
            <w:tcW w:type="dxa" w:w="2448"/>
            <w:tcMar>
              <w:top w:w="70" w:type="dxa"/>
              <w:start w:w="80" w:type="dxa"/>
              <w:bottom w:w="70" w:type="dxa"/>
              <w:end w:w="80" w:type="dxa"/>
            </w:tcMar>
            <w:vAlign w:val="top"/>
          </w:tcPr>
          <w:p>
            <w:pPr>
              <w:spacing w:after="0"/>
            </w:pPr>
            <w:r>
              <w:rPr>
                <w:rFonts w:ascii="Arimo" w:hAnsi="Arimo" w:eastAsia="Arimo"/>
                <w:color w:val="1F2937"/>
                <w:sz w:val="18"/>
              </w:rPr>
              <w:t>Amazon CloudWatch</w:t>
            </w:r>
          </w:p>
        </w:tc>
        <w:tc>
          <w:tcPr>
            <w:tcW w:type="dxa" w:w="3600"/>
            <w:tcMar>
              <w:top w:w="70" w:type="dxa"/>
              <w:start w:w="80" w:type="dxa"/>
              <w:bottom w:w="70" w:type="dxa"/>
              <w:end w:w="80" w:type="dxa"/>
            </w:tcMar>
            <w:vAlign w:val="top"/>
          </w:tcPr>
          <w:p>
            <w:pPr>
              <w:spacing w:after="0"/>
            </w:pPr>
            <w:r>
              <w:rPr>
                <w:rFonts w:ascii="Arimo" w:hAnsi="Arimo" w:eastAsia="Arimo"/>
                <w:color w:val="1F2937"/>
                <w:sz w:val="18"/>
              </w:rPr>
              <w:t>Operational telemetry and debugging.</w:t>
            </w:r>
          </w:p>
        </w:tc>
        <w:tc>
          <w:tcPr>
            <w:tcW w:type="dxa" w:w="4752"/>
            <w:tcMar>
              <w:top w:w="70" w:type="dxa"/>
              <w:start w:w="80" w:type="dxa"/>
              <w:bottom w:w="70" w:type="dxa"/>
              <w:end w:w="80" w:type="dxa"/>
            </w:tcMar>
            <w:vAlign w:val="top"/>
          </w:tcPr>
          <w:p>
            <w:pPr>
              <w:spacing w:after="0"/>
            </w:pPr>
            <w:r>
              <w:rPr>
                <w:rFonts w:ascii="Arimo" w:hAnsi="Arimo" w:eastAsia="Arimo"/>
                <w:color w:val="1F2937"/>
                <w:sz w:val="18"/>
              </w:rPr>
              <w:t>request_id, evaluation_id, run_id, agent_type, model_id, workflow_step, latency_ms, input/output/cache tokens, retry_count, error_code.</w:t>
            </w:r>
          </w:p>
        </w:tc>
      </w:tr>
      <w:tr>
        <w:tc>
          <w:tcPr>
            <w:tcW w:type="dxa" w:w="2448"/>
            <w:tcMar>
              <w:top w:w="70" w:type="dxa"/>
              <w:start w:w="80" w:type="dxa"/>
              <w:bottom w:w="70" w:type="dxa"/>
              <w:end w:w="80" w:type="dxa"/>
            </w:tcMar>
            <w:vAlign w:val="top"/>
          </w:tcPr>
          <w:p>
            <w:pPr>
              <w:spacing w:after="0"/>
            </w:pPr>
            <w:r>
              <w:rPr>
                <w:rFonts w:ascii="Arimo" w:hAnsi="Arimo" w:eastAsia="Arimo"/>
                <w:color w:val="1F2937"/>
                <w:sz w:val="18"/>
              </w:rPr>
              <w:t>DynamoDB AuditEvent</w:t>
            </w:r>
          </w:p>
        </w:tc>
        <w:tc>
          <w:tcPr>
            <w:tcW w:type="dxa" w:w="3600"/>
            <w:tcMar>
              <w:top w:w="70" w:type="dxa"/>
              <w:start w:w="80" w:type="dxa"/>
              <w:bottom w:w="70" w:type="dxa"/>
              <w:end w:w="80" w:type="dxa"/>
            </w:tcMar>
            <w:vAlign w:val="top"/>
          </w:tcPr>
          <w:p>
            <w:pPr>
              <w:spacing w:after="0"/>
            </w:pPr>
            <w:r>
              <w:rPr>
                <w:rFonts w:ascii="Arimo" w:hAnsi="Arimo" w:eastAsia="Arimo"/>
                <w:color w:val="1F2937"/>
                <w:sz w:val="18"/>
              </w:rPr>
              <w:t>Business-level append-only audit trail.</w:t>
            </w:r>
          </w:p>
        </w:tc>
        <w:tc>
          <w:tcPr>
            <w:tcW w:type="dxa" w:w="4752"/>
            <w:tcMar>
              <w:top w:w="70" w:type="dxa"/>
              <w:start w:w="80" w:type="dxa"/>
              <w:bottom w:w="70" w:type="dxa"/>
              <w:end w:w="80" w:type="dxa"/>
            </w:tcMar>
            <w:vAlign w:val="top"/>
          </w:tcPr>
          <w:p>
            <w:pPr>
              <w:spacing w:after="0"/>
            </w:pPr>
            <w:r>
              <w:rPr>
                <w:rFonts w:ascii="Arimo" w:hAnsi="Arimo" w:eastAsia="Arimo"/>
                <w:color w:val="1F2937"/>
                <w:sz w:val="18"/>
              </w:rPr>
              <w:t>Requirement extraction, evidence verification, contradiction detected, human accepted/overridden, report exported.</w:t>
            </w:r>
          </w:p>
        </w:tc>
      </w:tr>
    </w:tbl>
    <w:p>
      <w:r>
        <w:rPr>
          <w:rFonts w:ascii="Arimo" w:hAnsi="Arimo" w:eastAsia="Arimo"/>
          <w:b/>
          <w:color w:val="B91C1C"/>
          <w:sz w:val="20"/>
        </w:rPr>
        <w:t xml:space="preserve">Rule: </w:t>
      </w:r>
      <w:r>
        <w:rPr>
          <w:rFonts w:ascii="Arimo" w:hAnsi="Arimo" w:eastAsia="Arimo"/>
          <w:color w:val="1F2937"/>
          <w:sz w:val="20"/>
        </w:rPr>
        <w:t>CloudWatch is not a substitute for AuditEvent, and AuditEvent is not a substitute for production logs. One explains runtime behavior; the other preserves procurement decision history.</w:t>
      </w:r>
    </w:p>
    <w:p>
      <w:pPr>
        <w:pStyle w:val="Heading1"/>
      </w:pPr>
      <w:r>
        <w:t>11. Step Functions vs. AgentCore Decision</w:t>
      </w:r>
    </w:p>
    <w:tbl>
      <w:tblPr>
        <w:tblStyle w:val="TableGrid"/>
        <w:tblW w:type="auto" w:w="0"/>
        <w:jc w:val="center"/>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5040"/>
        <w:gridCol w:w="5040"/>
      </w:tblGrid>
      <w:tr>
        <w:trPr>
          <w:tblHeader w:val="true"/>
        </w:trPr>
        <w:tc>
          <w:tcPr>
            <w:tcW w:type="dxa" w:w="2880"/>
            <w:shd w:fill="17365D"/>
            <w:vAlign w:val="center"/>
            <w:tcMar>
              <w:top w:w="70" w:type="dxa"/>
              <w:start w:w="80" w:type="dxa"/>
              <w:bottom w:w="70" w:type="dxa"/>
              <w:end w:w="80" w:type="dxa"/>
            </w:tcMar>
          </w:tcPr>
          <w:p>
            <w:pPr>
              <w:jc w:val="left"/>
            </w:pPr>
            <w:r>
              <w:rPr>
                <w:rFonts w:ascii="Arimo" w:hAnsi="Arimo" w:eastAsia="Arimo"/>
                <w:b/>
                <w:color w:val="FFFFFF"/>
                <w:sz w:val="18"/>
              </w:rPr>
              <w:t>Decision area</w:t>
            </w:r>
          </w:p>
        </w:tc>
        <w:tc>
          <w:tcPr>
            <w:tcW w:type="dxa" w:w="7776"/>
            <w:shd w:fill="17365D"/>
            <w:vAlign w:val="center"/>
            <w:tcMar>
              <w:top w:w="70" w:type="dxa"/>
              <w:start w:w="80" w:type="dxa"/>
              <w:bottom w:w="70" w:type="dxa"/>
              <w:end w:w="80" w:type="dxa"/>
            </w:tcMar>
          </w:tcPr>
          <w:p>
            <w:pPr>
              <w:jc w:val="left"/>
            </w:pPr>
            <w:r>
              <w:rPr>
                <w:rFonts w:ascii="Arimo" w:hAnsi="Arimo" w:eastAsia="Arimo"/>
                <w:b/>
                <w:color w:val="FFFFFF"/>
                <w:sz w:val="18"/>
              </w:rPr>
              <w:t>MVP position</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Primary orchestration</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AWS Step Functions.</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Why</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Explicit state machine, Retry/Catch/timeout semantics, execution history and AWS Console visibility; suitable for hackathon proof and contract-first async jobs.</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AgentCore</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Not required in the MVP baseline. Consider only if it replaces a defined orchestration/runtime responsibility without duplicating Step Functions.</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API coupling</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None. Frontend sees job/run contracts, not the orchestration technology.</w:t>
            </w:r>
          </w:p>
        </w:tc>
      </w:tr>
      <w:tr>
        <w:tc>
          <w:tcPr>
            <w:tcW w:type="dxa" w:w="2880"/>
            <w:tcMar>
              <w:top w:w="70" w:type="dxa"/>
              <w:start w:w="80" w:type="dxa"/>
              <w:bottom w:w="70" w:type="dxa"/>
              <w:end w:w="80" w:type="dxa"/>
            </w:tcMar>
            <w:vAlign w:val="top"/>
          </w:tcPr>
          <w:p>
            <w:pPr>
              <w:spacing w:after="0"/>
            </w:pPr>
            <w:r>
              <w:rPr>
                <w:rFonts w:ascii="Arimo" w:hAnsi="Arimo" w:eastAsia="Arimo"/>
                <w:color w:val="1F2937"/>
                <w:sz w:val="18"/>
              </w:rPr>
              <w:t>Future flexibility</w:t>
            </w:r>
          </w:p>
        </w:tc>
        <w:tc>
          <w:tcPr>
            <w:tcW w:type="dxa" w:w="7776"/>
            <w:tcMar>
              <w:top w:w="70" w:type="dxa"/>
              <w:start w:w="80" w:type="dxa"/>
              <w:bottom w:w="70" w:type="dxa"/>
              <w:end w:w="80" w:type="dxa"/>
            </w:tcMar>
            <w:vAlign w:val="top"/>
          </w:tcPr>
          <w:p>
            <w:pPr>
              <w:spacing w:after="0"/>
            </w:pPr>
            <w:r>
              <w:rPr>
                <w:rFonts w:ascii="Arimo" w:hAnsi="Arimo" w:eastAsia="Arimo"/>
                <w:color w:val="1F2937"/>
                <w:sz w:val="18"/>
              </w:rPr>
              <w:t>The internal runtime may be replaced later if the canonical evidence trace and API contracts remain intact.</w:t>
            </w:r>
          </w:p>
        </w:tc>
      </w:tr>
    </w:tbl>
    <w:p>
      <w:pPr>
        <w:pStyle w:val="Heading1"/>
      </w:pPr>
      <w:r>
        <w:t>12. Non-Negotiable Architecture Invariants</w:t>
      </w:r>
    </w:p>
    <w:p>
      <w:pPr>
        <w:pStyle w:val="ListBullet"/>
        <w:spacing w:after="40"/>
      </w:pPr>
      <w:r>
        <w:rPr>
          <w:rFonts w:ascii="Arimo" w:hAnsi="Arimo" w:eastAsia="Arimo"/>
          <w:color w:val="1F2937"/>
          <w:sz w:val="20"/>
        </w:rPr>
        <w:t>Frontend never consumes raw Bedrock / agent JSON directly.</w:t>
      </w:r>
    </w:p>
    <w:p>
      <w:pPr>
        <w:pStyle w:val="ListBullet"/>
        <w:spacing w:after="40"/>
      </w:pPr>
      <w:r>
        <w:rPr>
          <w:rFonts w:ascii="Arimo" w:hAnsi="Arimo" w:eastAsia="Arimo"/>
          <w:color w:val="1F2937"/>
          <w:sz w:val="20"/>
        </w:rPr>
        <w:t>Every user-visible factual assessment has a resolvable SourcePointer or explicit evidentiary abstention.</w:t>
      </w:r>
    </w:p>
    <w:p>
      <w:pPr>
        <w:pStyle w:val="ListBullet"/>
        <w:spacing w:after="40"/>
      </w:pPr>
      <w:r>
        <w:rPr>
          <w:rFonts w:ascii="Arimo" w:hAnsi="Arimo" w:eastAsia="Arimo"/>
          <w:color w:val="1F2937"/>
          <w:sz w:val="20"/>
        </w:rPr>
        <w:t>Vendor retrieval/evaluation is isolated by vendor_id + proposal_id.</w:t>
      </w:r>
    </w:p>
    <w:p>
      <w:pPr>
        <w:pStyle w:val="ListBullet"/>
        <w:spacing w:after="40"/>
      </w:pPr>
      <w:r>
        <w:rPr>
          <w:rFonts w:ascii="Arimo" w:hAnsi="Arimo" w:eastAsia="Arimo"/>
          <w:color w:val="1F2937"/>
          <w:sz w:val="20"/>
        </w:rPr>
        <w:t>Deterministic calculations are authoritative and traceable separately from LLM rationale.</w:t>
      </w:r>
    </w:p>
    <w:p>
      <w:pPr>
        <w:pStyle w:val="ListBullet"/>
        <w:spacing w:after="40"/>
      </w:pPr>
      <w:r>
        <w:rPr>
          <w:rFonts w:ascii="Arimo" w:hAnsi="Arimo" w:eastAsia="Arimo"/>
          <w:color w:val="1F2937"/>
          <w:sz w:val="20"/>
        </w:rPr>
        <w:t>CONFLICTING_EVIDENCE preserves both source-backed sides using explicit conflict pairs.</w:t>
      </w:r>
    </w:p>
    <w:p>
      <w:pPr>
        <w:pStyle w:val="ListBullet"/>
        <w:spacing w:after="40"/>
      </w:pPr>
      <w:r>
        <w:rPr>
          <w:rFonts w:ascii="Arimo" w:hAnsi="Arimo" w:eastAsia="Arimo"/>
          <w:color w:val="1F2937"/>
          <w:sz w:val="20"/>
        </w:rPr>
        <w:t>Human review remains final authority; original system suggestion is preserved after override.</w:t>
      </w:r>
    </w:p>
    <w:p>
      <w:pPr>
        <w:pStyle w:val="ListBullet"/>
        <w:spacing w:after="40"/>
      </w:pPr>
      <w:r>
        <w:rPr>
          <w:rFonts w:ascii="Arimo" w:hAnsi="Arimo" w:eastAsia="Arimo"/>
          <w:color w:val="1F2937"/>
          <w:sz w:val="20"/>
        </w:rPr>
        <w:t>Proposal/evaluation/review/audit history is append-only or versioned; new versions do not silently rewrite historical evidence.</w:t>
      </w:r>
    </w:p>
    <w:p>
      <w:pPr>
        <w:pStyle w:val="ListBullet"/>
        <w:spacing w:after="40"/>
      </w:pPr>
      <w:r>
        <w:rPr>
          <w:rFonts w:ascii="Arimo" w:hAnsi="Arimo" w:eastAsia="Arimo"/>
          <w:color w:val="1F2937"/>
          <w:sz w:val="20"/>
        </w:rPr>
        <w:t>Public production URL must be AWS-hosted and independent of localhost, VPN, tunnel or the developer machine.</w:t>
      </w:r>
    </w:p>
    <w:p>
      <w:pPr>
        <w:pStyle w:val="Heading1"/>
      </w:pPr>
      <w:r>
        <w:t>13. Coding Agent Implementation Sequence</w:t>
      </w:r>
    </w:p>
    <w:tbl>
      <w:tblPr>
        <w:tblStyle w:val="TableGrid"/>
        <w:tblW w:type="auto" w:w="0"/>
        <w:jc w:val="center"/>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val="true"/>
        </w:trPr>
        <w:tc>
          <w:tcPr>
            <w:tcW w:type="dxa" w:w="1008"/>
            <w:shd w:fill="17365D"/>
            <w:vAlign w:val="center"/>
            <w:tcMar>
              <w:top w:w="70" w:type="dxa"/>
              <w:start w:w="80" w:type="dxa"/>
              <w:bottom w:w="70" w:type="dxa"/>
              <w:end w:w="80" w:type="dxa"/>
            </w:tcMar>
          </w:tcPr>
          <w:p>
            <w:pPr>
              <w:jc w:val="left"/>
            </w:pPr>
            <w:r>
              <w:rPr>
                <w:rFonts w:ascii="Arimo" w:hAnsi="Arimo" w:eastAsia="Arimo"/>
                <w:b/>
                <w:color w:val="FFFFFF"/>
                <w:sz w:val="18"/>
              </w:rPr>
              <w:t>Order</w:t>
            </w:r>
          </w:p>
        </w:tc>
        <w:tc>
          <w:tcPr>
            <w:tcW w:type="dxa" w:w="5472"/>
            <w:shd w:fill="17365D"/>
            <w:vAlign w:val="center"/>
            <w:tcMar>
              <w:top w:w="70" w:type="dxa"/>
              <w:start w:w="80" w:type="dxa"/>
              <w:bottom w:w="70" w:type="dxa"/>
              <w:end w:w="80" w:type="dxa"/>
            </w:tcMar>
          </w:tcPr>
          <w:p>
            <w:pPr>
              <w:jc w:val="left"/>
            </w:pPr>
            <w:r>
              <w:rPr>
                <w:rFonts w:ascii="Arimo" w:hAnsi="Arimo" w:eastAsia="Arimo"/>
                <w:b/>
                <w:color w:val="FFFFFF"/>
                <w:sz w:val="18"/>
              </w:rPr>
              <w:t>Deliverable</w:t>
            </w:r>
          </w:p>
        </w:tc>
        <w:tc>
          <w:tcPr>
            <w:tcW w:type="dxa" w:w="4320"/>
            <w:shd w:fill="17365D"/>
            <w:vAlign w:val="center"/>
            <w:tcMar>
              <w:top w:w="70" w:type="dxa"/>
              <w:start w:w="80" w:type="dxa"/>
              <w:bottom w:w="70" w:type="dxa"/>
              <w:end w:w="80" w:type="dxa"/>
            </w:tcMar>
          </w:tcPr>
          <w:p>
            <w:pPr>
              <w:jc w:val="left"/>
            </w:pPr>
            <w:r>
              <w:rPr>
                <w:rFonts w:ascii="Arimo" w:hAnsi="Arimo" w:eastAsia="Arimo"/>
                <w:b/>
                <w:color w:val="FFFFFF"/>
                <w:sz w:val="18"/>
              </w:rPr>
              <w:t>Exit condition</w:t>
            </w:r>
          </w:p>
        </w:tc>
      </w:tr>
      <w:tr>
        <w:tc>
          <w:tcPr>
            <w:tcW w:type="dxa" w:w="1008"/>
            <w:tcMar>
              <w:top w:w="70" w:type="dxa"/>
              <w:start w:w="80" w:type="dxa"/>
              <w:bottom w:w="70" w:type="dxa"/>
              <w:end w:w="80" w:type="dxa"/>
            </w:tcMar>
            <w:vAlign w:val="top"/>
          </w:tcPr>
          <w:p>
            <w:pPr>
              <w:spacing w:after="0"/>
            </w:pPr>
            <w:r>
              <w:rPr>
                <w:rFonts w:ascii="Arimo" w:hAnsi="Arimo" w:eastAsia="Arimo"/>
                <w:color w:val="1F2937"/>
                <w:sz w:val="18"/>
              </w:rPr>
              <w:t>1</w:t>
            </w:r>
          </w:p>
        </w:tc>
        <w:tc>
          <w:tcPr>
            <w:tcW w:type="dxa" w:w="5472"/>
            <w:tcMar>
              <w:top w:w="70" w:type="dxa"/>
              <w:start w:w="80" w:type="dxa"/>
              <w:bottom w:w="70" w:type="dxa"/>
              <w:end w:w="80" w:type="dxa"/>
            </w:tcMar>
            <w:vAlign w:val="top"/>
          </w:tcPr>
          <w:p>
            <w:pPr>
              <w:spacing w:after="0"/>
            </w:pPr>
            <w:r>
              <w:rPr>
                <w:rFonts w:ascii="Arimo" w:hAnsi="Arimo" w:eastAsia="Arimo"/>
                <w:color w:val="1F2937"/>
                <w:sz w:val="18"/>
              </w:rPr>
              <w:t>Amplify public URL + API health route</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Public URL works from incognito; local machine can be off.</w:t>
            </w:r>
          </w:p>
        </w:tc>
      </w:tr>
      <w:tr>
        <w:tc>
          <w:tcPr>
            <w:tcW w:type="dxa" w:w="1008"/>
            <w:tcMar>
              <w:top w:w="70" w:type="dxa"/>
              <w:start w:w="80" w:type="dxa"/>
              <w:bottom w:w="70" w:type="dxa"/>
              <w:end w:w="80" w:type="dxa"/>
            </w:tcMar>
            <w:vAlign w:val="top"/>
          </w:tcPr>
          <w:p>
            <w:pPr>
              <w:spacing w:after="0"/>
            </w:pPr>
            <w:r>
              <w:rPr>
                <w:rFonts w:ascii="Arimo" w:hAnsi="Arimo" w:eastAsia="Arimo"/>
                <w:color w:val="1F2937"/>
                <w:sz w:val="18"/>
              </w:rPr>
              <w:t>2</w:t>
            </w:r>
          </w:p>
        </w:tc>
        <w:tc>
          <w:tcPr>
            <w:tcW w:type="dxa" w:w="5472"/>
            <w:tcMar>
              <w:top w:w="70" w:type="dxa"/>
              <w:start w:w="80" w:type="dxa"/>
              <w:bottom w:w="70" w:type="dxa"/>
              <w:end w:w="80" w:type="dxa"/>
            </w:tcMar>
            <w:vAlign w:val="top"/>
          </w:tcPr>
          <w:p>
            <w:pPr>
              <w:spacing w:after="0"/>
            </w:pPr>
            <w:r>
              <w:rPr>
                <w:rFonts w:ascii="Arimo" w:hAnsi="Arimo" w:eastAsia="Arimo"/>
                <w:color w:val="1F2937"/>
                <w:sz w:val="18"/>
              </w:rPr>
              <w:t>Cognito + API Gateway + API Lambda + evaluation workspace</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Auth and protected API tests pass.</w:t>
            </w:r>
          </w:p>
        </w:tc>
      </w:tr>
      <w:tr>
        <w:tc>
          <w:tcPr>
            <w:tcW w:type="dxa" w:w="1008"/>
            <w:tcMar>
              <w:top w:w="70" w:type="dxa"/>
              <w:start w:w="80" w:type="dxa"/>
              <w:bottom w:w="70" w:type="dxa"/>
              <w:end w:w="80" w:type="dxa"/>
            </w:tcMar>
            <w:vAlign w:val="top"/>
          </w:tcPr>
          <w:p>
            <w:pPr>
              <w:spacing w:after="0"/>
            </w:pPr>
            <w:r>
              <w:rPr>
                <w:rFonts w:ascii="Arimo" w:hAnsi="Arimo" w:eastAsia="Arimo"/>
                <w:color w:val="1F2937"/>
                <w:sz w:val="18"/>
              </w:rPr>
              <w:t>3</w:t>
            </w:r>
          </w:p>
        </w:tc>
        <w:tc>
          <w:tcPr>
            <w:tcW w:type="dxa" w:w="5472"/>
            <w:tcMar>
              <w:top w:w="70" w:type="dxa"/>
              <w:start w:w="80" w:type="dxa"/>
              <w:bottom w:w="70" w:type="dxa"/>
              <w:end w:w="80" w:type="dxa"/>
            </w:tcMar>
            <w:vAlign w:val="top"/>
          </w:tcPr>
          <w:p>
            <w:pPr>
              <w:spacing w:after="0"/>
            </w:pPr>
            <w:r>
              <w:rPr>
                <w:rFonts w:ascii="Arimo" w:hAnsi="Arimo" w:eastAsia="Arimo"/>
                <w:color w:val="1F2937"/>
                <w:sz w:val="18"/>
              </w:rPr>
              <w:t>Two-phase S3 upload + DynamoDB document state</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RFP/rubric/vendor objects verified and isolated.</w:t>
            </w:r>
          </w:p>
        </w:tc>
      </w:tr>
      <w:tr>
        <w:tc>
          <w:tcPr>
            <w:tcW w:type="dxa" w:w="1008"/>
            <w:tcMar>
              <w:top w:w="70" w:type="dxa"/>
              <w:start w:w="80" w:type="dxa"/>
              <w:bottom w:w="70" w:type="dxa"/>
              <w:end w:w="80" w:type="dxa"/>
            </w:tcMar>
            <w:vAlign w:val="top"/>
          </w:tcPr>
          <w:p>
            <w:pPr>
              <w:spacing w:after="0"/>
            </w:pPr>
            <w:r>
              <w:rPr>
                <w:rFonts w:ascii="Arimo" w:hAnsi="Arimo" w:eastAsia="Arimo"/>
                <w:color w:val="1F2937"/>
                <w:sz w:val="18"/>
              </w:rPr>
              <w:t>4</w:t>
            </w:r>
          </w:p>
        </w:tc>
        <w:tc>
          <w:tcPr>
            <w:tcW w:type="dxa" w:w="5472"/>
            <w:tcMar>
              <w:top w:w="70" w:type="dxa"/>
              <w:start w:w="80" w:type="dxa"/>
              <w:bottom w:w="70" w:type="dxa"/>
              <w:end w:w="80" w:type="dxa"/>
            </w:tcMar>
            <w:vAlign w:val="top"/>
          </w:tcPr>
          <w:p>
            <w:pPr>
              <w:spacing w:after="0"/>
            </w:pPr>
            <w:r>
              <w:rPr>
                <w:rFonts w:ascii="Arimo" w:hAnsi="Arimo" w:eastAsia="Arimo"/>
                <w:color w:val="1F2937"/>
                <w:sz w:val="18"/>
              </w:rPr>
              <w:t>Parser Lambda + one seeded requirement + SourcePointer</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Grounding and vendor isolation pass.</w:t>
            </w:r>
          </w:p>
        </w:tc>
      </w:tr>
      <w:tr>
        <w:tc>
          <w:tcPr>
            <w:tcW w:type="dxa" w:w="1008"/>
            <w:tcMar>
              <w:top w:w="70" w:type="dxa"/>
              <w:start w:w="80" w:type="dxa"/>
              <w:bottom w:w="70" w:type="dxa"/>
              <w:end w:w="80" w:type="dxa"/>
            </w:tcMar>
            <w:vAlign w:val="top"/>
          </w:tcPr>
          <w:p>
            <w:pPr>
              <w:spacing w:after="0"/>
            </w:pPr>
            <w:r>
              <w:rPr>
                <w:rFonts w:ascii="Arimo" w:hAnsi="Arimo" w:eastAsia="Arimo"/>
                <w:color w:val="1F2937"/>
                <w:sz w:val="18"/>
              </w:rPr>
              <w:t>5</w:t>
            </w:r>
          </w:p>
        </w:tc>
        <w:tc>
          <w:tcPr>
            <w:tcW w:type="dxa" w:w="5472"/>
            <w:tcMar>
              <w:top w:w="70" w:type="dxa"/>
              <w:start w:w="80" w:type="dxa"/>
              <w:bottom w:w="70" w:type="dxa"/>
              <w:end w:w="80" w:type="dxa"/>
            </w:tcMar>
            <w:vAlign w:val="top"/>
          </w:tcPr>
          <w:p>
            <w:pPr>
              <w:spacing w:after="0"/>
            </w:pPr>
            <w:r>
              <w:rPr>
                <w:rFonts w:ascii="Arimo" w:hAnsi="Arimo" w:eastAsia="Arimo"/>
                <w:color w:val="1F2937"/>
                <w:sz w:val="18"/>
              </w:rPr>
              <w:t>Step Functions evaluation run + Bedrock specialist/verifier</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One Requirement × three Vendors produces verified results.</w:t>
            </w:r>
          </w:p>
        </w:tc>
      </w:tr>
      <w:tr>
        <w:tc>
          <w:tcPr>
            <w:tcW w:type="dxa" w:w="1008"/>
            <w:tcMar>
              <w:top w:w="70" w:type="dxa"/>
              <w:start w:w="80" w:type="dxa"/>
              <w:bottom w:w="70" w:type="dxa"/>
              <w:end w:w="80" w:type="dxa"/>
            </w:tcMar>
            <w:vAlign w:val="top"/>
          </w:tcPr>
          <w:p>
            <w:pPr>
              <w:spacing w:after="0"/>
            </w:pPr>
            <w:r>
              <w:rPr>
                <w:rFonts w:ascii="Arimo" w:hAnsi="Arimo" w:eastAsia="Arimo"/>
                <w:color w:val="1F2937"/>
                <w:sz w:val="18"/>
              </w:rPr>
              <w:t>6</w:t>
            </w:r>
          </w:p>
        </w:tc>
        <w:tc>
          <w:tcPr>
            <w:tcW w:type="dxa" w:w="5472"/>
            <w:tcMar>
              <w:top w:w="70" w:type="dxa"/>
              <w:start w:w="80" w:type="dxa"/>
              <w:bottom w:w="70" w:type="dxa"/>
              <w:end w:w="80" w:type="dxa"/>
            </w:tcMar>
            <w:vAlign w:val="top"/>
          </w:tcPr>
          <w:p>
            <w:pPr>
              <w:spacing w:after="0"/>
            </w:pPr>
            <w:r>
              <w:rPr>
                <w:rFonts w:ascii="Arimo" w:hAnsi="Arimo" w:eastAsia="Arimo"/>
                <w:color w:val="1F2937"/>
                <w:sz w:val="18"/>
              </w:rPr>
              <w:t>Deterministic threshold/TCO tools</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Authoritative deterministic fixture tests pass.</w:t>
            </w:r>
          </w:p>
        </w:tc>
      </w:tr>
      <w:tr>
        <w:tc>
          <w:tcPr>
            <w:tcW w:type="dxa" w:w="1008"/>
            <w:tcMar>
              <w:top w:w="70" w:type="dxa"/>
              <w:start w:w="80" w:type="dxa"/>
              <w:bottom w:w="70" w:type="dxa"/>
              <w:end w:w="80" w:type="dxa"/>
            </w:tcMar>
            <w:vAlign w:val="top"/>
          </w:tcPr>
          <w:p>
            <w:pPr>
              <w:spacing w:after="0"/>
            </w:pPr>
            <w:r>
              <w:rPr>
                <w:rFonts w:ascii="Arimo" w:hAnsi="Arimo" w:eastAsia="Arimo"/>
                <w:color w:val="1F2937"/>
                <w:sz w:val="18"/>
              </w:rPr>
              <w:t>7</w:t>
            </w:r>
          </w:p>
        </w:tc>
        <w:tc>
          <w:tcPr>
            <w:tcW w:type="dxa" w:w="5472"/>
            <w:tcMar>
              <w:top w:w="70" w:type="dxa"/>
              <w:start w:w="80" w:type="dxa"/>
              <w:bottom w:w="70" w:type="dxa"/>
              <w:end w:w="80" w:type="dxa"/>
            </w:tcMar>
            <w:vAlign w:val="top"/>
          </w:tcPr>
          <w:p>
            <w:pPr>
              <w:spacing w:after="0"/>
            </w:pPr>
            <w:r>
              <w:rPr>
                <w:rFonts w:ascii="Arimo" w:hAnsi="Arimo" w:eastAsia="Arimo"/>
                <w:color w:val="1F2937"/>
                <w:sz w:val="18"/>
              </w:rPr>
              <w:t>Evidence Matrix + HumanReview</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Accept/override/follow-up flow preserves system suggestion.</w:t>
            </w:r>
          </w:p>
        </w:tc>
      </w:tr>
      <w:tr>
        <w:tc>
          <w:tcPr>
            <w:tcW w:type="dxa" w:w="1008"/>
            <w:tcMar>
              <w:top w:w="70" w:type="dxa"/>
              <w:start w:w="80" w:type="dxa"/>
              <w:bottom w:w="70" w:type="dxa"/>
              <w:end w:w="80" w:type="dxa"/>
            </w:tcMar>
            <w:vAlign w:val="top"/>
          </w:tcPr>
          <w:p>
            <w:pPr>
              <w:spacing w:after="0"/>
            </w:pPr>
            <w:r>
              <w:rPr>
                <w:rFonts w:ascii="Arimo" w:hAnsi="Arimo" w:eastAsia="Arimo"/>
                <w:color w:val="1F2937"/>
                <w:sz w:val="18"/>
              </w:rPr>
              <w:t>8</w:t>
            </w:r>
          </w:p>
        </w:tc>
        <w:tc>
          <w:tcPr>
            <w:tcW w:type="dxa" w:w="5472"/>
            <w:tcMar>
              <w:top w:w="70" w:type="dxa"/>
              <w:start w:w="80" w:type="dxa"/>
              <w:bottom w:w="70" w:type="dxa"/>
              <w:end w:w="80" w:type="dxa"/>
            </w:tcMar>
            <w:vAlign w:val="top"/>
          </w:tcPr>
          <w:p>
            <w:pPr>
              <w:spacing w:after="0"/>
            </w:pPr>
            <w:r>
              <w:rPr>
                <w:rFonts w:ascii="Arimo" w:hAnsi="Arimo" w:eastAsia="Arimo"/>
                <w:color w:val="1F2937"/>
                <w:sz w:val="18"/>
              </w:rPr>
              <w:t>Markdown/PDF export</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Final score trace is traversable.</w:t>
            </w:r>
          </w:p>
        </w:tc>
      </w:tr>
      <w:tr>
        <w:tc>
          <w:tcPr>
            <w:tcW w:type="dxa" w:w="1008"/>
            <w:tcMar>
              <w:top w:w="70" w:type="dxa"/>
              <w:start w:w="80" w:type="dxa"/>
              <w:bottom w:w="70" w:type="dxa"/>
              <w:end w:w="80" w:type="dxa"/>
            </w:tcMar>
            <w:vAlign w:val="top"/>
          </w:tcPr>
          <w:p>
            <w:pPr>
              <w:spacing w:after="0"/>
            </w:pPr>
            <w:r>
              <w:rPr>
                <w:rFonts w:ascii="Arimo" w:hAnsi="Arimo" w:eastAsia="Arimo"/>
                <w:color w:val="1F2937"/>
                <w:sz w:val="18"/>
              </w:rPr>
              <w:t>9</w:t>
            </w:r>
          </w:p>
        </w:tc>
        <w:tc>
          <w:tcPr>
            <w:tcW w:type="dxa" w:w="5472"/>
            <w:tcMar>
              <w:top w:w="70" w:type="dxa"/>
              <w:start w:w="80" w:type="dxa"/>
              <w:bottom w:w="70" w:type="dxa"/>
              <w:end w:w="80" w:type="dxa"/>
            </w:tcMar>
            <w:vAlign w:val="top"/>
          </w:tcPr>
          <w:p>
            <w:pPr>
              <w:spacing w:after="0"/>
            </w:pPr>
            <w:r>
              <w:rPr>
                <w:rFonts w:ascii="Arimo" w:hAnsi="Arimo" w:eastAsia="Arimo"/>
                <w:color w:val="1F2937"/>
                <w:sz w:val="18"/>
              </w:rPr>
              <w:t>CloudWatch telemetry + prompt-cache benchmark</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Cold/warm actual usage metrics captured.</w:t>
            </w:r>
          </w:p>
        </w:tc>
      </w:tr>
      <w:tr>
        <w:tc>
          <w:tcPr>
            <w:tcW w:type="dxa" w:w="1008"/>
            <w:tcMar>
              <w:top w:w="70" w:type="dxa"/>
              <w:start w:w="80" w:type="dxa"/>
              <w:bottom w:w="70" w:type="dxa"/>
              <w:end w:w="80" w:type="dxa"/>
            </w:tcMar>
            <w:vAlign w:val="top"/>
          </w:tcPr>
          <w:p>
            <w:pPr>
              <w:spacing w:after="0"/>
            </w:pPr>
            <w:r>
              <w:rPr>
                <w:rFonts w:ascii="Arimo" w:hAnsi="Arimo" w:eastAsia="Arimo"/>
                <w:color w:val="1F2937"/>
                <w:sz w:val="18"/>
              </w:rPr>
              <w:t>10</w:t>
            </w:r>
          </w:p>
        </w:tc>
        <w:tc>
          <w:tcPr>
            <w:tcW w:type="dxa" w:w="5472"/>
            <w:tcMar>
              <w:top w:w="70" w:type="dxa"/>
              <w:start w:w="80" w:type="dxa"/>
              <w:bottom w:w="70" w:type="dxa"/>
              <w:end w:w="80" w:type="dxa"/>
            </w:tcMar>
            <w:vAlign w:val="top"/>
          </w:tcPr>
          <w:p>
            <w:pPr>
              <w:spacing w:after="0"/>
            </w:pPr>
            <w:r>
              <w:rPr>
                <w:rFonts w:ascii="Arimo" w:hAnsi="Arimo" w:eastAsia="Arimo"/>
                <w:color w:val="1F2937"/>
                <w:sz w:val="18"/>
              </w:rPr>
              <w:t>Submission proof capture</w:t>
            </w:r>
          </w:p>
        </w:tc>
        <w:tc>
          <w:tcPr>
            <w:tcW w:type="dxa" w:w="4320"/>
            <w:tcMar>
              <w:top w:w="70" w:type="dxa"/>
              <w:start w:w="80" w:type="dxa"/>
              <w:bottom w:w="70" w:type="dxa"/>
              <w:end w:w="80" w:type="dxa"/>
            </w:tcMar>
            <w:vAlign w:val="top"/>
          </w:tcPr>
          <w:p>
            <w:pPr>
              <w:spacing w:after="0"/>
            </w:pPr>
            <w:r>
              <w:rPr>
                <w:rFonts w:ascii="Arimo" w:hAnsi="Arimo" w:eastAsia="Arimo"/>
                <w:color w:val="1F2937"/>
                <w:sz w:val="18"/>
              </w:rPr>
              <w:t>P0/P1 checklist green before optional enhancements.</w:t>
            </w:r>
          </w:p>
        </w:tc>
      </w:tr>
    </w:tbl>
    <w:p>
      <w:pPr>
        <w:pStyle w:val="Heading1"/>
      </w:pPr>
      <w:r>
        <w:t>14. Project Source Alignment</w:t>
      </w:r>
    </w:p>
    <w:p>
      <w:r>
        <w:rPr>
          <w:rFonts w:ascii="Arimo" w:hAnsi="Arimo" w:eastAsia="Arimo"/>
          <w:color w:val="1F2937"/>
          <w:sz w:val="20"/>
        </w:rPr>
        <w:t>This architecture description is aligned with the current VeriBid project artifacts:</w:t>
      </w:r>
    </w:p>
    <w:p>
      <w:pPr>
        <w:pStyle w:val="ListBullet"/>
        <w:spacing w:after="40"/>
      </w:pPr>
      <w:r>
        <w:rPr>
          <w:rFonts w:ascii="Arimo" w:hAnsi="Arimo" w:eastAsia="Arimo"/>
          <w:color w:val="1F2937"/>
          <w:sz w:val="20"/>
        </w:rPr>
        <w:t>VeriBid Product Brief / PRD v0.2 — MVP boundary, Dual-Path Separation, CAG, evidence trace and Ship Gate.</w:t>
      </w:r>
    </w:p>
    <w:p>
      <w:pPr>
        <w:pStyle w:val="ListBullet"/>
        <w:spacing w:after="40"/>
      </w:pPr>
      <w:r>
        <w:rPr>
          <w:rFonts w:ascii="Arimo" w:hAnsi="Arimo" w:eastAsia="Arimo"/>
          <w:color w:val="1F2937"/>
          <w:sz w:val="20"/>
        </w:rPr>
        <w:t>VeriBid Functional Requirements v0.1 — FR-1..FR-7, vendor isolation, two-phase evidence workflow and human review.</w:t>
      </w:r>
    </w:p>
    <w:p>
      <w:pPr>
        <w:pStyle w:val="ListBullet"/>
        <w:spacing w:after="40"/>
      </w:pPr>
      <w:r>
        <w:rPr>
          <w:rFonts w:ascii="Arimo" w:hAnsi="Arimo" w:eastAsia="Arimo"/>
          <w:color w:val="1F2937"/>
          <w:sz w:val="20"/>
        </w:rPr>
        <w:t>VeriBid Data + Evidence Model v0.2 — Requirement, Document, EvidenceClaim, SourcePointer, EvaluationResult, HumanReview and AuditEvent.</w:t>
      </w:r>
    </w:p>
    <w:p>
      <w:pPr>
        <w:pStyle w:val="ListBullet"/>
        <w:spacing w:after="40"/>
      </w:pPr>
      <w:r>
        <w:rPr>
          <w:rFonts w:ascii="Arimo" w:hAnsi="Arimo" w:eastAsia="Arimo"/>
          <w:color w:val="1F2937"/>
          <w:sz w:val="20"/>
        </w:rPr>
        <w:t>VeriBid AI / Agent Specification v0.1 FINAL — specialist roles, retrieval-before-evaluation, Skeptical Verifier, abstention and schema safety.</w:t>
      </w:r>
    </w:p>
    <w:p>
      <w:pPr>
        <w:pStyle w:val="ListBullet"/>
        <w:spacing w:after="40"/>
      </w:pPr>
      <w:r>
        <w:rPr>
          <w:rFonts w:ascii="Arimo" w:hAnsi="Arimo" w:eastAsia="Arimo"/>
          <w:color w:val="1F2937"/>
          <w:sz w:val="20"/>
        </w:rPr>
        <w:t>VeriBid API Contract v0.2 — /api/v1 boundary, async 202 semantics, idempotency, matrix/detail split and telemetry DTO.</w:t>
      </w:r>
    </w:p>
    <w:p>
      <w:pPr>
        <w:pStyle w:val="ListBullet"/>
        <w:spacing w:after="40"/>
      </w:pPr>
      <w:r>
        <w:rPr>
          <w:rFonts w:ascii="Arimo" w:hAnsi="Arimo" w:eastAsia="Arimo"/>
          <w:color w:val="1F2937"/>
          <w:sz w:val="20"/>
        </w:rPr>
        <w:t>VeriBid Deployment + Test Checklist v0.2 — service baseline, public URL, CloudWatch, conditional Textract and Ship Gate proof plan.</w:t>
      </w:r>
    </w:p>
    <w:tbl>
      <w:tblPr>
        <w:tblW w:type="auto" w:w="0"/>
        <w:jc w:val="center"/>
        <w:tblLayout w:type="autofit"/>
        <w:tblLook w:firstColumn="1" w:firstRow="1" w:lastColumn="0" w:lastRow="0" w:noHBand="0" w:noVBand="1" w:val="04A0"/>
        <w:tblBorders>
          <w:top w:val="single" w:sz="1" w:space="0" w:color="F0FDF4"/>
          <w:left w:val="single" w:sz="1" w:space="0" w:color="F0FDF4"/>
          <w:bottom w:val="single" w:sz="1" w:space="0" w:color="F0FDF4"/>
          <w:right w:val="single" w:sz="1" w:space="0" w:color="F0FDF4"/>
          <w:insideH w:val="single" w:sz="1" w:space="0" w:color="F0FDF4"/>
          <w:insideV w:val="single" w:sz="1" w:space="0" w:color="F0FDF4"/>
        </w:tblBorders>
      </w:tblPr>
      <w:tblGrid>
        <w:gridCol w:w="10080"/>
      </w:tblGrid>
      <w:tr>
        <w:tc>
          <w:tcPr>
            <w:tcW w:type="dxa" w:w="10080"/>
            <w:shd w:fill="F0FDF4"/>
            <w:tcMar>
              <w:top w:w="110" w:type="dxa"/>
              <w:start w:w="130" w:type="dxa"/>
              <w:bottom w:w="110" w:type="dxa"/>
              <w:end w:w="130" w:type="dxa"/>
            </w:tcMar>
          </w:tcPr>
          <w:p>
            <w:pPr>
              <w:spacing w:after="0"/>
            </w:pPr>
            <w:r>
              <w:rPr>
                <w:rFonts w:ascii="Arimo" w:hAnsi="Arimo" w:eastAsia="Arimo"/>
                <w:b/>
                <w:color w:val="2E7D32"/>
                <w:sz w:val="20"/>
              </w:rPr>
              <w:t xml:space="preserve">Scope stop rule. </w:t>
            </w:r>
            <w:r>
              <w:rPr>
                <w:rFonts w:ascii="Arimo" w:hAnsi="Arimo" w:eastAsia="Arimo"/>
                <w:color w:val="1F2937"/>
                <w:sz w:val="20"/>
              </w:rPr>
              <w:t>Do not add supplier marketplace, PO/invoice/payment workflow, deep ERP integration, contract lifecycle management, autonomous vendor award, AgentCore duplication, or a dedicated vector store before the end-to-end P0/P1 path is working and captured for submission.</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mo" w:hAnsi="Arimo" w:eastAsia="Arimo"/>
        <w:color w:val="6B7280"/>
        <w:sz w:val="16"/>
      </w:rPr>
      <w:t>VeriBid — Evidence-Driven Bid Evaluation Engine  |  AWS System Architecture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mo" w:hAnsi="Arimo" w:eastAsia="Arimo"/>
        <w:b/>
        <w:color w:val="0F6B78"/>
        <w:sz w:val="17"/>
      </w:rPr>
      <w:t>VERIBID  |  AWS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mo" w:hAnsi="Arim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mo" w:hAnsi="Arimo"/>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mo" w:hAnsi="Arimo"/>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mo" w:hAnsi="Arimo"/>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mo" w:hAnsi="Arimo"/>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Code">
    <w:name w:val="Architecture Code"/>
    <w:pPr>
      <w:spacing w:after="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