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00" w:line="259" w:lineRule="auto"/>
        <w:jc w:val="center"/>
      </w:pPr>
      <w:r>
        <w:rPr>
          <w:b/>
          <w:color w:val="17324D"/>
          <w:sz w:val="60"/>
        </w:rPr>
        <w:t>VeriBid</w:t>
      </w:r>
    </w:p>
    <w:p>
      <w:pPr>
        <w:spacing w:after="100" w:line="259" w:lineRule="auto"/>
        <w:jc w:val="center"/>
      </w:pPr>
      <w:r>
        <w:rPr>
          <w:b/>
          <w:color w:val="24557A"/>
          <w:sz w:val="44"/>
        </w:rPr>
        <w:t>AI / Agent Specification</w:t>
      </w:r>
    </w:p>
    <w:p>
      <w:pPr>
        <w:spacing w:after="100" w:line="259" w:lineRule="auto"/>
        <w:jc w:val="center"/>
      </w:pPr>
      <w:r>
        <w:rPr>
          <w:color w:val="4B5563"/>
          <w:sz w:val="26"/>
        </w:rPr>
        <w:t>Version 0.1 — FINAL</w:t>
      </w:r>
    </w:p>
    <w:p>
      <w:pPr>
        <w:spacing w:before="360" w:after="100" w:line="259" w:lineRule="auto"/>
        <w:jc w:val="center"/>
      </w:pPr>
      <w:r>
        <w:rPr>
          <w:i/>
          <w:sz w:val="24"/>
        </w:rPr>
        <w:t>Evidence-Driven Bid Evaluation Engine</w:t>
      </w:r>
    </w:p>
    <w:p>
      <w:pPr>
        <w:spacing w:after="100" w:line="259" w:lineRule="auto"/>
        <w:jc w:val="center"/>
      </w:pPr>
      <w:r>
        <w:rPr>
          <w:sz w:val="20"/>
        </w:rPr>
        <w:t>AWS Zero to Shipped 2026 | #commercial-potential | #startup</w:t>
      </w:r>
    </w:p>
    <w:p>
      <w:pPr>
        <w:spacing w:before="700" w:after="100" w:line="259" w:lineRule="auto"/>
        <w:jc w:val="center"/>
      </w:pPr>
      <w:r>
        <w:rPr>
          <w:sz w:val="19"/>
        </w:rPr>
        <w:t>Aligned with: Product Brief / PRD v0.2 • Functional Requirements v0.1 • Data + Evidence Model v0.2</w:t>
      </w:r>
    </w:p>
    <w:p>
      <w:pPr>
        <w:spacing w:after="100" w:line="259" w:lineRule="auto"/>
      </w:pPr>
      <w:r>
        <w:br w:type="page"/>
      </w:r>
    </w:p>
    <w:p>
      <w:pPr>
        <w:pStyle w:val="Heading1"/>
      </w:pPr>
      <w:r>
        <w:t>1. Purpose and Design Contract</w:t>
      </w:r>
    </w:p>
    <w:p>
      <w:pPr>
        <w:spacing w:after="100" w:line="259" w:lineRule="auto"/>
      </w:pPr>
      <w:r>
        <w:t>This specification defines the runtime responsibilities, structured inputs/outputs, evidence discipline, abstention behavior, and verification boundaries for VeriBid’s four AI roles. It is an implementation contract for the coding agent; it does not prescribe a specific orchestration framework.</w:t>
      </w:r>
    </w:p>
    <w:p>
      <w:pPr>
        <w:spacing w:after="100" w:line="259" w:lineRule="auto"/>
      </w:pPr>
      <w:r>
        <w:t>The governing flow is:</w:t>
      </w:r>
    </w:p>
    <w:p>
      <w:pPr>
        <w:pStyle w:val="CodeBlock"/>
        <w:shd w:fill="F4F6F8"/>
      </w:pPr>
      <w:r>
        <w:rPr>
          <w:rFonts w:ascii="Liberation Mono" w:hAnsi="Liberation Mono"/>
        </w:rPr>
        <w:t>Requirement -&gt; Vendor-Scoped Retrieval -&gt; Specialist Evaluator -&gt; Evidence Claims -&gt; Skeptical Verifier -&gt; Verified Evaluation -&gt; Human Review</w:t>
      </w:r>
    </w:p>
    <w:p>
      <w:pPr>
        <w:pStyle w:val="ListBullet"/>
      </w:pPr>
      <w:r>
        <w:t>AI may propose an evaluation state and suggested score; the human reviewer retains final authority.</w:t>
      </w:r>
    </w:p>
    <w:p>
      <w:pPr>
        <w:pStyle w:val="ListBullet"/>
      </w:pPr>
      <w:r>
        <w:t>LLMs are used for semantic interpretation and evidence mapping, not authoritative arithmetic or business-rule execution.</w:t>
      </w:r>
    </w:p>
    <w:p>
      <w:pPr>
        <w:pStyle w:val="ListBullet"/>
      </w:pPr>
      <w:r>
        <w:t>Every user-visible factual assessment must resolve to source evidence, or the system must abstain.</w:t>
      </w:r>
    </w:p>
    <w:p>
      <w:pPr>
        <w:pStyle w:val="ListBullet"/>
      </w:pPr>
      <w:r>
        <w:t>Evidence, evaluation state, and audit history are isolated by vendor and proposal version.</w:t>
      </w:r>
    </w:p>
    <w:p>
      <w:pPr>
        <w:pStyle w:val="Heading1"/>
      </w:pPr>
      <w:r>
        <w:t>2. Agent Topology and Routing</w:t>
      </w:r>
    </w:p>
    <w:p>
      <w:pPr>
        <w:pStyle w:val="CodeBlock"/>
        <w:shd w:fill="F4F6F8"/>
      </w:pPr>
      <w:r>
        <w:rPr>
          <w:rFonts w:ascii="Liberation Mono" w:hAnsi="Liberation Mono"/>
        </w:rPr>
        <w:t>Requirement</w:t>
        <w:br/>
        <w:t xml:space="preserve">   |</w:t>
        <w:br/>
        <w:t xml:space="preserve">   v</w:t>
        <w:br/>
        <w:t>Vendor-Scoped Retriever</w:t>
        <w:br/>
        <w:t xml:space="preserve">   |</w:t>
        <w:br/>
        <w:t xml:space="preserve">   v</w:t>
        <w:br/>
        <w:t>Router</w:t>
        <w:br/>
        <w:t xml:space="preserve">   |----&gt; Technical Evaluator</w:t>
        <w:br/>
        <w:t xml:space="preserve">   |----&gt; Commercial Evaluator</w:t>
        <w:br/>
        <w:t xml:space="preserve">   |----&gt; Compliance Evaluator</w:t>
        <w:br/>
        <w:t xml:space="preserve">                 |</w:t>
        <w:br/>
        <w:t xml:space="preserve">                 v</w:t>
        <w:br/>
        <w:t xml:space="preserve">          Evidence Claims</w:t>
        <w:br/>
        <w:t xml:space="preserve">                 |</w:t>
        <w:br/>
        <w:t xml:space="preserve">                 v</w:t>
        <w:br/>
        <w:t xml:space="preserve">         Skeptical Verifier</w:t>
        <w:br/>
        <w:t xml:space="preserve">                 |</w:t>
        <w:br/>
        <w:t xml:space="preserve">                 v</w:t>
        <w:br/>
        <w:t xml:space="preserve">         Verified Evaluation</w:t>
        <w:br/>
        <w:t xml:space="preserve">                 |</w:t>
        <w:br/>
        <w:t xml:space="preserve">                 v</w:t>
        <w:br/>
        <w:t xml:space="preserve">            Human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shd w:fill="17324D"/>
            <w:vAlign w:val="center"/>
          </w:tcPr>
          <w:p>
            <w:r>
              <w:rPr>
                <w:b/>
                <w:color w:val="FFFFFF"/>
                <w:sz w:val="18"/>
              </w:rPr>
              <w:t>Requirement Category</w:t>
            </w:r>
          </w:p>
        </w:tc>
        <w:tc>
          <w:tcPr>
            <w:tcW w:type="dxa" w:w="2304"/>
            <w:shd w:fill="17324D"/>
            <w:vAlign w:val="center"/>
          </w:tcPr>
          <w:p>
            <w:r>
              <w:rPr>
                <w:b/>
                <w:color w:val="FFFFFF"/>
                <w:sz w:val="18"/>
              </w:rPr>
              <w:t>Primary Specialist</w:t>
            </w:r>
          </w:p>
        </w:tc>
        <w:tc>
          <w:tcPr>
            <w:tcW w:type="dxa" w:w="5472"/>
            <w:shd w:fill="17324D"/>
            <w:vAlign w:val="center"/>
          </w:tcPr>
          <w:p>
            <w:r>
              <w:rPr>
                <w:b/>
                <w:color w:val="FFFFFF"/>
                <w:sz w:val="18"/>
              </w:rPr>
              <w:t>Typical Scope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7"/>
              </w:rPr>
              <w:t>TECHNICAL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>Technical Evaluator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Functional requirements, architecture, integration, SLA, performance, scalability.</w:t>
            </w:r>
          </w:p>
        </w:tc>
      </w:tr>
      <w:tr>
        <w:tc>
          <w:tcPr>
            <w:tcW w:type="dxa" w:w="1800"/>
            <w:vAlign w:val="top"/>
            <w:shd w:fill="F7F9FB"/>
          </w:tcPr>
          <w:p>
            <w:r>
              <w:rPr>
                <w:sz w:val="17"/>
              </w:rPr>
              <w:t>COMMERCIAL</w:t>
            </w:r>
          </w:p>
        </w:tc>
        <w:tc>
          <w:tcPr>
            <w:tcW w:type="dxa" w:w="2304"/>
            <w:vAlign w:val="top"/>
            <w:shd w:fill="F7F9FB"/>
          </w:tcPr>
          <w:p>
            <w:r>
              <w:rPr>
                <w:sz w:val="17"/>
              </w:rPr>
              <w:t>Commercial Evaluator</w:t>
            </w:r>
          </w:p>
        </w:tc>
        <w:tc>
          <w:tcPr>
            <w:tcW w:type="dxa" w:w="5472"/>
            <w:vAlign w:val="top"/>
            <w:shd w:fill="F7F9FB"/>
          </w:tcPr>
          <w:p>
            <w:r>
              <w:rPr>
                <w:sz w:val="17"/>
              </w:rPr>
              <w:t>Pricing, licensing, fees, commercial assumptions, TCO inputs, commercial thresholds.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7"/>
              </w:rPr>
              <w:t>COMPLIANCE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>Compliance Evaluator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Certifications, regulatory constraints, security requirements, data residency, mandatory compliance criteria.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t>The router may consider requirement content and evaluation_type in addition to category, but the MVP does not introduce additional specialist agents unless required to complete the end-to-end evaluation flow.</w:t>
      </w:r>
    </w:p>
    <w:p>
      <w:pPr>
        <w:pStyle w:val="Heading1"/>
      </w:pPr>
      <w:r>
        <w:t>3. Technical Evaluator</w:t>
      </w:r>
    </w:p>
    <w:p>
      <w:pPr>
        <w:spacing w:after="100" w:line="259" w:lineRule="auto"/>
      </w:pPr>
      <w:r>
        <w:t>The Technical Evaluator interprets technical requirements and maps vendor evidence to them. It must not act as the authoritative calculator for numeric thresholds.</w:t>
      </w:r>
    </w:p>
    <w:p>
      <w:pPr>
        <w:pStyle w:val="ListBullet"/>
      </w:pPr>
      <w:r>
        <w:t>Functional and non-functional requirements.</w:t>
      </w:r>
    </w:p>
    <w:p>
      <w:pPr>
        <w:pStyle w:val="ListBullet"/>
      </w:pPr>
      <w:r>
        <w:t>Software/system architecture and integrations.</w:t>
      </w:r>
    </w:p>
    <w:p>
      <w:pPr>
        <w:pStyle w:val="ListBullet"/>
      </w:pPr>
      <w:r>
        <w:t>API capabilities and technical constraints.</w:t>
      </w:r>
    </w:p>
    <w:p>
      <w:pPr>
        <w:pStyle w:val="ListBullet"/>
      </w:pPr>
      <w:r>
        <w:t>Availability, SLA, latency, throughput, scalability, and performance claims.</w:t>
      </w:r>
    </w:p>
    <w:p>
      <w:pPr>
        <w:pStyle w:val="Heading2"/>
      </w:pPr>
      <w:r>
        <w:t>Required behavior</w:t>
      </w:r>
    </w:p>
    <w:p>
      <w:pPr>
        <w:spacing w:after="100" w:line="259" w:lineRule="auto"/>
        <w:ind w:left="259" w:hanging="259"/>
      </w:pPr>
      <w:r>
        <w:rPr>
          <w:b/>
        </w:rPr>
        <w:t xml:space="preserve">1. </w:t>
      </w:r>
      <w:r>
        <w:t>Evaluate only the current vendor_id + proposal_id context.</w:t>
      </w:r>
    </w:p>
    <w:p>
      <w:pPr>
        <w:spacing w:after="100" w:line="259" w:lineRule="auto"/>
        <w:ind w:left="259" w:hanging="259"/>
      </w:pPr>
      <w:r>
        <w:rPr>
          <w:b/>
        </w:rPr>
        <w:t xml:space="preserve">2. </w:t>
      </w:r>
      <w:r>
        <w:t>Extract normalized evidence claims and attach resolvable SourcePointers.</w:t>
      </w:r>
    </w:p>
    <w:p>
      <w:pPr>
        <w:spacing w:after="100" w:line="259" w:lineRule="auto"/>
        <w:ind w:left="259" w:hanging="259"/>
      </w:pPr>
      <w:r>
        <w:rPr>
          <w:b/>
        </w:rPr>
        <w:t xml:space="preserve">3. </w:t>
      </w:r>
      <w:r>
        <w:t>Assign evidence relations: supports, partially_supports, contradicts, supersedes, or missing_for.</w:t>
      </w:r>
    </w:p>
    <w:p>
      <w:pPr>
        <w:spacing w:after="100" w:line="259" w:lineRule="auto"/>
        <w:ind w:left="259" w:hanging="259"/>
      </w:pPr>
      <w:r>
        <w:rPr>
          <w:b/>
        </w:rPr>
        <w:t xml:space="preserve">4. </w:t>
      </w:r>
      <w:r>
        <w:t>Propose a state and rationale only from cited evidence.</w:t>
      </w:r>
    </w:p>
    <w:p>
      <w:pPr>
        <w:spacing w:after="100" w:line="259" w:lineRule="auto"/>
        <w:ind w:left="259" w:hanging="259"/>
      </w:pPr>
      <w:r>
        <w:rPr>
          <w:b/>
        </w:rPr>
        <w:t xml:space="preserve">5. </w:t>
      </w:r>
      <w:r>
        <w:t>For numeric/SLA/threshold checks, extract the raw values and invoke the deterministic tool. The tool result is authoritative.</w:t>
      </w:r>
    </w:p>
    <w:p>
      <w:pPr>
        <w:pStyle w:val="CodeBlock"/>
        <w:shd w:fill="F4F6F8"/>
      </w:pPr>
      <w:r>
        <w:rPr>
          <w:rFonts w:ascii="Liberation Mono" w:hAnsi="Liberation Mono"/>
        </w:rPr>
        <w:t>Example</w:t>
        <w:br/>
        <w:t>Requirement: Availability &gt;= 99.99%</w:t>
        <w:br/>
        <w:t>Vendor evidence: 99.90% committed availability</w:t>
        <w:br/>
        <w:t>Evaluator: extract 99.90% and cite source</w:t>
        <w:br/>
        <w:t>Deterministic tool: compare(99.90, &gt;=, 99.99)</w:t>
        <w:br/>
        <w:t>Authoritative outcome: NOT_SATISFIED</w:t>
      </w:r>
    </w:p>
    <w:p>
      <w:pPr>
        <w:pStyle w:val="Heading1"/>
      </w:pPr>
      <w:r>
        <w:t>4. Commercial Evaluator</w:t>
      </w:r>
    </w:p>
    <w:p>
      <w:pPr>
        <w:spacing w:after="100" w:line="259" w:lineRule="auto"/>
      </w:pPr>
      <w:r>
        <w:t>The Commercial Evaluator extracts commercial facts and structures the inputs required for deterministic calculations. It must separate fact extraction from calculation.</w:t>
      </w:r>
    </w:p>
    <w:p>
      <w:pPr>
        <w:pStyle w:val="ListBullet"/>
      </w:pPr>
      <w:r>
        <w:t>License/subscription model.</w:t>
      </w:r>
    </w:p>
    <w:p>
      <w:pPr>
        <w:pStyle w:val="ListBullet"/>
      </w:pPr>
      <w:r>
        <w:t>One-time and recurring fees.</w:t>
      </w:r>
    </w:p>
    <w:p>
      <w:pPr>
        <w:pStyle w:val="ListBullet"/>
      </w:pPr>
      <w:r>
        <w:t>Implementation and support cost.</w:t>
      </w:r>
    </w:p>
    <w:p>
      <w:pPr>
        <w:pStyle w:val="ListBullet"/>
      </w:pPr>
      <w:r>
        <w:t>Usage-based pricing and contract assumptions.</w:t>
      </w:r>
    </w:p>
    <w:p>
      <w:pPr>
        <w:pStyle w:val="ListBullet"/>
      </w:pPr>
      <w:r>
        <w:t>TCO inputs and commercial threshold inputs.</w:t>
      </w:r>
    </w:p>
    <w:p>
      <w:pPr>
        <w:pStyle w:val="Heading2"/>
      </w:pPr>
      <w:r>
        <w:t>Deterministic boundary</w:t>
      </w:r>
    </w:p>
    <w:p>
      <w:pPr>
        <w:pStyle w:val="CodeBlock"/>
        <w:shd w:fill="F4F6F8"/>
      </w:pPr>
      <w:r>
        <w:rPr>
          <w:rFonts w:ascii="Liberation Mono" w:hAnsi="Liberation Mono"/>
        </w:rPr>
        <w:t>AI extracts:</w:t>
        <w:br/>
        <w:t xml:space="preserve">  annual_license = 120000</w:t>
        <w:br/>
        <w:t xml:space="preserve">  implementation_fee = 40000</w:t>
        <w:br/>
        <w:t xml:space="preserve">  support_per_year = 15000</w:t>
        <w:br/>
        <w:t xml:space="preserve">  contract_years = 3</w:t>
        <w:br/>
        <w:br/>
        <w:t>Deterministic tool computes:</w:t>
        <w:br/>
        <w:t xml:space="preserve">  TCO = annual_license * contract_years</w:t>
        <w:br/>
        <w:t xml:space="preserve">        + implementation_fee</w:t>
        <w:br/>
        <w:t xml:space="preserve">        + support_per_year * contract_years</w:t>
      </w:r>
    </w:p>
    <w:p>
      <w:pPr>
        <w:spacing w:after="100" w:line="259" w:lineRule="auto"/>
      </w:pPr>
      <w:r>
        <w:t>If pricing inputs are missing, ambiguous, or internally inconsistent, the evaluator must not invent assumptions. It should identify the missing inputs and allow the verifier to enforce the appropriate unresolved state.</w:t>
      </w:r>
    </w:p>
    <w:p>
      <w:pPr>
        <w:pStyle w:val="Heading1"/>
      </w:pPr>
      <w:r>
        <w:t>5. Compliance Evaluator</w:t>
      </w:r>
    </w:p>
    <w:p>
      <w:pPr>
        <w:spacing w:after="100" w:line="259" w:lineRule="auto"/>
      </w:pPr>
      <w:r>
        <w:t>The Compliance Evaluator assesses source-backed claims related to certifications, regulatory obligations, security controls, privacy, data residency, retention, and mandatory compliance criteria.</w:t>
      </w:r>
    </w:p>
    <w:p>
      <w:pPr>
        <w:pStyle w:val="ListBullet"/>
      </w:pPr>
      <w:r>
        <w:t>Distinguish a vendor assertion from verified supporting evidence.</w:t>
      </w:r>
    </w:p>
    <w:p>
      <w:pPr>
        <w:pStyle w:val="ListBullet"/>
      </w:pPr>
      <w:r>
        <w:t>Do not infer compliance from generic marketing language.</w:t>
      </w:r>
    </w:p>
    <w:p>
      <w:pPr>
        <w:pStyle w:val="ListBullet"/>
      </w:pPr>
      <w:r>
        <w:t>Preserve exact sources for certifications, residency statements, security claims, and exceptions.</w:t>
      </w:r>
    </w:p>
    <w:p>
      <w:pPr>
        <w:pStyle w:val="ListBullet"/>
      </w:pPr>
      <w:r>
        <w:t>Do not treat mandatory as automatically disqualifying unless the rubric explicitly defines that rule.</w:t>
      </w:r>
    </w:p>
    <w:p>
      <w:pPr>
        <w:pStyle w:val="ListBullet"/>
      </w:pPr>
      <w:r>
        <w:t>Delegate boolean/numeric hard gates to the deterministic rule engine when the rule is machine-evaluable.</w:t>
      </w:r>
    </w:p>
    <w:p>
      <w:pPr>
        <w:pStyle w:val="CodeBlock"/>
        <w:shd w:fill="F4F6F8"/>
      </w:pPr>
      <w:r>
        <w:rPr>
          <w:rFonts w:ascii="Liberation Mono" w:hAnsi="Liberation Mono"/>
        </w:rPr>
        <w:t>Vendor statement "We are GDPR compliant" is a claim, not automatically a SATISFIED result. The system must evaluate the claim against the requirement using source-backed evidence and applicable deterministic rules.</w:t>
      </w:r>
    </w:p>
    <w:p>
      <w:pPr>
        <w:pStyle w:val="Heading1"/>
      </w:pPr>
      <w:r>
        <w:t>6. Skeptical Verifier</w:t>
      </w:r>
    </w:p>
    <w:p>
      <w:pPr>
        <w:spacing w:after="100" w:line="259" w:lineRule="auto"/>
      </w:pPr>
      <w:r>
        <w:t>The Skeptical Verifier is an independent critic and gatekeeper. It is not a free-form summarizer. An evaluator result must not become user-visible until the verifier has checked its evidentiary integrity.</w:t>
      </w:r>
    </w:p>
    <w:p>
      <w:pPr>
        <w:spacing w:after="100" w:line="259" w:lineRule="auto"/>
        <w:ind w:left="259" w:hanging="259"/>
      </w:pPr>
      <w:r>
        <w:rPr>
          <w:b/>
        </w:rPr>
        <w:t xml:space="preserve">1. </w:t>
      </w:r>
      <w:r>
        <w:t>Every cited EvidenceClaim resolves to a SourcePointer and Document.</w:t>
      </w:r>
    </w:p>
    <w:p>
      <w:pPr>
        <w:spacing w:after="100" w:line="259" w:lineRule="auto"/>
        <w:ind w:left="259" w:hanging="259"/>
      </w:pPr>
      <w:r>
        <w:rPr>
          <w:b/>
        </w:rPr>
        <w:t xml:space="preserve">2. </w:t>
      </w:r>
      <w:r>
        <w:t>The source belongs to the same vendor and exact proposal version.</w:t>
      </w:r>
    </w:p>
    <w:p>
      <w:pPr>
        <w:spacing w:after="100" w:line="259" w:lineRule="auto"/>
        <w:ind w:left="259" w:hanging="259"/>
      </w:pPr>
      <w:r>
        <w:rPr>
          <w:b/>
        </w:rPr>
        <w:t xml:space="preserve">3. </w:t>
      </w:r>
      <w:r>
        <w:t>The source excerpt actually supports the normalized claim rather than merely sharing keywords.</w:t>
      </w:r>
    </w:p>
    <w:p>
      <w:pPr>
        <w:spacing w:after="100" w:line="259" w:lineRule="auto"/>
        <w:ind w:left="259" w:hanging="259"/>
      </w:pPr>
      <w:r>
        <w:rPr>
          <w:b/>
        </w:rPr>
        <w:t xml:space="preserve">4. </w:t>
      </w:r>
      <w:r>
        <w:t>The claim is relevant to the Requirement.</w:t>
      </w:r>
    </w:p>
    <w:p>
      <w:pPr>
        <w:spacing w:after="100" w:line="259" w:lineRule="auto"/>
        <w:ind w:left="259" w:hanging="259"/>
      </w:pPr>
      <w:r>
        <w:rPr>
          <w:b/>
        </w:rPr>
        <w:t xml:space="preserve">5. </w:t>
      </w:r>
      <w:r>
        <w:t>Material supporting and contradicting claims are paired explicitly.</w:t>
      </w:r>
    </w:p>
    <w:p>
      <w:pPr>
        <w:spacing w:after="100" w:line="259" w:lineRule="auto"/>
        <w:ind w:left="259" w:hanging="259"/>
      </w:pPr>
      <w:r>
        <w:rPr>
          <w:b/>
        </w:rPr>
        <w:t xml:space="preserve">6. </w:t>
      </w:r>
      <w:r>
        <w:t>Missing evidence is not mislabeled as negative evidence.</w:t>
      </w:r>
    </w:p>
    <w:p>
      <w:pPr>
        <w:spacing w:after="100" w:line="259" w:lineRule="auto"/>
        <w:ind w:left="259" w:hanging="259"/>
      </w:pPr>
      <w:r>
        <w:rPr>
          <w:b/>
        </w:rPr>
        <w:t xml:space="preserve">7. </w:t>
      </w:r>
      <w:r>
        <w:t>Any deterministic result came from an authoritative tool and has traceable inputs.</w:t>
      </w:r>
    </w:p>
    <w:p>
      <w:pPr>
        <w:spacing w:after="100" w:line="259" w:lineRule="auto"/>
        <w:ind w:left="259" w:hanging="259"/>
      </w:pPr>
      <w:r>
        <w:rPr>
          <w:b/>
        </w:rPr>
        <w:t xml:space="preserve">8. </w:t>
      </w:r>
      <w:r>
        <w:t>The rationale introduces no uncited factual assertions.</w:t>
      </w:r>
    </w:p>
    <w:p>
      <w:pPr>
        <w:spacing w:after="100" w:line="259" w:lineRule="auto"/>
        <w:ind w:left="259" w:hanging="259"/>
      </w:pPr>
      <w:r>
        <w:rPr>
          <w:b/>
        </w:rPr>
        <w:t xml:space="preserve">9. </w:t>
      </w:r>
      <w:r>
        <w:t>The final state follows the canonical state rules and precedence.</w:t>
      </w:r>
    </w:p>
    <w:p>
      <w:pPr>
        <w:pStyle w:val="Heading2"/>
      </w:pPr>
      <w:r>
        <w:t>Conflict behavior</w:t>
      </w:r>
    </w:p>
    <w:p>
      <w:pPr>
        <w:spacing w:after="100" w:line="259" w:lineRule="auto"/>
      </w:pPr>
      <w:r>
        <w:t>When two or more credible, resolvable sources for the same vendor/proposal are materially incompatible, the verifier must preserve both sides and return CONFLICTING_EVIDENCE. It must not silently choose one, average them, or hide the contradiction inside a lower confidence score.</w:t>
      </w:r>
    </w:p>
    <w:p>
      <w:pPr>
        <w:pStyle w:val="Heading1"/>
      </w:pPr>
      <w:r>
        <w:t>7. Retrieval-Before-Evaluation Constraint</w:t>
      </w:r>
    </w:p>
    <w:p>
      <w:pPr>
        <w:spacing w:after="100" w:line="259" w:lineRule="auto"/>
      </w:pPr>
      <w:r>
        <w:t>Specialist evaluators must not receive the entire vendor proposal by default. The runtime performs vendor-scoped retrieval first and sends only a bounded set of candidate evidence chunks to the selected evaluator.</w:t>
      </w:r>
    </w:p>
    <w:p>
      <w:pPr>
        <w:pStyle w:val="CodeBlock"/>
        <w:shd w:fill="F4F6F8"/>
      </w:pPr>
      <w:r>
        <w:rPr>
          <w:rFonts w:ascii="Liberation Mono" w:hAnsi="Liberation Mono"/>
        </w:rPr>
        <w:t>Requirement -&gt; filter(vendor_id, proposal_id) -&gt; semantic retrieval -&gt; Top-K candidate chunks -&gt; Specialist Evaluator</w:t>
      </w:r>
    </w:p>
    <w:p>
      <w:pPr>
        <w:pStyle w:val="ListBullet"/>
      </w:pPr>
      <w:r>
        <w:t>Mandatory filters: vendor_id and proposal_id. Retrieval must never mix vendors or proposal versions.</w:t>
      </w:r>
    </w:p>
    <w:p>
      <w:pPr>
        <w:pStyle w:val="ListBullet"/>
      </w:pPr>
      <w:r>
        <w:t>Retrieval query should use requirement description, category, and relevant rubric context.</w:t>
      </w:r>
    </w:p>
    <w:p>
      <w:pPr>
        <w:pStyle w:val="ListBullet"/>
      </w:pPr>
      <w:r>
        <w:t>Top-K is configuration, not a hard-coded domain rule. The MVP should choose a small bounded value and tune it against the controlled benchmark.</w:t>
      </w:r>
    </w:p>
    <w:p>
      <w:pPr>
        <w:pStyle w:val="ListBullet"/>
      </w:pPr>
      <w:r>
        <w:t>Each retrieved chunk must preserve its source metadata so a SourcePointer can be created without re-inference.</w:t>
      </w:r>
    </w:p>
    <w:p>
      <w:pPr>
        <w:pStyle w:val="ListBullet"/>
      </w:pPr>
      <w:r>
        <w:t>If retrieval returns no responsive evidence, the specialist must not fabricate a conclusion.</w:t>
      </w:r>
    </w:p>
    <w:p>
      <w:pPr>
        <w:spacing w:after="100" w:line="259" w:lineRule="auto"/>
      </w:pPr>
      <w:r>
        <w:t>This constraint exists to control context size and token usage while preserving vendor isolation and citation fidelity.</w:t>
      </w:r>
    </w:p>
    <w:p>
      <w:pPr>
        <w:pStyle w:val="Heading1"/>
      </w:pPr>
      <w:r>
        <w:t>8. Common Specialist Evaluator Input JSON</w:t>
      </w:r>
    </w:p>
    <w:p>
      <w:pPr>
        <w:pStyle w:val="CodeBlock"/>
        <w:shd w:fill="F4F6F8"/>
      </w:pPr>
      <w:r>
        <w:rPr>
          <w:rFonts w:ascii="Liberation Mono" w:hAnsi="Liberation Mono"/>
        </w:rPr>
        <w:t>{</w:t>
        <w:br/>
        <w:t xml:space="preserve">  "evaluation_id": "EVL_01...",</w:t>
        <w:br/>
        <w:t xml:space="preserve">  "requirement": {</w:t>
        <w:br/>
        <w:t xml:space="preserve">    "requirement_id": "REQ_01...",</w:t>
        <w:br/>
        <w:t xml:space="preserve">    "requirement_code": "SEC-01",</w:t>
        <w:br/>
        <w:t xml:space="preserve">    "category": "COMPLIANCE",</w:t>
        <w:br/>
        <w:t xml:space="preserve">    "description": "Customer production data must remain within the European Union.",</w:t>
        <w:br/>
        <w:t xml:space="preserve">    "mandatory": true,</w:t>
        <w:br/>
        <w:t xml:space="preserve">    "evaluation_type": "SEMANTIC",</w:t>
        <w:br/>
        <w:t xml:space="preserve">    "weight": 10,</w:t>
        <w:br/>
        <w:t xml:space="preserve">    "threshold": null,</w:t>
        <w:br/>
        <w:t xml:space="preserve">    "source_pointer_id": "PTR_RFP_01..."</w:t>
        <w:br/>
        <w:t xml:space="preserve">  },</w:t>
        <w:br/>
        <w:t xml:space="preserve">  "vendor": {</w:t>
        <w:br/>
        <w:t xml:space="preserve">    "vendor_id": "VEN_01...",</w:t>
        <w:br/>
        <w:t xml:space="preserve">    "proposal_id": "PROP_01...",</w:t>
        <w:br/>
        <w:t xml:space="preserve">    "proposal_version": 1</w:t>
        <w:br/>
        <w:t xml:space="preserve">  },</w:t>
        <w:br/>
        <w:t xml:space="preserve">  "stable_context": {</w:t>
        <w:br/>
        <w:t xml:space="preserve">    "rfp_id": "RFP_01...",</w:t>
        <w:br/>
        <w:t xml:space="preserve">    "rubric_id": "RUB_01...",</w:t>
        <w:br/>
        <w:t xml:space="preserve">    "cache_prefix_version": "v1"</w:t>
        <w:br/>
        <w:t xml:space="preserve">  },</w:t>
        <w:br/>
        <w:t xml:space="preserve">  "evidence_chunks": [</w:t>
        <w:br/>
        <w:t xml:space="preserve">    {</w:t>
        <w:br/>
        <w:t xml:space="preserve">      "chunk_id": "CHK_001",</w:t>
        <w:br/>
        <w:t xml:space="preserve">      "text": "Customer production data is hosted exclusively in EU regions.",</w:t>
        <w:br/>
        <w:t xml:space="preserve">      "source_pointer": {</w:t>
        <w:br/>
        <w:t xml:space="preserve">        "document_id": "DOC_01...",</w:t>
        <w:br/>
        <w:t xml:space="preserve">        "document_name": "VendorA_Technical_Proposal.pdf",</w:t>
        <w:br/>
        <w:t xml:space="preserve">        "document_version": 1,</w:t>
        <w:br/>
        <w:t xml:space="preserve">        "page_number": 17,</w:t>
        <w:br/>
        <w:t xml:space="preserve">        "section": "6.2 Data Residency",</w:t>
        <w:br/>
        <w:t xml:space="preserve">        "line_start": 120,</w:t>
        <w:br/>
        <w:t xml:space="preserve">        "line_end": 124,</w:t>
        <w:br/>
        <w:t xml:space="preserve">        "sheet_name": null,</w:t>
        <w:br/>
        <w:t xml:space="preserve">        "row_start": null,</w:t>
        <w:br/>
        <w:t xml:space="preserve">        "row_end": null,</w:t>
        <w:br/>
        <w:t xml:space="preserve">        "chunk_id": "CHK_001",</w:t>
        <w:br/>
        <w:t xml:space="preserve">        "content_hash": "sha256:...",</w:t>
        <w:br/>
        <w:t xml:space="preserve">        "resolvable": true</w:t>
        <w:br/>
        <w:t xml:space="preserve">      }</w:t>
        <w:br/>
        <w:t xml:space="preserve">    }</w:t>
        <w:br/>
        <w:t xml:space="preserve">  ],</w:t>
        <w:br/>
        <w:t xml:space="preserve">  "available_tools": [</w:t>
        <w:br/>
        <w:t xml:space="preserve">    "numeric_threshold_check",</w:t>
        <w:br/>
        <w:t xml:space="preserve">    "boolean_rule_check",</w:t>
        <w:br/>
        <w:t xml:space="preserve">    "tco_calculator",</w:t>
        <w:br/>
        <w:t xml:space="preserve">    "weighted_score_calculator"</w:t>
        <w:br/>
        <w:t xml:space="preserve">  ]</w:t>
        <w:br/>
        <w:t>}</w:t>
      </w:r>
    </w:p>
    <w:p>
      <w:pPr>
        <w:pStyle w:val="Heading1"/>
      </w:pPr>
      <w:r>
        <w:t>9. Specialist Evaluator Output JSON</w:t>
      </w:r>
    </w:p>
    <w:p>
      <w:pPr>
        <w:pStyle w:val="CodeBlock"/>
        <w:shd w:fill="F4F6F8"/>
      </w:pPr>
      <w:r>
        <w:rPr>
          <w:rFonts w:ascii="Liberation Mono" w:hAnsi="Liberation Mono"/>
        </w:rPr>
        <w:t>{</w:t>
        <w:br/>
        <w:t xml:space="preserve">  "agent_type": "COMPLIANCE_EVALUATOR",</w:t>
        <w:br/>
        <w:t xml:space="preserve">  "requirement_id": "REQ_01...",</w:t>
        <w:br/>
        <w:t xml:space="preserve">  "vendor_id": "VEN_01...",</w:t>
        <w:br/>
        <w:t xml:space="preserve">  "proposal_id": "PROP_01...",</w:t>
        <w:br/>
        <w:t xml:space="preserve">  "evidence_claims": [</w:t>
        <w:br/>
        <w:t xml:space="preserve">    {</w:t>
        <w:br/>
        <w:t xml:space="preserve">      "evidence_claim_id": "EVC_01...",</w:t>
        <w:br/>
        <w:t xml:space="preserve">      "claim_text": "Vendor states production customer data remains in the EU.",</w:t>
        <w:br/>
        <w:t xml:space="preserve">      "relation": "supports",</w:t>
        <w:br/>
        <w:t xml:space="preserve">      "confidence": 0.93,</w:t>
        <w:br/>
        <w:t xml:space="preserve">      "source_pointer": {</w:t>
        <w:br/>
        <w:t xml:space="preserve">        "document_id": "DOC_01...",</w:t>
        <w:br/>
        <w:t xml:space="preserve">        "document_name": "VendorA_Technical_Proposal.pdf",</w:t>
        <w:br/>
        <w:t xml:space="preserve">        "document_version": 1,</w:t>
        <w:br/>
        <w:t xml:space="preserve">        "page_number": 17,</w:t>
        <w:br/>
        <w:t xml:space="preserve">        "section": "6.2 Data Residency",</w:t>
        <w:br/>
        <w:t xml:space="preserve">        "line_start": 120,</w:t>
        <w:br/>
        <w:t xml:space="preserve">        "line_end": 124,</w:t>
        <w:br/>
        <w:t xml:space="preserve">        "chunk_id": "CHK_001",</w:t>
        <w:br/>
        <w:t xml:space="preserve">        "content_hash": "sha256:...",</w:t>
        <w:br/>
        <w:t xml:space="preserve">        "resolvable": true</w:t>
        <w:br/>
        <w:t xml:space="preserve">      }</w:t>
        <w:br/>
        <w:t xml:space="preserve">    }</w:t>
        <w:br/>
        <w:t xml:space="preserve">  ],</w:t>
        <w:br/>
        <w:t xml:space="preserve">  "deterministic_result": null,</w:t>
        <w:br/>
        <w:t xml:space="preserve">  "suggested_state": "SATISFIED",</w:t>
        <w:br/>
        <w:t xml:space="preserve">  "suggested_score": 10,</w:t>
        <w:br/>
        <w:t xml:space="preserve">  "rationale": "The cited proposal section explicitly states that production customer data remains within EU regions.",</w:t>
        <w:br/>
        <w:t xml:space="preserve">  "confidence": 0.91</w:t>
        <w:br/>
        <w:t>}</w:t>
      </w:r>
    </w:p>
    <w:p>
      <w:pPr>
        <w:spacing w:after="100" w:line="259" w:lineRule="auto"/>
      </w:pPr>
      <w:r>
        <w:t>Confidence is metadata about extraction/mapping quality; it is not a truth probability and never substitutes for evidence.</w:t>
      </w:r>
    </w:p>
    <w:p>
      <w:pPr>
        <w:pStyle w:val="Heading1"/>
      </w:pPr>
      <w:r>
        <w:t>10. Skeptical Verifier Output JSON</w:t>
      </w:r>
    </w:p>
    <w:p>
      <w:pPr>
        <w:pStyle w:val="CodeBlock"/>
        <w:shd w:fill="F4F6F8"/>
      </w:pPr>
      <w:r>
        <w:rPr>
          <w:rFonts w:ascii="Liberation Mono" w:hAnsi="Liberation Mono"/>
        </w:rPr>
        <w:t>{</w:t>
        <w:br/>
        <w:t xml:space="preserve">  "requirement_id": "REQ_01...",</w:t>
        <w:br/>
        <w:t xml:space="preserve">  "vendor_id": "VEN_01...",</w:t>
        <w:br/>
        <w:t xml:space="preserve">  "proposal_id": "PROP_01...",</w:t>
        <w:br/>
        <w:t xml:space="preserve">  "verification_state": "CONFLICTING_EVIDENCE",</w:t>
        <w:br/>
        <w:t xml:space="preserve">  "verified_claim_ids": ["EVC_01...", "EVC_02..."],</w:t>
        <w:br/>
        <w:t xml:space="preserve">  "supporting_claim_ids": ["EVC_01..."],</w:t>
        <w:br/>
        <w:t xml:space="preserve">  "contradicting_claim_ids": ["EVC_02..."],</w:t>
        <w:br/>
        <w:t xml:space="preserve">  "conflict_pairs": [</w:t>
        <w:br/>
        <w:t xml:space="preserve">    {</w:t>
        <w:br/>
        <w:t xml:space="preserve">      "supporting_claim_id": "EVC_01...",</w:t>
        <w:br/>
        <w:t xml:space="preserve">      "contradicting_claim_id": "EVC_02...",</w:t>
        <w:br/>
        <w:t xml:space="preserve">      "conflict_type": "DATA_RESIDENCY",</w:t>
        <w:br/>
        <w:t xml:space="preserve">      "resolution_status": "UNRESOLVED"</w:t>
        <w:br/>
        <w:t xml:space="preserve">    }</w:t>
        <w:br/>
        <w:t xml:space="preserve">  ],</w:t>
        <w:br/>
        <w:t xml:space="preserve">  "deterministic_result_verified": true,</w:t>
        <w:br/>
        <w:t xml:space="preserve">  "verifier_rationale": "The technical proposal states production data remains in the EU, while the security appendix states telemetry may be processed in the United States. Both source pointers are resolvable.",</w:t>
        <w:br/>
        <w:t xml:space="preserve">  "suggested_clarification": "Clarify whether telemetry contains customer production data and identify its processing locations."</w:t>
        <w:br/>
        <w:t>}</w:t>
      </w:r>
    </w:p>
    <w:p>
      <w:pPr>
        <w:spacing w:after="100" w:line="259" w:lineRule="auto"/>
      </w:pPr>
      <w:r>
        <w:t>conflict_pairs is the canonical representation for material evidence-vs-evidence conflicts. It allows the Evidence Matrix to render the two exact sources side by side without heuristic pairing.</w:t>
      </w:r>
    </w:p>
    <w:p>
      <w:pPr>
        <w:pStyle w:val="Heading1"/>
      </w:pPr>
      <w:r>
        <w:t>11. Canonical Evaluation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shd w:fill="17324D"/>
            <w:vAlign w:val="center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032"/>
            <w:shd w:fill="17324D"/>
            <w:vAlign w:val="center"/>
          </w:tcPr>
          <w:p>
            <w:r>
              <w:rPr>
                <w:b/>
                <w:color w:val="FFFFFF"/>
                <w:sz w:val="18"/>
              </w:rPr>
              <w:t>Use When</w:t>
            </w:r>
          </w:p>
        </w:tc>
        <w:tc>
          <w:tcPr>
            <w:tcW w:type="dxa" w:w="3888"/>
            <w:shd w:fill="17324D"/>
            <w:vAlign w:val="center"/>
          </w:tcPr>
          <w:p>
            <w:r>
              <w:rPr>
                <w:b/>
                <w:color w:val="FFFFFF"/>
                <w:sz w:val="18"/>
              </w:rPr>
              <w:t>Do Not Use When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SATISFIED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7"/>
              </w:rPr>
              <w:t>Resolvable evidence demonstrates fulfillment; applicable deterministic checks pass; no unresolved material conflict exists.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Evidence is missing, unresolved, or materially contradictory.</w:t>
            </w:r>
          </w:p>
        </w:tc>
      </w:tr>
      <w:tr>
        <w:tc>
          <w:tcPr>
            <w:tcW w:type="dxa" w:w="2160"/>
            <w:vAlign w:val="top"/>
            <w:shd w:fill="F7F9FB"/>
          </w:tcPr>
          <w:p>
            <w:r>
              <w:rPr>
                <w:sz w:val="17"/>
              </w:rPr>
              <w:t>PARTIALLY_SATISFIED</w:t>
            </w:r>
          </w:p>
        </w:tc>
        <w:tc>
          <w:tcPr>
            <w:tcW w:type="dxa" w:w="4032"/>
            <w:vAlign w:val="top"/>
            <w:shd w:fill="F7F9FB"/>
          </w:tcPr>
          <w:p>
            <w:r>
              <w:rPr>
                <w:sz w:val="17"/>
              </w:rPr>
              <w:t>A specific portion of a multi-part/graded requirement is demonstrably fulfilled and the unfulfilled portion is identifiable.</w:t>
            </w:r>
          </w:p>
        </w:tc>
        <w:tc>
          <w:tcPr>
            <w:tcW w:type="dxa" w:w="3888"/>
            <w:vAlign w:val="top"/>
            <w:shd w:fill="F7F9FB"/>
          </w:tcPr>
          <w:p>
            <w:r>
              <w:rPr>
                <w:sz w:val="17"/>
              </w:rPr>
              <w:t>Confidence is merely low.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NOT_SATISFIED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7"/>
              </w:rPr>
              <w:t>Sufficient evidence demonstrates failure, or an authoritative deterministic check fails.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Evidence is simply absent or non-responsive.</w:t>
            </w:r>
          </w:p>
        </w:tc>
      </w:tr>
      <w:tr>
        <w:tc>
          <w:tcPr>
            <w:tcW w:type="dxa" w:w="2160"/>
            <w:vAlign w:val="top"/>
            <w:shd w:fill="F7F9FB"/>
          </w:tcPr>
          <w:p>
            <w:r>
              <w:rPr>
                <w:sz w:val="17"/>
              </w:rPr>
              <w:t>CONFLICTING_EVIDENCE</w:t>
            </w:r>
          </w:p>
        </w:tc>
        <w:tc>
          <w:tcPr>
            <w:tcW w:type="dxa" w:w="4032"/>
            <w:vAlign w:val="top"/>
            <w:shd w:fill="F7F9FB"/>
          </w:tcPr>
          <w:p>
            <w:r>
              <w:rPr>
                <w:sz w:val="17"/>
              </w:rPr>
              <w:t>Two or more credible resolvable sources are materially incompatible.</w:t>
            </w:r>
          </w:p>
        </w:tc>
        <w:tc>
          <w:tcPr>
            <w:tcW w:type="dxa" w:w="3888"/>
            <w:vAlign w:val="top"/>
            <w:shd w:fill="F7F9FB"/>
          </w:tcPr>
          <w:p>
            <w:r>
              <w:rPr>
                <w:sz w:val="17"/>
              </w:rPr>
              <w:t>Only one side is sourced, or the issue is merely missing evidence.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INSUFFICIENT_EVIDENCE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7"/>
              </w:rPr>
              <w:t>No defensible conclusion is possible because evidence is absent, ambiguous, non-responsive, or unresolvable.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A sourced deterministic failure or sourced material contradiction exists.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t>Agents must not invent additional user-visible evaluation states in the MVP.</w:t>
      </w:r>
    </w:p>
    <w:p>
      <w:pPr>
        <w:pStyle w:val="Heading1"/>
      </w:pPr>
      <w:r>
        <w:t>12. Mandatory Abstention Rules</w:t>
      </w:r>
    </w:p>
    <w:p>
      <w:pPr>
        <w:spacing w:after="100" w:line="259" w:lineRule="auto"/>
      </w:pPr>
      <w:r>
        <w:t>INSUFFICIENT_EVIDENCE is VeriBid’s explicit evidentiary abstention state. The evaluator/verifier must abstain when:</w:t>
      </w:r>
    </w:p>
    <w:p>
      <w:pPr>
        <w:spacing w:after="100" w:line="259" w:lineRule="auto"/>
        <w:ind w:left="259" w:hanging="259"/>
      </w:pPr>
      <w:r>
        <w:rPr>
          <w:b/>
        </w:rPr>
        <w:t xml:space="preserve">1. </w:t>
      </w:r>
      <w:r>
        <w:t>No direct evidence relevant to the requirement is found.</w:t>
      </w:r>
    </w:p>
    <w:p>
      <w:pPr>
        <w:spacing w:after="100" w:line="259" w:lineRule="auto"/>
        <w:ind w:left="259" w:hanging="259"/>
      </w:pPr>
      <w:r>
        <w:rPr>
          <w:b/>
        </w:rPr>
        <w:t xml:space="preserve">2. </w:t>
      </w:r>
      <w:r>
        <w:t>Evidence exists but does not actually answer the requirement.</w:t>
      </w:r>
    </w:p>
    <w:p>
      <w:pPr>
        <w:spacing w:after="100" w:line="259" w:lineRule="auto"/>
        <w:ind w:left="259" w:hanging="259"/>
      </w:pPr>
      <w:r>
        <w:rPr>
          <w:b/>
        </w:rPr>
        <w:t xml:space="preserve">3. </w:t>
      </w:r>
      <w:r>
        <w:t>The required SourcePointer is missing.</w:t>
      </w:r>
    </w:p>
    <w:p>
      <w:pPr>
        <w:spacing w:after="100" w:line="259" w:lineRule="auto"/>
        <w:ind w:left="259" w:hanging="259"/>
      </w:pPr>
      <w:r>
        <w:rPr>
          <w:b/>
        </w:rPr>
        <w:t xml:space="preserve">4. </w:t>
      </w:r>
      <w:r>
        <w:t>The SourcePointer exists but cannot resolve.</w:t>
      </w:r>
    </w:p>
    <w:p>
      <w:pPr>
        <w:spacing w:after="100" w:line="259" w:lineRule="auto"/>
        <w:ind w:left="259" w:hanging="259"/>
      </w:pPr>
      <w:r>
        <w:rPr>
          <w:b/>
        </w:rPr>
        <w:t xml:space="preserve">5. </w:t>
      </w:r>
      <w:r>
        <w:t>The proposed conclusion depends on model inference rather than source content.</w:t>
      </w:r>
    </w:p>
    <w:p>
      <w:pPr>
        <w:spacing w:after="100" w:line="259" w:lineRule="auto"/>
        <w:ind w:left="259" w:hanging="259"/>
      </w:pPr>
      <w:r>
        <w:rPr>
          <w:b/>
        </w:rPr>
        <w:t xml:space="preserve">6. </w:t>
      </w:r>
      <w:r>
        <w:t>Evidence is too ambiguous to support a defensible conclusion.</w:t>
      </w:r>
    </w:p>
    <w:p>
      <w:pPr>
        <w:spacing w:after="100" w:line="259" w:lineRule="auto"/>
        <w:ind w:left="259" w:hanging="259"/>
      </w:pPr>
      <w:r>
        <w:rPr>
          <w:b/>
        </w:rPr>
        <w:t xml:space="preserve">7. </w:t>
      </w:r>
      <w:r>
        <w:t>A numeric/boolean/formula requirement needs deterministic inputs that are missing or ambiguous.</w:t>
      </w:r>
    </w:p>
    <w:p>
      <w:pPr>
        <w:spacing w:after="100" w:line="259" w:lineRule="auto"/>
        <w:ind w:left="259" w:hanging="259"/>
      </w:pPr>
      <w:r>
        <w:rPr>
          <w:b/>
        </w:rPr>
        <w:t xml:space="preserve">8. </w:t>
      </w:r>
      <w:r>
        <w:t>The rationale requires a factual assertion for which no source-backed evidence exists.</w:t>
      </w:r>
    </w:p>
    <w:p>
      <w:pPr>
        <w:pStyle w:val="CodeBlock"/>
        <w:shd w:fill="F4F6F8"/>
      </w:pPr>
      <w:r>
        <w:rPr>
          <w:rFonts w:ascii="Liberation Mono" w:hAnsi="Liberation Mono"/>
        </w:rPr>
        <w:t>No evidence != NOT_SATISFIED</w:t>
        <w:br/>
        <w:t>No evidence -&gt; INSUFFICIENT_EVIDENCE</w:t>
        <w:br/>
        <w:br/>
        <w:t>Grounded material contradiction -&gt; CONFLICTING_EVIDENCE</w:t>
      </w:r>
    </w:p>
    <w:p>
      <w:pPr>
        <w:pStyle w:val="Heading1"/>
      </w:pPr>
      <w:r>
        <w:t>13. Citation / SourcePointer Contract</w:t>
      </w:r>
    </w:p>
    <w:p>
      <w:pPr>
        <w:spacing w:after="100" w:line="259" w:lineRule="auto"/>
      </w:pPr>
      <w:r>
        <w:t>Every user-visible factual assessment must reference at least one resolvable SourcePointer. Store the strongest stable locator available for the document 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728"/>
            <w:shd w:fill="17324D"/>
            <w:vAlign w:val="center"/>
          </w:tcPr>
          <w:p>
            <w:r>
              <w:rPr>
                <w:b/>
                <w:color w:val="FFFFFF"/>
                <w:sz w:val="18"/>
              </w:rPr>
              <w:t>Document Type</w:t>
            </w:r>
          </w:p>
        </w:tc>
        <w:tc>
          <w:tcPr>
            <w:tcW w:type="dxa" w:w="8352"/>
            <w:shd w:fill="17324D"/>
            <w:vAlign w:val="center"/>
          </w:tcPr>
          <w:p>
            <w:r>
              <w:rPr>
                <w:b/>
                <w:color w:val="FFFFFF"/>
                <w:sz w:val="18"/>
              </w:rPr>
              <w:t>Preferred Locator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PDF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7"/>
              </w:rPr>
              <w:t>Document name + page number + section/heading + line range when available + chunk_id + document version + content hash.</w:t>
            </w:r>
          </w:p>
        </w:tc>
      </w:tr>
      <w:tr>
        <w:tc>
          <w:tcPr>
            <w:tcW w:type="dxa" w:w="1728"/>
            <w:vAlign w:val="top"/>
            <w:shd w:fill="F7F9FB"/>
          </w:tcPr>
          <w:p>
            <w:r>
              <w:rPr>
                <w:sz w:val="17"/>
              </w:rPr>
              <w:t>DOCX</w:t>
            </w:r>
          </w:p>
        </w:tc>
        <w:tc>
          <w:tcPr>
            <w:tcW w:type="dxa" w:w="8352"/>
            <w:vAlign w:val="top"/>
            <w:shd w:fill="F7F9FB"/>
          </w:tcPr>
          <w:p>
            <w:r>
              <w:rPr>
                <w:sz w:val="17"/>
              </w:rPr>
              <w:t>Document name + stable page when available + heading/section + paragraph/stable extraction locator + chunk_id + document version + content hash.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XLSX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7"/>
              </w:rPr>
              <w:t>Workbook/document name + sheet_name + cell/range or row range + chunk_id + document version + content hash.</w:t>
            </w:r>
          </w:p>
        </w:tc>
      </w:tr>
    </w:tbl>
    <w:p>
      <w:pPr>
        <w:spacing w:after="100" w:line="259" w:lineRule="auto"/>
      </w:pPr>
    </w:p>
    <w:p>
      <w:pPr>
        <w:pStyle w:val="CodeBlock"/>
        <w:shd w:fill="F4F6F8"/>
      </w:pPr>
      <w:r>
        <w:rPr>
          <w:rFonts w:ascii="Liberation Mono" w:hAnsi="Liberation Mono"/>
        </w:rPr>
        <w:t>{</w:t>
        <w:br/>
        <w:t xml:space="preserve">  "document_name": "VendorA_Security_Appendix.pdf",</w:t>
        <w:br/>
        <w:t xml:space="preserve">  "page_number": 12,</w:t>
        <w:br/>
        <w:t xml:space="preserve">  "section": "4.2 Data Processing",</w:t>
        <w:br/>
        <w:t xml:space="preserve">  "line_start": 88,</w:t>
        <w:br/>
        <w:t xml:space="preserve">  "line_end": 93,</w:t>
        <w:br/>
        <w:t xml:space="preserve">  "chunk_id": "CHK_8F31",</w:t>
        <w:br/>
        <w:t xml:space="preserve">  "document_version": 1,</w:t>
        <w:br/>
        <w:t xml:space="preserve">  "content_hash": "sha256:...",</w:t>
        <w:br/>
        <w:t xml:space="preserve">  "resolvable": true</w:t>
        <w:br/>
        <w:t>}</w:t>
      </w:r>
    </w:p>
    <w:p>
      <w:pPr>
        <w:pStyle w:val="CodeBlock"/>
        <w:shd w:fill="F4F6F8"/>
      </w:pPr>
      <w:r>
        <w:rPr>
          <w:rFonts w:ascii="Liberation Mono" w:hAnsi="Liberation Mono"/>
        </w:rPr>
        <w:t>No resolvable SourcePointer -&gt; claim is not grounded -&gt; INSUFFICIENT_EVIDENCE</w:t>
      </w:r>
    </w:p>
    <w:p>
      <w:pPr>
        <w:pStyle w:val="Heading1"/>
      </w:pPr>
      <w:r>
        <w:t>14. Meta-Prompt Guardrails</w:t>
      </w:r>
    </w:p>
    <w:p>
      <w:pPr>
        <w:pStyle w:val="CodeBlock"/>
        <w:shd w:fill="F4F6F8"/>
      </w:pPr>
      <w:r>
        <w:rPr>
          <w:rFonts w:ascii="Liberation Mono" w:hAnsi="Liberation Mono"/>
        </w:rPr>
        <w:t>NEVER present an unsupported factual assertion as evidence.</w:t>
        <w:br/>
        <w:t>EVERY factual assessment must reference one or more resolvable SourcePointers.</w:t>
        <w:br/>
        <w:t>DO NOT infer missing vendor capabilities.</w:t>
        <w:br/>
        <w:t>DO NOT convert missing evidence into negative evidence.</w:t>
        <w:br/>
        <w:t>DO NOT use evidence belonging to another vendor or proposal version.</w:t>
        <w:br/>
        <w:t>DO NOT use confidence as a substitute for evidence.</w:t>
        <w:br/>
        <w:t>DO NOT calculate authoritative numeric results yourself; use deterministic tools.</w:t>
        <w:br/>
        <w:t>IF evidence cannot support a defensible conclusion, return INSUFFICIENT_EVIDENCE.</w:t>
        <w:br/>
        <w:t>IF credible source-backed evidence materially conflicts, return CONFLICTING_EVIDENCE and preserve both sources.</w:t>
      </w:r>
    </w:p>
    <w:p>
      <w:pPr>
        <w:pStyle w:val="Heading1"/>
      </w:pPr>
      <w:r>
        <w:t>15. Structured Output Validation and Failure Semantics</w:t>
      </w:r>
    </w:p>
    <w:p>
      <w:pPr>
        <w:spacing w:after="100" w:line="259" w:lineRule="auto"/>
      </w:pPr>
      <w:r>
        <w:t>Every Specialist Evaluator and Skeptical Verifier response must pass typed schema validation (recommended: Pydantic for the Python MVP) before it is persisted or displayed.</w:t>
      </w:r>
    </w:p>
    <w:p>
      <w:pPr>
        <w:pStyle w:val="CodeBlock"/>
        <w:shd w:fill="F4F6F8"/>
      </w:pPr>
      <w:r>
        <w:rPr>
          <w:rFonts w:ascii="Liberation Mono" w:hAnsi="Liberation Mono"/>
        </w:rPr>
        <w:t>Model response -&gt; parse -&gt; schema validation -&gt; semantic invariant checks -&gt; persist / continue</w:t>
      </w:r>
    </w:p>
    <w:p>
      <w:pPr>
        <w:pStyle w:val="Heading2"/>
      </w:pPr>
      <w:r>
        <w:t>Required fallback policy</w:t>
      </w:r>
    </w:p>
    <w:p>
      <w:pPr>
        <w:spacing w:after="100" w:line="259" w:lineRule="auto"/>
        <w:ind w:left="259" w:hanging="259"/>
      </w:pPr>
      <w:r>
        <w:rPr>
          <w:b/>
        </w:rPr>
        <w:t xml:space="preserve">1. </w:t>
      </w:r>
      <w:r>
        <w:t>First validation failure: perform one bounded repair/retry using the validation errors and the same evidence context.</w:t>
      </w:r>
    </w:p>
    <w:p>
      <w:pPr>
        <w:spacing w:after="100" w:line="259" w:lineRule="auto"/>
        <w:ind w:left="259" w:hanging="259"/>
      </w:pPr>
      <w:r>
        <w:rPr>
          <w:b/>
        </w:rPr>
        <w:t xml:space="preserve">2. </w:t>
      </w:r>
      <w:r>
        <w:t>Second validation failure: fail closed. Do not persist the malformed assessment as a valid EvaluationResult and do not display it as a verified fact.</w:t>
      </w:r>
    </w:p>
    <w:p>
      <w:pPr>
        <w:spacing w:after="100" w:line="259" w:lineRule="auto"/>
        <w:ind w:left="259" w:hanging="259"/>
      </w:pPr>
      <w:r>
        <w:rPr>
          <w:b/>
        </w:rPr>
        <w:t xml:space="preserve">3. </w:t>
      </w:r>
      <w:r>
        <w:t>Record an internal execution error with request/run identifiers, agent type, schema error, model metadata, and retry count.</w:t>
      </w:r>
    </w:p>
    <w:p>
      <w:pPr>
        <w:spacing w:after="100" w:line="259" w:lineRule="auto"/>
        <w:ind w:left="259" w:hanging="259"/>
      </w:pPr>
      <w:r>
        <w:rPr>
          <w:b/>
        </w:rPr>
        <w:t xml:space="preserve">4. </w:t>
      </w:r>
      <w:r>
        <w:t>Do not conflate a technical schema/execution failure with the domain state INSUFFICIENT_EVIDENCE. The latter is reserved for evidence insufficiency.</w:t>
      </w:r>
    </w:p>
    <w:p>
      <w:pPr>
        <w:spacing w:after="100" w:line="259" w:lineRule="auto"/>
        <w:ind w:left="259" w:hanging="259"/>
      </w:pPr>
      <w:r>
        <w:rPr>
          <w:b/>
        </w:rPr>
        <w:t xml:space="preserve">5. </w:t>
      </w:r>
      <w:r>
        <w:t>At the workflow/UI boundary, surface the item as unresolved/retry-required without inventing an evidentiary conclusion.</w:t>
      </w:r>
    </w:p>
    <w:p>
      <w:pPr>
        <w:spacing w:after="100" w:line="259" w:lineRule="auto"/>
      </w:pPr>
      <w:r>
        <w:t>This distinction protects audit semantics: “the model failed to return valid structured output” and “the available evidence is insufficient” are different facts and must remain distinguishable in telemetry and audit handling.</w:t>
      </w:r>
    </w:p>
    <w:p>
      <w:pPr>
        <w:pStyle w:val="Heading1"/>
      </w:pPr>
      <w:r>
        <w:t>16. Runtime Invariants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shd w:fill="17324D"/>
            <w:vAlign w:val="center"/>
          </w:tcPr>
          <w:p>
            <w:r>
              <w:rPr>
                <w:b/>
                <w:color w:val="FFFFFF"/>
                <w:sz w:val="18"/>
              </w:rPr>
              <w:t>Invariant</w:t>
            </w:r>
          </w:p>
        </w:tc>
        <w:tc>
          <w:tcPr>
            <w:tcW w:type="dxa" w:w="7776"/>
            <w:shd w:fill="17324D"/>
            <w:vAlign w:val="center"/>
          </w:tcPr>
          <w:p>
            <w:r>
              <w:rPr>
                <w:b/>
                <w:color w:val="FFFFFF"/>
                <w:sz w:val="18"/>
              </w:rPr>
              <w:t>Required Enforcement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Vendor isolation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7"/>
              </w:rPr>
              <w:t>Every retrieval/evaluation operation carries vendor_id and proposal_id; cross-vendor evidence is rejected.</w:t>
            </w:r>
          </w:p>
        </w:tc>
      </w:tr>
      <w:tr>
        <w:tc>
          <w:tcPr>
            <w:tcW w:type="dxa" w:w="2304"/>
            <w:vAlign w:val="top"/>
            <w:shd w:fill="F7F9FB"/>
          </w:tcPr>
          <w:p>
            <w:r>
              <w:rPr>
                <w:sz w:val="17"/>
              </w:rPr>
              <w:t>Source grounding</w:t>
            </w:r>
          </w:p>
        </w:tc>
        <w:tc>
          <w:tcPr>
            <w:tcW w:type="dxa" w:w="7776"/>
            <w:vAlign w:val="top"/>
            <w:shd w:fill="F7F9FB"/>
          </w:tcPr>
          <w:p>
            <w:r>
              <w:rPr>
                <w:sz w:val="17"/>
              </w:rPr>
              <w:t>Every grounded claim has a resolvable SourcePointer.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Deterministic authority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7"/>
              </w:rPr>
              <w:t>Boolean gates, thresholds, arithmetic, TCO, formulas, totals, and weighted scores come from deterministic code/tools.</w:t>
            </w:r>
          </w:p>
        </w:tc>
      </w:tr>
      <w:tr>
        <w:tc>
          <w:tcPr>
            <w:tcW w:type="dxa" w:w="2304"/>
            <w:vAlign w:val="top"/>
            <w:shd w:fill="F7F9FB"/>
          </w:tcPr>
          <w:p>
            <w:r>
              <w:rPr>
                <w:sz w:val="17"/>
              </w:rPr>
              <w:t>Conflict transparency</w:t>
            </w:r>
          </w:p>
        </w:tc>
        <w:tc>
          <w:tcPr>
            <w:tcW w:type="dxa" w:w="7776"/>
            <w:vAlign w:val="top"/>
            <w:shd w:fill="F7F9FB"/>
          </w:tcPr>
          <w:p>
            <w:r>
              <w:rPr>
                <w:sz w:val="17"/>
              </w:rPr>
              <w:t>Material contradictions produce conflict_pairs and remain visible until resolved.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Human authority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7"/>
              </w:rPr>
              <w:t>AI output remains suggested; final procurement scoring/decision requires human review.</w:t>
            </w:r>
          </w:p>
        </w:tc>
      </w:tr>
      <w:tr>
        <w:tc>
          <w:tcPr>
            <w:tcW w:type="dxa" w:w="2304"/>
            <w:vAlign w:val="top"/>
            <w:shd w:fill="F7F9FB"/>
          </w:tcPr>
          <w:p>
            <w:r>
              <w:rPr>
                <w:sz w:val="17"/>
              </w:rPr>
              <w:t>Historical integrity</w:t>
            </w:r>
          </w:p>
        </w:tc>
        <w:tc>
          <w:tcPr>
            <w:tcW w:type="dxa" w:w="7776"/>
            <w:vAlign w:val="top"/>
            <w:shd w:fill="F7F9FB"/>
          </w:tcPr>
          <w:p>
            <w:r>
              <w:rPr>
                <w:sz w:val="17"/>
              </w:rPr>
              <w:t>New proposal/evaluation versions do not overwrite prior evidence or audit history.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Schema safety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7"/>
              </w:rPr>
              <w:t>Unvalidated agent output cannot be persisted as a valid domain result or shown as verified assessment.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t>17. Final Agent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shd w:fill="17324D"/>
            <w:vAlign w:val="cente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7632"/>
            <w:shd w:fill="17324D"/>
            <w:vAlign w:val="center"/>
          </w:tcPr>
          <w:p>
            <w:r>
              <w:rPr>
                <w:b/>
                <w:color w:val="FFFFFF"/>
                <w:sz w:val="18"/>
              </w:rPr>
              <w:t>Contract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Technical Evaluator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7"/>
              </w:rPr>
              <w:t>Interpret technical requirements; extract and cite technical evidence; delegate authoritative numeric/threshold checks to deterministic tools.</w:t>
            </w:r>
          </w:p>
        </w:tc>
      </w:tr>
      <w:tr>
        <w:tc>
          <w:tcPr>
            <w:tcW w:type="dxa" w:w="2448"/>
            <w:vAlign w:val="top"/>
            <w:shd w:fill="F7F9FB"/>
          </w:tcPr>
          <w:p>
            <w:r>
              <w:rPr>
                <w:sz w:val="17"/>
              </w:rPr>
              <w:t>Commercial Evaluator</w:t>
            </w:r>
          </w:p>
        </w:tc>
        <w:tc>
          <w:tcPr>
            <w:tcW w:type="dxa" w:w="7632"/>
            <w:vAlign w:val="top"/>
            <w:shd w:fill="F7F9FB"/>
          </w:tcPr>
          <w:p>
            <w:r>
              <w:rPr>
                <w:sz w:val="17"/>
              </w:rPr>
              <w:t>Extract commercial facts and calculation inputs; never authoritatively compute TCO or weighted commercial arithmetic inside the LLM.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Compliance Evaluator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7"/>
              </w:rPr>
              <w:t>Evaluate certifications, regulatory constraints, security/data-residency evidence, and mandatory compliance claims without assuming compliance.</w:t>
            </w:r>
          </w:p>
        </w:tc>
      </w:tr>
      <w:tr>
        <w:tc>
          <w:tcPr>
            <w:tcW w:type="dxa" w:w="2448"/>
            <w:vAlign w:val="top"/>
            <w:shd w:fill="F7F9FB"/>
          </w:tcPr>
          <w:p>
            <w:r>
              <w:rPr>
                <w:sz w:val="17"/>
              </w:rPr>
              <w:t>Skeptical Verifier</w:t>
            </w:r>
          </w:p>
        </w:tc>
        <w:tc>
          <w:tcPr>
            <w:tcW w:type="dxa" w:w="7632"/>
            <w:vAlign w:val="top"/>
            <w:shd w:fill="F7F9FB"/>
          </w:tcPr>
          <w:p>
            <w:r>
              <w:rPr>
                <w:sz w:val="17"/>
              </w:rPr>
              <w:t>Resolve citations, test evidence support/relevance, detect missing evidence and conflicts, validate deterministic provenance, enforce canonical state, and reject unsupported rationale.</w:t>
            </w:r>
          </w:p>
        </w:tc>
      </w:tr>
    </w:tbl>
    <w:p>
      <w:pPr>
        <w:spacing w:after="100" w:line="259" w:lineRule="auto"/>
      </w:pPr>
    </w:p>
    <w:p>
      <w:pPr>
        <w:pStyle w:val="CodeBlock"/>
        <w:shd w:fill="F4F6F8"/>
      </w:pPr>
      <w:r>
        <w:rPr>
          <w:rFonts w:ascii="Liberation Mono" w:hAnsi="Liberation Mono"/>
        </w:rPr>
        <w:t>Canonical trace:</w:t>
        <w:br/>
        <w:t>Requirement</w:t>
        <w:br/>
        <w:t xml:space="preserve"> -&gt; Vendor + Proposal</w:t>
        <w:br/>
        <w:t xml:space="preserve"> -&gt; EvidenceClaim</w:t>
        <w:br/>
        <w:t xml:space="preserve"> -&gt; SourcePointer</w:t>
        <w:br/>
        <w:t xml:space="preserve"> -&gt; Verification</w:t>
        <w:br/>
        <w:t xml:space="preserve"> -&gt; EvaluationResult</w:t>
        <w:br/>
        <w:t xml:space="preserve"> -&gt; HumanReview</w:t>
        <w:br/>
        <w:t xml:space="preserve"> -&gt; AuditEvent</w:t>
      </w:r>
    </w:p>
    <w:p>
      <w:pPr>
        <w:spacing w:after="100" w:line="259" w:lineRule="auto"/>
      </w:pPr>
      <w:r>
        <w:t>Models, retrieval implementation, and orchestration technology may change. The chain Requirement -&gt; Evidence -&gt; Source -&gt; Verification -&gt; Human Decision -&gt; Audit Trace must not be broken.</w:t>
      </w:r>
    </w:p>
    <w:p>
      <w:pPr>
        <w:pStyle w:val="Heading1"/>
      </w:pPr>
      <w:r>
        <w:t>18. Acceptance Checks for the Agent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shd w:fill="17324D"/>
            <w:vAlign w:val="cente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7920"/>
            <w:shd w:fill="17324D"/>
            <w:vAlign w:val="center"/>
          </w:tcPr>
          <w:p>
            <w:r>
              <w:rPr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Grounding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7"/>
              </w:rPr>
              <w:t>Every AI-visible factual assessment resolves to at least one valid SourcePointer or the evaluation abstains.</w:t>
            </w:r>
          </w:p>
        </w:tc>
      </w:tr>
      <w:tr>
        <w:tc>
          <w:tcPr>
            <w:tcW w:type="dxa" w:w="2160"/>
            <w:vAlign w:val="top"/>
            <w:shd w:fill="F7F9FB"/>
          </w:tcPr>
          <w:p>
            <w:r>
              <w:rPr>
                <w:sz w:val="17"/>
              </w:rPr>
              <w:t>Vendor isolation</w:t>
            </w:r>
          </w:p>
        </w:tc>
        <w:tc>
          <w:tcPr>
            <w:tcW w:type="dxa" w:w="7920"/>
            <w:vAlign w:val="top"/>
            <w:shd w:fill="F7F9FB"/>
          </w:tcPr>
          <w:p>
            <w:r>
              <w:rPr>
                <w:sz w:val="17"/>
              </w:rPr>
              <w:t>A Vendor A retrieval/evaluation cannot consume evidence from Vendor B/C or another proposal version.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Deterministic boundary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7"/>
              </w:rPr>
              <w:t>Numeric/boolean/formula criteria expose authoritative tool output separately from LLM rationale.</w:t>
            </w:r>
          </w:p>
        </w:tc>
      </w:tr>
      <w:tr>
        <w:tc>
          <w:tcPr>
            <w:tcW w:type="dxa" w:w="2160"/>
            <w:vAlign w:val="top"/>
            <w:shd w:fill="F7F9FB"/>
          </w:tcPr>
          <w:p>
            <w:r>
              <w:rPr>
                <w:sz w:val="17"/>
              </w:rPr>
              <w:t>Conflict trace</w:t>
            </w:r>
          </w:p>
        </w:tc>
        <w:tc>
          <w:tcPr>
            <w:tcW w:type="dxa" w:w="7920"/>
            <w:vAlign w:val="top"/>
            <w:shd w:fill="F7F9FB"/>
          </w:tcPr>
          <w:p>
            <w:r>
              <w:rPr>
                <w:sz w:val="17"/>
              </w:rPr>
              <w:t>A seeded contradiction produces CONFLICTING_EVIDENCE plus at least one explicit conflict_pair.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Abstention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7"/>
              </w:rPr>
              <w:t>Missing/non-responsive/unresolvable evidence produces INSUFFICIENT_EVIDENCE rather than NOT_SATISFIED.</w:t>
            </w:r>
          </w:p>
        </w:tc>
      </w:tr>
      <w:tr>
        <w:tc>
          <w:tcPr>
            <w:tcW w:type="dxa" w:w="2160"/>
            <w:vAlign w:val="top"/>
            <w:shd w:fill="F7F9FB"/>
          </w:tcPr>
          <w:p>
            <w:r>
              <w:rPr>
                <w:sz w:val="17"/>
              </w:rPr>
              <w:t>Schema safety</w:t>
            </w:r>
          </w:p>
        </w:tc>
        <w:tc>
          <w:tcPr>
            <w:tcW w:type="dxa" w:w="7920"/>
            <w:vAlign w:val="top"/>
            <w:shd w:fill="F7F9FB"/>
          </w:tcPr>
          <w:p>
            <w:r>
              <w:rPr>
                <w:sz w:val="17"/>
              </w:rPr>
              <w:t>Malformed model output is repaired at most once, then fails closed without becoming a valid EvaluationResult.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Human authority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7"/>
              </w:rPr>
              <w:t>Suggested result remains distinct from human-confirmed final state/score and override rationale.</w:t>
            </w:r>
          </w:p>
        </w:tc>
      </w:tr>
      <w:tr>
        <w:tc>
          <w:tcPr>
            <w:tcW w:type="dxa" w:w="2160"/>
            <w:vAlign w:val="top"/>
            <w:shd w:fill="F7F9FB"/>
          </w:tcPr>
          <w:p>
            <w:r>
              <w:rPr>
                <w:sz w:val="17"/>
              </w:rPr>
              <w:t>Traceability</w:t>
            </w:r>
          </w:p>
        </w:tc>
        <w:tc>
          <w:tcPr>
            <w:tcW w:type="dxa" w:w="7920"/>
            <w:vAlign w:val="top"/>
            <w:shd w:fill="F7F9FB"/>
          </w:tcPr>
          <w:p>
            <w:r>
              <w:rPr>
                <w:sz w:val="17"/>
              </w:rPr>
              <w:t>A reviewer can traverse Requirement -&gt; EvidenceClaim -&gt; SourcePointer -&gt; Verification -&gt; Human Review -&gt; AuditEvent without inference.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t>19. Project Alignment Sources</w:t>
      </w:r>
    </w:p>
    <w:p>
      <w:pPr>
        <w:pStyle w:val="ListBullet"/>
      </w:pPr>
      <w:r>
        <w:t>VeriBid Product Brief / PRD v0.2 — Core Workflow, MVP Scope, Adversarial Verifier Pattern, Traceable Evidence Graph, Evidence Contract, Responsibility Boundary, Acceptance Metrics.</w:t>
      </w:r>
    </w:p>
    <w:p>
      <w:pPr>
        <w:pStyle w:val="ListBullet"/>
      </w:pPr>
      <w:r>
        <w:t>VeriBid Functional Requirements Specification v0.1 — Cross-cutting invariants, FR-4 Specialist Evaluation, FR-5 Skeptical Verification, human review, implementation notes.</w:t>
      </w:r>
    </w:p>
    <w:p>
      <w:pPr>
        <w:pStyle w:val="ListBullet"/>
      </w:pPr>
      <w:r>
        <w:t>VeriBid Data + Evidence Model v0.2 — EvidenceClaim, SourcePointer, EvaluationResult, conflict_pairs, canonical states, state precedence, verifier contract, audit trace.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VeriBid — Evidence-Driven Bid Evaluation Engine  |  v0.1 FINAL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6E"/>
        <w:sz w:val="16"/>
      </w:rPr>
      <w:t>VERIBID  |  AI / AGENT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55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455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16" w:right="216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