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Buyer scoring rubric</w:t>
      </w:r>
    </w:p>
    <w:p>
      <w:r>
        <w:t xml:space="preserve">TECHNICAL weight 40: availability threshold and operational evidence.</w:t>
      </w:r>
    </w:p>
    <w:p>
      <w:r>
        <w:t xml:space="preserve">COMMERCIAL weight 30: deterministic three-year cost calculation.</w:t>
      </w:r>
    </w:p>
    <w:p>
      <w:r>
        <w:t xml:space="preserve">COMPLIANCE weight 30: mandatory EU residency and source-backed review.</w:t>
      </w:r>
    </w:p>
    <w:sectPr/>
  </w:body>
</w:document>
</file>

<file path=word/_rels/document.xml.rels><?xml version="1.0" encoding="UTF-8" standalone="yes"?>
<Relationships xmlns="http://schemas.openxmlformats.org/package/2006/relationships"/>
</file>