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Vendor B - Helix Systems proposal</w:t>
      </w:r>
    </w:p>
    <w:p>
      <w:r>
        <w:t xml:space="preserve">Availability commitment: 99.995% monthly uptime.</w:t>
      </w:r>
    </w:p>
    <w:p>
      <w:r>
        <w:t xml:space="preserve">Customer data and operational telemetry are hosted and processed in EU regions only.</w:t>
      </w:r>
    </w:p>
    <w:p>
      <w:r>
        <w:t xml:space="preserve">Pricing: USD 140000 annual license, USD 35000 implementation, USD 12000 support per year.</w:t>
      </w:r>
    </w:p>
    <w:sectPr/>
  </w:body>
</w:document>
</file>

<file path=word/_rels/document.xml.rels><?xml version="1.0" encoding="UTF-8" standalone="yes"?>
<Relationships xmlns="http://schemas.openxmlformats.org/package/2006/relationships"/>
</file>