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1F4E79"/>
          <w:sz w:val="32"/>
        </w:rPr>
        <w:t>BÁO CÁO ĐỊNH GIÁ &amp; TIẾP CẬN THỊ TRƯỜNG (GTM ONE-PAGER)</w:t>
      </w:r>
    </w:p>
    <w:p>
      <w:pPr>
        <w:spacing w:before="0" w:after="200"/>
        <w:jc w:val="center"/>
      </w:pPr>
      <w:r>
        <w:rPr>
          <w:rFonts w:ascii="Times New Roman" w:hAnsi="Times New Roman"/>
          <w:i/>
          <w:color w:val="555555"/>
          <w:sz w:val="24"/>
        </w:rPr>
        <w:t>AI Product Manager Track 1 — Lab Day 22: AI Product GTM &amp; Monetization Model</w:t>
      </w:r>
    </w:p>
    <w:tbl>
      <w:tblPr>
        <w:tblW w:type="auto" w:w="0"/>
        <w:jc w:val="center"/>
        <w:tblLook w:firstColumn="1" w:firstRow="1" w:lastColumn="0" w:lastRow="0" w:noHBand="0" w:noVBand="1" w:val="04A0"/>
      </w:tblPr>
      <w:tblGrid>
        <w:gridCol w:w="10080"/>
      </w:tblGrid>
      <w:tr>
        <w:tc>
          <w:tcPr>
            <w:tcW w:type="dxa" w:w="10080"/>
            <w:shd w:fill="F0F4F8"/>
            <w:tcMar>
              <w:top w:w="140" w:type="dxa"/>
              <w:bottom w:w="140" w:type="dxa"/>
              <w:left w:w="200" w:type="dxa"/>
              <w:right w:w="200" w:type="dxa"/>
            </w:tcMar>
          </w:tcPr>
          <w:p>
            <w:pPr>
              <w:spacing w:after="40" w:line="276" w:lineRule="auto"/>
            </w:pPr>
            <w:r>
              <w:rPr>
                <w:rFonts w:ascii="Times New Roman" w:hAnsi="Times New Roman"/>
                <w:b/>
                <w:sz w:val="24"/>
              </w:rPr>
              <w:t xml:space="preserve">Học viên: </w:t>
            </w:r>
            <w:r>
              <w:rPr>
                <w:rFonts w:ascii="Times New Roman" w:hAnsi="Times New Roman"/>
                <w:sz w:val="24"/>
              </w:rPr>
              <w:t xml:space="preserve">Ninh Quang Minh (MSSV: 2A202602432)   |   </w:t>
            </w:r>
            <w:r>
              <w:rPr>
                <w:rFonts w:ascii="Times New Roman" w:hAnsi="Times New Roman"/>
                <w:b/>
                <w:sz w:val="24"/>
              </w:rPr>
              <w:t xml:space="preserve">Ngày hoàn thành: </w:t>
            </w:r>
            <w:r>
              <w:rPr>
                <w:rFonts w:ascii="Times New Roman" w:hAnsi="Times New Roman"/>
                <w:sz w:val="24"/>
              </w:rPr>
              <w:t>08/10/2026</w:t>
              <w:br/>
            </w:r>
            <w:r>
              <w:rPr>
                <w:rFonts w:ascii="Times New Roman" w:hAnsi="Times New Roman"/>
                <w:b/>
                <w:sz w:val="24"/>
              </w:rPr>
              <w:t xml:space="preserve">Sản phẩm: </w:t>
            </w:r>
            <w:r>
              <w:rPr>
                <w:rFonts w:ascii="Times New Roman" w:hAnsi="Times New Roman"/>
                <w:sz w:val="24"/>
              </w:rPr>
              <w:t>Trợ lý Tiếp nhận &amp; Sơ loại Lâm sàng AI (Vinmec Clinical Triage &amp; Intake Assistant)</w:t>
              <w:br/>
            </w:r>
            <w:r>
              <w:rPr>
                <w:rFonts w:ascii="Times New Roman" w:hAnsi="Times New Roman"/>
                <w:b/>
                <w:sz w:val="24"/>
              </w:rPr>
              <w:t xml:space="preserve">Đối tác chiến lược: </w:t>
            </w:r>
            <w:r>
              <w:rPr>
                <w:rFonts w:ascii="Times New Roman" w:hAnsi="Times New Roman"/>
                <w:sz w:val="24"/>
              </w:rPr>
              <w:t xml:space="preserve">Hệ thống Y tế Vinmec   |   </w:t>
            </w:r>
            <w:r>
              <w:rPr>
                <w:rFonts w:ascii="Times New Roman" w:hAnsi="Times New Roman"/>
                <w:b/>
                <w:sz w:val="24"/>
              </w:rPr>
              <w:t xml:space="preserve">Kênh GTM: </w:t>
            </w:r>
            <w:r>
              <w:rPr>
                <w:rFonts w:ascii="Times New Roman" w:hAnsi="Times New Roman"/>
                <w:sz w:val="24"/>
              </w:rPr>
              <w:t>Partner-Led (Zalo OA &amp; App MyVinmec)</w:t>
              <w:br/>
            </w:r>
            <w:r>
              <w:rPr>
                <w:rFonts w:ascii="Times New Roman" w:hAnsi="Times New Roman"/>
                <w:b/>
                <w:sz w:val="24"/>
              </w:rPr>
              <w:t xml:space="preserve">Mô hình giá (Value Metric): </w:t>
            </w:r>
            <w:r>
              <w:rPr>
                <w:rFonts w:ascii="Times New Roman" w:hAnsi="Times New Roman"/>
                <w:sz w:val="24"/>
              </w:rPr>
              <w:t>Hybrid ($300 phí nền/tháng/cơ sở + $0,79/ca phân tầng hoàn thành)</w:t>
              <w:br/>
            </w:r>
            <w:r>
              <w:rPr>
                <w:rFonts w:ascii="Times New Roman" w:hAnsi="Times New Roman"/>
                <w:i/>
                <w:sz w:val="24"/>
              </w:rPr>
              <w:t xml:space="preserve">Đối chiếu số liệu: </w:t>
            </w:r>
            <w:r>
              <w:rPr>
                <w:rFonts w:ascii="Times New Roman" w:hAnsi="Times New Roman"/>
                <w:sz w:val="24"/>
              </w:rPr>
              <w:t>Toàn bộ chỉ số tài chính được liên kết trực tiếp từ mô hình kinh tế tại file MinhNQ_Day22_model.xlsx.</w:t>
            </w:r>
          </w:p>
        </w:tc>
      </w:tr>
    </w:tbl>
    <w:p>
      <w:pPr>
        <w:spacing w:before="280" w:after="80"/>
      </w:pPr>
      <w:r>
        <w:rPr>
          <w:rFonts w:ascii="Times New Roman" w:hAnsi="Times New Roman"/>
          <w:b/>
          <w:color w:val="1F4E79"/>
          <w:sz w:val="28"/>
        </w:rPr>
        <w:t>1. CHIẾN LƯỢC ĐỊNH GIÁ &amp; HIỆU QUẢ KINH TẾ ĐƠN VỊ (PRICING &amp; UNIT ECONOMICS)</w:t>
      </w:r>
    </w:p>
    <w:p>
      <w:pPr>
        <w:spacing w:before="160" w:after="40"/>
      </w:pPr>
      <w:r>
        <w:rPr>
          <w:rFonts w:ascii="Times New Roman" w:hAnsi="Times New Roman"/>
          <w:b/>
          <w:color w:val="333333"/>
          <w:sz w:val="26"/>
        </w:rPr>
        <w:t>1.1. Nguồn ngân sách chi trả &amp; Cấp có thẩm quyền phê duyệt</w:t>
      </w:r>
    </w:p>
    <w:p>
      <w:pPr>
        <w:pStyle w:val="ListBullet"/>
        <w:spacing w:before="0" w:after="60" w:line="276" w:lineRule="auto"/>
      </w:pPr>
      <w:r>
        <w:rPr>
          <w:rFonts w:ascii="Times New Roman" w:hAnsi="Times New Roman"/>
          <w:b/>
          <w:color w:val="333333"/>
          <w:sz w:val="26"/>
        </w:rPr>
        <w:t xml:space="preserve">Nguồn ngân sách: </w:t>
      </w:r>
      <w:r>
        <w:rPr>
          <w:rFonts w:ascii="Times New Roman" w:hAnsi="Times New Roman"/>
          <w:color w:val="333333"/>
          <w:sz w:val="26"/>
        </w:rPr>
        <w:t xml:space="preserve"> Ngân sách Vận hành lâm sàng &amp; Tiếp nhận bệnh nhân (Clinical Operations &amp; Patient Intake Budget).</w:t>
      </w:r>
    </w:p>
    <w:p>
      <w:pPr>
        <w:pStyle w:val="ListBullet"/>
        <w:spacing w:before="0" w:after="60" w:line="276" w:lineRule="auto"/>
      </w:pPr>
      <w:r>
        <w:rPr>
          <w:rFonts w:ascii="Times New Roman" w:hAnsi="Times New Roman"/>
          <w:b/>
          <w:color w:val="333333"/>
          <w:sz w:val="26"/>
        </w:rPr>
        <w:t xml:space="preserve">Cấp phê duyệt: </w:t>
      </w:r>
      <w:r>
        <w:rPr>
          <w:rFonts w:ascii="Times New Roman" w:hAnsi="Times New Roman"/>
          <w:color w:val="333333"/>
          <w:sz w:val="26"/>
        </w:rPr>
        <w:t xml:space="preserve"> Giám đốc Vận hành (COO) phối hợp cùng Giám đốc Chuyên môn Y khoa (CMO) của hệ thống bệnh viện.</w:t>
      </w:r>
    </w:p>
    <w:p>
      <w:pPr>
        <w:pStyle w:val="ListBullet"/>
        <w:spacing w:before="0" w:after="60" w:line="276" w:lineRule="auto"/>
      </w:pPr>
      <w:r>
        <w:rPr>
          <w:rFonts w:ascii="Times New Roman" w:hAnsi="Times New Roman"/>
          <w:b/>
          <w:color w:val="333333"/>
          <w:sz w:val="26"/>
        </w:rPr>
        <w:t xml:space="preserve">Căn cứ phân bổ: </w:t>
      </w:r>
      <w:r>
        <w:rPr>
          <w:rFonts w:ascii="Times New Roman" w:hAnsi="Times New Roman"/>
          <w:color w:val="333333"/>
          <w:sz w:val="26"/>
        </w:rPr>
        <w:t xml:space="preserve"> Giải pháp được hạch toán trực tiếp vào chi phí tối ưu hóa ca trực sơ loại và sàng lọc bệnh nhân ngoại trú. Tuyệt đối không phân bổ vào ngân sách CNTT/Phần mềm nhằm tránh chu kỳ thẩm định kéo dài từ 9 đến 12 tháng và các rào cản kỹ thuật hành chính.</w:t>
      </w:r>
    </w:p>
    <w:p>
      <w:pPr>
        <w:spacing w:before="160" w:after="40"/>
      </w:pPr>
      <w:r>
        <w:rPr>
          <w:rFonts w:ascii="Times New Roman" w:hAnsi="Times New Roman"/>
          <w:b/>
          <w:color w:val="333333"/>
          <w:sz w:val="26"/>
        </w:rPr>
        <w:t>1.2. Mô hình thu phí (Value Metric) &amp; Đánh giá năng lực tự chủ</w:t>
      </w:r>
    </w:p>
    <w:p>
      <w:pPr>
        <w:pStyle w:val="ListBullet"/>
        <w:spacing w:before="0" w:after="60" w:line="276" w:lineRule="auto"/>
      </w:pPr>
      <w:r>
        <w:rPr>
          <w:rFonts w:ascii="Times New Roman" w:hAnsi="Times New Roman"/>
          <w:b/>
          <w:color w:val="333333"/>
          <w:sz w:val="26"/>
        </w:rPr>
        <w:t xml:space="preserve">Mô hình áp dụng: </w:t>
      </w:r>
      <w:r>
        <w:rPr>
          <w:rFonts w:ascii="Times New Roman" w:hAnsi="Times New Roman"/>
          <w:color w:val="333333"/>
          <w:sz w:val="26"/>
        </w:rPr>
        <w:t xml:space="preserve"> Lựa chọn mô hình Hybrid gồm Phí cố định duy trì hạ tầng bảo mật ($300/tháng/cơ sở) kết hợp Phí biến đổi theo ca phân tầng hoàn tất ($0,79/ca).</w:t>
      </w:r>
    </w:p>
    <w:p>
      <w:pPr>
        <w:pStyle w:val="ListBullet"/>
        <w:spacing w:before="0" w:after="60" w:line="276" w:lineRule="auto"/>
      </w:pPr>
      <w:r>
        <w:rPr>
          <w:rFonts w:ascii="Times New Roman" w:hAnsi="Times New Roman"/>
          <w:b/>
          <w:color w:val="333333"/>
          <w:sz w:val="26"/>
        </w:rPr>
        <w:t xml:space="preserve">Mức độ quy gán (Attribution): </w:t>
      </w:r>
      <w:r>
        <w:rPr>
          <w:rFonts w:ascii="Times New Roman" w:hAnsi="Times New Roman"/>
          <w:color w:val="333333"/>
          <w:sz w:val="26"/>
        </w:rPr>
        <w:t xml:space="preserve"> Đạt 9/10 điểm. Mỗi phiên tương tác được cấp một Session ID duy nhất, lưu vết toàn bộ dữ liệu triệu chứng, mức độ ưu tiên theo thang ESI (Emergency Severity Index) và mã lịch khám đồng bộ trực tiếp sang hệ thống HIS/EHR. Chỉ thu phí đối với ca hoàn tất phân tầng lâm sàng; miễn phí toàn bộ đối với các ca bệnh nhân thoát sớm (&lt; 2 lượt hỏi đáp) hoặc hệ thống mất kết nối.</w:t>
      </w:r>
    </w:p>
    <w:p>
      <w:pPr>
        <w:pStyle w:val="ListBullet"/>
        <w:spacing w:before="0" w:after="60" w:line="276" w:lineRule="auto"/>
      </w:pPr>
      <w:r>
        <w:rPr>
          <w:rFonts w:ascii="Times New Roman" w:hAnsi="Times New Roman"/>
          <w:b/>
          <w:color w:val="333333"/>
          <w:sz w:val="26"/>
        </w:rPr>
        <w:t xml:space="preserve">Mức độ tự động hóa (Autonomy): </w:t>
      </w:r>
      <w:r>
        <w:rPr>
          <w:rFonts w:ascii="Times New Roman" w:hAnsi="Times New Roman"/>
          <w:color w:val="333333"/>
          <w:sz w:val="26"/>
        </w:rPr>
        <w:t xml:space="preserve"> Đạt 6/10 điểm. AI xử lý hoàn toàn tự động đối với 78% tổng lưu lượng thuộc các ca nhẹ (ESI 4–5); tự động kích hoạt điều dưỡng tiếp nhận đối với 22% số ca xuất hiện dấu hiệu cờ đỏ cấp cứu (ESI 1–3) hoặc bệnh nhân diễn biến phức tạp.</w:t>
      </w:r>
    </w:p>
    <w:p>
      <w:pPr>
        <w:pStyle w:val="ListBullet"/>
        <w:spacing w:before="0" w:after="60" w:line="276" w:lineRule="auto"/>
      </w:pPr>
      <w:r>
        <w:rPr>
          <w:rFonts w:ascii="Times New Roman" w:hAnsi="Times New Roman"/>
          <w:b/>
          <w:color w:val="333333"/>
          <w:sz w:val="26"/>
        </w:rPr>
        <w:t xml:space="preserve">Cơ sở chọn Hybrid: </w:t>
      </w:r>
      <w:r>
        <w:rPr>
          <w:rFonts w:ascii="Times New Roman" w:hAnsi="Times New Roman"/>
          <w:color w:val="333333"/>
          <w:sz w:val="26"/>
        </w:rPr>
        <w:t xml:space="preserve"> Ngành y tế có yêu cầu khắt khe về bảo mật dữ liệu cá nhân theo Nghị định 13/2023/NĐ-CP, đòi hỏi hạ tầng máy chủ đám mây chuyên biệt (phát sinh chi phí nền cố định). Đồng thời, ban lãnh đạo bệnh viện yêu cầu kiểm soát ngân sách dựa trên hiệu quả phân luồng thực tế của từng ca bệnh.</w:t>
      </w:r>
    </w:p>
    <w:p>
      <w:pPr>
        <w:spacing w:before="160" w:after="40"/>
      </w:pPr>
      <w:r>
        <w:rPr>
          <w:rFonts w:ascii="Times New Roman" w:hAnsi="Times New Roman"/>
          <w:b/>
          <w:color w:val="333333"/>
          <w:sz w:val="26"/>
        </w:rPr>
        <w:t>Bảng 0: Các chỉ số kinh tế đơn vị cốt lõi (Unit Economics Summary)</w:t>
      </w:r>
    </w:p>
    <w:tbl>
      <w:tblPr>
        <w:tblW w:type="auto" w:w="0"/>
        <w:jc w:val="center"/>
        <w:tblLook w:firstColumn="1" w:firstRow="1" w:lastColumn="0" w:lastRow="0" w:noHBand="0" w:noVBand="1" w:val="04A0"/>
        <w:tblBorders>
          <w:top w:val="single" w:sz="6" w:space="0" w:color="D3D3D3"/>
          <w:left w:val="none"/>
          <w:bottom w:val="single" w:sz="6" w:space="0" w:color="D3D3D3"/>
          <w:right w:val="none"/>
          <w:insideH w:val="single" w:sz="4" w:space="0" w:color="D3D3D3"/>
          <w:insideV w:val="none"/>
        </w:tblBorders>
      </w:tblPr>
      <w:tblGrid>
        <w:gridCol w:w="2520"/>
        <w:gridCol w:w="2520"/>
        <w:gridCol w:w="2520"/>
        <w:gridCol w:w="2520"/>
      </w:tblGrid>
      <w:tr>
        <w:tc>
          <w:tcPr>
            <w:tcW w:type="dxa" w:w="3600"/>
            <w:vAlign w:val="center"/>
            <w:tcMar>
              <w:top w:w="80" w:type="dxa"/>
              <w:bottom w:w="80" w:type="dxa"/>
              <w:left w:w="100" w:type="dxa"/>
              <w:right w:w="100" w:type="dxa"/>
            </w:tcMar>
            <w:shd w:fill="1F4E79"/>
          </w:tcPr>
          <w:p>
            <w:pPr>
              <w:spacing w:after="0" w:line="264" w:lineRule="auto"/>
              <w:jc w:val="left"/>
            </w:pPr>
            <w:r>
              <w:rPr>
                <w:rFonts w:ascii="Times New Roman" w:hAnsi="Times New Roman"/>
                <w:b/>
                <w:color w:val="FFFFFF"/>
                <w:sz w:val="24"/>
              </w:rPr>
              <w:t>Chỉ số kinh tế đơn vị</w:t>
            </w:r>
          </w:p>
        </w:tc>
        <w:tc>
          <w:tcPr>
            <w:tcW w:type="dxa" w:w="2016"/>
            <w:vAlign w:val="center"/>
            <w:tcMar>
              <w:top w:w="80" w:type="dxa"/>
              <w:bottom w:w="80" w:type="dxa"/>
              <w:left w:w="100" w:type="dxa"/>
              <w:right w:w="100" w:type="dxa"/>
            </w:tcMar>
            <w:shd w:fill="1F4E79"/>
          </w:tcPr>
          <w:p>
            <w:pPr>
              <w:spacing w:after="0" w:line="264" w:lineRule="auto"/>
              <w:jc w:val="center"/>
            </w:pPr>
            <w:r>
              <w:rPr>
                <w:rFonts w:ascii="Times New Roman" w:hAnsi="Times New Roman"/>
                <w:b/>
                <w:color w:val="FFFFFF"/>
                <w:sz w:val="24"/>
              </w:rPr>
              <w:t>Giá trị tính toán</w:t>
            </w:r>
          </w:p>
        </w:tc>
        <w:tc>
          <w:tcPr>
            <w:tcW w:type="dxa" w:w="1152"/>
            <w:vAlign w:val="center"/>
            <w:tcMar>
              <w:top w:w="80" w:type="dxa"/>
              <w:bottom w:w="80" w:type="dxa"/>
              <w:left w:w="100" w:type="dxa"/>
              <w:right w:w="100" w:type="dxa"/>
            </w:tcMar>
            <w:shd w:fill="1F4E79"/>
          </w:tcPr>
          <w:p>
            <w:pPr>
              <w:spacing w:after="0" w:line="264" w:lineRule="auto"/>
              <w:jc w:val="center"/>
            </w:pPr>
            <w:r>
              <w:rPr>
                <w:rFonts w:ascii="Times New Roman" w:hAnsi="Times New Roman"/>
                <w:b/>
                <w:color w:val="FFFFFF"/>
                <w:sz w:val="24"/>
              </w:rPr>
              <w:t>Đơn vị</w:t>
            </w:r>
          </w:p>
        </w:tc>
        <w:tc>
          <w:tcPr>
            <w:tcW w:type="dxa" w:w="3312"/>
            <w:vAlign w:val="center"/>
            <w:tcMar>
              <w:top w:w="80" w:type="dxa"/>
              <w:bottom w:w="80" w:type="dxa"/>
              <w:left w:w="100" w:type="dxa"/>
              <w:right w:w="100" w:type="dxa"/>
            </w:tcMar>
            <w:shd w:fill="1F4E79"/>
          </w:tcPr>
          <w:p>
            <w:pPr>
              <w:spacing w:after="0" w:line="264" w:lineRule="auto"/>
              <w:jc w:val="left"/>
            </w:pPr>
            <w:r>
              <w:rPr>
                <w:rFonts w:ascii="Times New Roman" w:hAnsi="Times New Roman"/>
                <w:b/>
                <w:color w:val="FFFFFF"/>
                <w:sz w:val="24"/>
              </w:rPr>
              <w:t>Nguồn đối chiếu / Ý nghĩa</w:t>
            </w:r>
          </w:p>
        </w:tc>
      </w:tr>
      <w:tr>
        <w:tc>
          <w:tcPr>
            <w:tcW w:type="dxa" w:w="3600"/>
            <w:vAlign w:val="center"/>
            <w:tcMar>
              <w:top w:w="80" w:type="dxa"/>
              <w:bottom w:w="80" w:type="dxa"/>
              <w:left w:w="100" w:type="dxa"/>
              <w:right w:w="100" w:type="dxa"/>
            </w:tcMar>
            <w:shd w:fill="FAFAFA"/>
          </w:tcPr>
          <w:p>
            <w:pPr>
              <w:spacing w:after="0" w:line="264" w:lineRule="auto"/>
              <w:jc w:val="left"/>
            </w:pPr>
            <w:r>
              <w:rPr>
                <w:rFonts w:ascii="Times New Roman" w:hAnsi="Times New Roman"/>
                <w:b/>
                <w:color w:val="333333"/>
                <w:sz w:val="23"/>
              </w:rPr>
              <w:t>Cost/Job (COGS Biến thể B có HITL)</w:t>
            </w:r>
          </w:p>
        </w:tc>
        <w:tc>
          <w:tcPr>
            <w:tcW w:type="dxa" w:w="2016"/>
            <w:vAlign w:val="center"/>
            <w:tcMar>
              <w:top w:w="80" w:type="dxa"/>
              <w:bottom w:w="80" w:type="dxa"/>
              <w:left w:w="100" w:type="dxa"/>
              <w:right w:w="100" w:type="dxa"/>
            </w:tcMar>
            <w:shd w:fill="FAFAFA"/>
          </w:tcPr>
          <w:p>
            <w:pPr>
              <w:spacing w:after="0" w:line="264" w:lineRule="auto"/>
              <w:jc w:val="center"/>
            </w:pPr>
            <w:r>
              <w:rPr>
                <w:rFonts w:ascii="Times New Roman" w:hAnsi="Times New Roman"/>
                <w:color w:val="333333"/>
                <w:sz w:val="23"/>
              </w:rPr>
              <w:t>$0,227 (5.905 ₫)</w:t>
            </w:r>
          </w:p>
        </w:tc>
        <w:tc>
          <w:tcPr>
            <w:tcW w:type="dxa" w:w="1152"/>
            <w:vAlign w:val="center"/>
            <w:tcMar>
              <w:top w:w="80" w:type="dxa"/>
              <w:bottom w:w="80" w:type="dxa"/>
              <w:left w:w="100" w:type="dxa"/>
              <w:right w:w="100" w:type="dxa"/>
            </w:tcMar>
            <w:shd w:fill="FAFAFA"/>
          </w:tcPr>
          <w:p>
            <w:pPr>
              <w:spacing w:after="0" w:line="264" w:lineRule="auto"/>
              <w:jc w:val="center"/>
            </w:pPr>
            <w:r>
              <w:rPr>
                <w:rFonts w:ascii="Times New Roman" w:hAnsi="Times New Roman"/>
                <w:color w:val="333333"/>
                <w:sz w:val="23"/>
              </w:rPr>
              <w:t>$/ca</w:t>
            </w:r>
          </w:p>
        </w:tc>
        <w:tc>
          <w:tcPr>
            <w:tcW w:type="dxa" w:w="3312"/>
            <w:vAlign w:val="center"/>
            <w:tcMar>
              <w:top w:w="80" w:type="dxa"/>
              <w:bottom w:w="80" w:type="dxa"/>
              <w:left w:w="100" w:type="dxa"/>
              <w:right w:w="100" w:type="dxa"/>
            </w:tcMar>
            <w:shd w:fill="FAFAFA"/>
          </w:tcPr>
          <w:p>
            <w:pPr>
              <w:spacing w:after="0" w:line="264" w:lineRule="auto"/>
              <w:jc w:val="left"/>
            </w:pPr>
            <w:r>
              <w:rPr>
                <w:rFonts w:ascii="Times New Roman" w:hAnsi="Times New Roman"/>
                <w:color w:val="333333"/>
                <w:sz w:val="23"/>
              </w:rPr>
              <w:t>Tab 2_Pricing!B5 (LLM API, STT, Infra, Retry, HITL)</w:t>
            </w:r>
          </w:p>
        </w:tc>
      </w:tr>
      <w:tr>
        <w:tc>
          <w:tcPr>
            <w:tcW w:type="dxa" w:w="3600"/>
            <w:vAlign w:val="center"/>
            <w:tcMar>
              <w:top w:w="80" w:type="dxa"/>
              <w:bottom w:w="80" w:type="dxa"/>
              <w:left w:w="100" w:type="dxa"/>
              <w:right w:w="100" w:type="dxa"/>
            </w:tcMar>
            <w:shd w:fill="FFFFFF"/>
          </w:tcPr>
          <w:p>
            <w:pPr>
              <w:spacing w:after="0" w:line="264" w:lineRule="auto"/>
              <w:jc w:val="left"/>
            </w:pPr>
            <w:r>
              <w:rPr>
                <w:rFonts w:ascii="Times New Roman" w:hAnsi="Times New Roman"/>
                <w:b/>
                <w:color w:val="333333"/>
                <w:sz w:val="23"/>
              </w:rPr>
              <w:t>Giá sàn an toàn (3 × Cost/Job)</w:t>
            </w:r>
          </w:p>
        </w:tc>
        <w:tc>
          <w:tcPr>
            <w:tcW w:type="dxa" w:w="2016"/>
            <w:vAlign w:val="center"/>
            <w:tcMar>
              <w:top w:w="80" w:type="dxa"/>
              <w:bottom w:w="80" w:type="dxa"/>
              <w:left w:w="100" w:type="dxa"/>
              <w:right w:w="100" w:type="dxa"/>
            </w:tcMar>
            <w:shd w:fill="FFFFFF"/>
          </w:tcPr>
          <w:p>
            <w:pPr>
              <w:spacing w:after="0" w:line="264" w:lineRule="auto"/>
              <w:jc w:val="center"/>
            </w:pPr>
            <w:r>
              <w:rPr>
                <w:rFonts w:ascii="Times New Roman" w:hAnsi="Times New Roman"/>
                <w:color w:val="333333"/>
                <w:sz w:val="23"/>
              </w:rPr>
              <w:t>$0,681 (17.715 ₫)</w:t>
            </w:r>
          </w:p>
        </w:tc>
        <w:tc>
          <w:tcPr>
            <w:tcW w:type="dxa" w:w="1152"/>
            <w:vAlign w:val="center"/>
            <w:tcMar>
              <w:top w:w="80" w:type="dxa"/>
              <w:bottom w:w="80" w:type="dxa"/>
              <w:left w:w="100" w:type="dxa"/>
              <w:right w:w="100" w:type="dxa"/>
            </w:tcMar>
            <w:shd w:fill="FFFFFF"/>
          </w:tcPr>
          <w:p>
            <w:pPr>
              <w:spacing w:after="0" w:line="264" w:lineRule="auto"/>
              <w:jc w:val="center"/>
            </w:pPr>
            <w:r>
              <w:rPr>
                <w:rFonts w:ascii="Times New Roman" w:hAnsi="Times New Roman"/>
                <w:color w:val="333333"/>
                <w:sz w:val="23"/>
              </w:rPr>
              <w:t>$/ca</w:t>
            </w:r>
          </w:p>
        </w:tc>
        <w:tc>
          <w:tcPr>
            <w:tcW w:type="dxa" w:w="3312"/>
            <w:vAlign w:val="center"/>
            <w:tcMar>
              <w:top w:w="80" w:type="dxa"/>
              <w:bottom w:w="80" w:type="dxa"/>
              <w:left w:w="100" w:type="dxa"/>
              <w:right w:w="100" w:type="dxa"/>
            </w:tcMar>
            <w:shd w:fill="FFFFFF"/>
          </w:tcPr>
          <w:p>
            <w:pPr>
              <w:spacing w:after="0" w:line="264" w:lineRule="auto"/>
              <w:jc w:val="left"/>
            </w:pPr>
            <w:r>
              <w:rPr>
                <w:rFonts w:ascii="Times New Roman" w:hAnsi="Times New Roman"/>
                <w:color w:val="333333"/>
                <w:sz w:val="23"/>
              </w:rPr>
              <w:t>Tab 2_Pricing!B7 (Hệ số an toàn tối thiểu 3x)</w:t>
            </w:r>
          </w:p>
        </w:tc>
      </w:tr>
      <w:tr>
        <w:tc>
          <w:tcPr>
            <w:tcW w:type="dxa" w:w="3600"/>
            <w:vAlign w:val="center"/>
            <w:tcMar>
              <w:top w:w="80" w:type="dxa"/>
              <w:bottom w:w="80" w:type="dxa"/>
              <w:left w:w="100" w:type="dxa"/>
              <w:right w:w="100" w:type="dxa"/>
            </w:tcMar>
            <w:shd w:fill="FAFAFA"/>
          </w:tcPr>
          <w:p>
            <w:pPr>
              <w:spacing w:after="0" w:line="264" w:lineRule="auto"/>
              <w:jc w:val="left"/>
            </w:pPr>
            <w:r>
              <w:rPr>
                <w:rFonts w:ascii="Times New Roman" w:hAnsi="Times New Roman"/>
                <w:b/>
                <w:color w:val="333333"/>
                <w:sz w:val="23"/>
              </w:rPr>
              <w:t>Giá bán đề xuất</w:t>
            </w:r>
          </w:p>
        </w:tc>
        <w:tc>
          <w:tcPr>
            <w:tcW w:type="dxa" w:w="2016"/>
            <w:vAlign w:val="center"/>
            <w:tcMar>
              <w:top w:w="80" w:type="dxa"/>
              <w:bottom w:w="80" w:type="dxa"/>
              <w:left w:w="100" w:type="dxa"/>
              <w:right w:w="100" w:type="dxa"/>
            </w:tcMar>
            <w:shd w:fill="FAFAFA"/>
          </w:tcPr>
          <w:p>
            <w:pPr>
              <w:spacing w:after="0" w:line="264" w:lineRule="auto"/>
              <w:jc w:val="center"/>
            </w:pPr>
            <w:r>
              <w:rPr>
                <w:rFonts w:ascii="Times New Roman" w:hAnsi="Times New Roman"/>
                <w:color w:val="333333"/>
                <w:sz w:val="23"/>
              </w:rPr>
              <w:t>$0,790 (20.540 ₫)</w:t>
            </w:r>
          </w:p>
        </w:tc>
        <w:tc>
          <w:tcPr>
            <w:tcW w:type="dxa" w:w="1152"/>
            <w:vAlign w:val="center"/>
            <w:tcMar>
              <w:top w:w="80" w:type="dxa"/>
              <w:bottom w:w="80" w:type="dxa"/>
              <w:left w:w="100" w:type="dxa"/>
              <w:right w:w="100" w:type="dxa"/>
            </w:tcMar>
            <w:shd w:fill="FAFAFA"/>
          </w:tcPr>
          <w:p>
            <w:pPr>
              <w:spacing w:after="0" w:line="264" w:lineRule="auto"/>
              <w:jc w:val="center"/>
            </w:pPr>
            <w:r>
              <w:rPr>
                <w:rFonts w:ascii="Times New Roman" w:hAnsi="Times New Roman"/>
                <w:color w:val="333333"/>
                <w:sz w:val="23"/>
              </w:rPr>
              <w:t>$/ca</w:t>
            </w:r>
          </w:p>
        </w:tc>
        <w:tc>
          <w:tcPr>
            <w:tcW w:type="dxa" w:w="3312"/>
            <w:vAlign w:val="center"/>
            <w:tcMar>
              <w:top w:w="80" w:type="dxa"/>
              <w:bottom w:w="80" w:type="dxa"/>
              <w:left w:w="100" w:type="dxa"/>
              <w:right w:w="100" w:type="dxa"/>
            </w:tcMar>
            <w:shd w:fill="FAFAFA"/>
          </w:tcPr>
          <w:p>
            <w:pPr>
              <w:spacing w:after="0" w:line="264" w:lineRule="auto"/>
              <w:jc w:val="left"/>
            </w:pPr>
            <w:r>
              <w:rPr>
                <w:rFonts w:ascii="Times New Roman" w:hAnsi="Times New Roman"/>
                <w:color w:val="333333"/>
                <w:sz w:val="23"/>
              </w:rPr>
              <w:t>Tab 2_Pricing!B19 (Cạnh tranh hơn Intercom $0,99)</w:t>
            </w:r>
          </w:p>
        </w:tc>
      </w:tr>
      <w:tr>
        <w:tc>
          <w:tcPr>
            <w:tcW w:type="dxa" w:w="3600"/>
            <w:vAlign w:val="center"/>
            <w:tcMar>
              <w:top w:w="80" w:type="dxa"/>
              <w:bottom w:w="80" w:type="dxa"/>
              <w:left w:w="100" w:type="dxa"/>
              <w:right w:w="100" w:type="dxa"/>
            </w:tcMar>
            <w:shd w:fill="FFFFFF"/>
          </w:tcPr>
          <w:p>
            <w:pPr>
              <w:spacing w:after="0" w:line="264" w:lineRule="auto"/>
              <w:jc w:val="left"/>
            </w:pPr>
            <w:r>
              <w:rPr>
                <w:rFonts w:ascii="Times New Roman" w:hAnsi="Times New Roman"/>
                <w:b/>
                <w:color w:val="333333"/>
                <w:sz w:val="23"/>
              </w:rPr>
              <w:t>Gross Margin mục tiêu</w:t>
            </w:r>
          </w:p>
        </w:tc>
        <w:tc>
          <w:tcPr>
            <w:tcW w:type="dxa" w:w="2016"/>
            <w:vAlign w:val="center"/>
            <w:tcMar>
              <w:top w:w="80" w:type="dxa"/>
              <w:bottom w:w="80" w:type="dxa"/>
              <w:left w:w="100" w:type="dxa"/>
              <w:right w:w="100" w:type="dxa"/>
            </w:tcMar>
            <w:shd w:fill="FFFFFF"/>
          </w:tcPr>
          <w:p>
            <w:pPr>
              <w:spacing w:after="0" w:line="264" w:lineRule="auto"/>
              <w:jc w:val="center"/>
            </w:pPr>
            <w:r>
              <w:rPr>
                <w:rFonts w:ascii="Times New Roman" w:hAnsi="Times New Roman"/>
                <w:color w:val="333333"/>
                <w:sz w:val="23"/>
              </w:rPr>
              <w:t>71,25%</w:t>
            </w:r>
          </w:p>
        </w:tc>
        <w:tc>
          <w:tcPr>
            <w:tcW w:type="dxa" w:w="1152"/>
            <w:vAlign w:val="center"/>
            <w:tcMar>
              <w:top w:w="80" w:type="dxa"/>
              <w:bottom w:w="80" w:type="dxa"/>
              <w:left w:w="100" w:type="dxa"/>
              <w:right w:w="100" w:type="dxa"/>
            </w:tcMar>
            <w:shd w:fill="FFFFFF"/>
          </w:tcPr>
          <w:p>
            <w:pPr>
              <w:spacing w:after="0" w:line="264" w:lineRule="auto"/>
              <w:jc w:val="center"/>
            </w:pPr>
            <w:r>
              <w:rPr>
                <w:rFonts w:ascii="Times New Roman" w:hAnsi="Times New Roman"/>
                <w:color w:val="333333"/>
                <w:sz w:val="23"/>
              </w:rPr>
              <w:t>%</w:t>
            </w:r>
          </w:p>
        </w:tc>
        <w:tc>
          <w:tcPr>
            <w:tcW w:type="dxa" w:w="3312"/>
            <w:vAlign w:val="center"/>
            <w:tcMar>
              <w:top w:w="80" w:type="dxa"/>
              <w:bottom w:w="80" w:type="dxa"/>
              <w:left w:w="100" w:type="dxa"/>
              <w:right w:w="100" w:type="dxa"/>
            </w:tcMar>
            <w:shd w:fill="FFFFFF"/>
          </w:tcPr>
          <w:p>
            <w:pPr>
              <w:spacing w:after="0" w:line="264" w:lineRule="auto"/>
              <w:jc w:val="left"/>
            </w:pPr>
            <w:r>
              <w:rPr>
                <w:rFonts w:ascii="Times New Roman" w:hAnsi="Times New Roman"/>
                <w:color w:val="333333"/>
                <w:sz w:val="23"/>
              </w:rPr>
              <w:t>Tab 2_Pricing!B21 (Vượt chuẩn an toàn 60% của Cloud)</w:t>
            </w:r>
          </w:p>
        </w:tc>
      </w:tr>
      <w:tr>
        <w:tc>
          <w:tcPr>
            <w:tcW w:type="dxa" w:w="3600"/>
            <w:vAlign w:val="center"/>
            <w:tcMar>
              <w:top w:w="80" w:type="dxa"/>
              <w:bottom w:w="80" w:type="dxa"/>
              <w:left w:w="100" w:type="dxa"/>
              <w:right w:w="100" w:type="dxa"/>
            </w:tcMar>
            <w:shd w:fill="FAFAFA"/>
          </w:tcPr>
          <w:p>
            <w:pPr>
              <w:spacing w:after="0" w:line="264" w:lineRule="auto"/>
              <w:jc w:val="left"/>
            </w:pPr>
            <w:r>
              <w:rPr>
                <w:rFonts w:ascii="Times New Roman" w:hAnsi="Times New Roman"/>
                <w:b/>
                <w:color w:val="333333"/>
                <w:sz w:val="23"/>
              </w:rPr>
              <w:t>Ngưỡng hòa vốn tự động hóa (Breakeven)</w:t>
            </w:r>
          </w:p>
        </w:tc>
        <w:tc>
          <w:tcPr>
            <w:tcW w:type="dxa" w:w="2016"/>
            <w:vAlign w:val="center"/>
            <w:tcMar>
              <w:top w:w="80" w:type="dxa"/>
              <w:bottom w:w="80" w:type="dxa"/>
              <w:left w:w="100" w:type="dxa"/>
              <w:right w:w="100" w:type="dxa"/>
            </w:tcMar>
            <w:shd w:fill="FAFAFA"/>
          </w:tcPr>
          <w:p>
            <w:pPr>
              <w:spacing w:after="0" w:line="264" w:lineRule="auto"/>
              <w:jc w:val="center"/>
            </w:pPr>
            <w:r>
              <w:rPr>
                <w:rFonts w:ascii="Times New Roman" w:hAnsi="Times New Roman"/>
                <w:color w:val="333333"/>
                <w:sz w:val="23"/>
              </w:rPr>
              <w:t>70,29%</w:t>
            </w:r>
          </w:p>
        </w:tc>
        <w:tc>
          <w:tcPr>
            <w:tcW w:type="dxa" w:w="1152"/>
            <w:vAlign w:val="center"/>
            <w:tcMar>
              <w:top w:w="80" w:type="dxa"/>
              <w:bottom w:w="80" w:type="dxa"/>
              <w:left w:w="100" w:type="dxa"/>
              <w:right w:w="100" w:type="dxa"/>
            </w:tcMar>
            <w:shd w:fill="FAFAFA"/>
          </w:tcPr>
          <w:p>
            <w:pPr>
              <w:spacing w:after="0" w:line="264" w:lineRule="auto"/>
              <w:jc w:val="center"/>
            </w:pPr>
            <w:r>
              <w:rPr>
                <w:rFonts w:ascii="Times New Roman" w:hAnsi="Times New Roman"/>
                <w:color w:val="333333"/>
                <w:sz w:val="23"/>
              </w:rPr>
              <w:t>%</w:t>
            </w:r>
          </w:p>
        </w:tc>
        <w:tc>
          <w:tcPr>
            <w:tcW w:type="dxa" w:w="3312"/>
            <w:vAlign w:val="center"/>
            <w:tcMar>
              <w:top w:w="80" w:type="dxa"/>
              <w:bottom w:w="80" w:type="dxa"/>
              <w:left w:w="100" w:type="dxa"/>
              <w:right w:w="100" w:type="dxa"/>
            </w:tcMar>
            <w:shd w:fill="FAFAFA"/>
          </w:tcPr>
          <w:p>
            <w:pPr>
              <w:spacing w:after="0" w:line="264" w:lineRule="auto"/>
              <w:jc w:val="left"/>
            </w:pPr>
            <w:r>
              <w:rPr>
                <w:rFonts w:ascii="Times New Roman" w:hAnsi="Times New Roman"/>
                <w:color w:val="333333"/>
                <w:sz w:val="23"/>
              </w:rPr>
              <w:t>Tab 2_Pricing!B33 (Mức tối thiểu để không lỗ)</w:t>
            </w:r>
          </w:p>
        </w:tc>
      </w:tr>
      <w:tr>
        <w:tc>
          <w:tcPr>
            <w:tcW w:type="dxa" w:w="3600"/>
            <w:vAlign w:val="center"/>
            <w:tcMar>
              <w:top w:w="80" w:type="dxa"/>
              <w:bottom w:w="80" w:type="dxa"/>
              <w:left w:w="100" w:type="dxa"/>
              <w:right w:w="100" w:type="dxa"/>
            </w:tcMar>
            <w:shd w:fill="FFFFFF"/>
          </w:tcPr>
          <w:p>
            <w:pPr>
              <w:spacing w:after="0" w:line="264" w:lineRule="auto"/>
              <w:jc w:val="left"/>
            </w:pPr>
            <w:r>
              <w:rPr>
                <w:rFonts w:ascii="Times New Roman" w:hAnsi="Times New Roman"/>
                <w:b/>
                <w:color w:val="333333"/>
                <w:sz w:val="23"/>
              </w:rPr>
              <w:t>Tỷ lệ tự động hóa vận hành thực tế</w:t>
            </w:r>
          </w:p>
        </w:tc>
        <w:tc>
          <w:tcPr>
            <w:tcW w:type="dxa" w:w="2016"/>
            <w:vAlign w:val="center"/>
            <w:tcMar>
              <w:top w:w="80" w:type="dxa"/>
              <w:bottom w:w="80" w:type="dxa"/>
              <w:left w:w="100" w:type="dxa"/>
              <w:right w:w="100" w:type="dxa"/>
            </w:tcMar>
            <w:shd w:fill="FFFFFF"/>
          </w:tcPr>
          <w:p>
            <w:pPr>
              <w:spacing w:after="0" w:line="264" w:lineRule="auto"/>
              <w:jc w:val="center"/>
            </w:pPr>
            <w:r>
              <w:rPr>
                <w:rFonts w:ascii="Times New Roman" w:hAnsi="Times New Roman"/>
                <w:color w:val="333333"/>
                <w:sz w:val="23"/>
              </w:rPr>
              <w:t>78,00%</w:t>
            </w:r>
          </w:p>
        </w:tc>
        <w:tc>
          <w:tcPr>
            <w:tcW w:type="dxa" w:w="1152"/>
            <w:vAlign w:val="center"/>
            <w:tcMar>
              <w:top w:w="80" w:type="dxa"/>
              <w:bottom w:w="80" w:type="dxa"/>
              <w:left w:w="100" w:type="dxa"/>
              <w:right w:w="100" w:type="dxa"/>
            </w:tcMar>
            <w:shd w:fill="FFFFFF"/>
          </w:tcPr>
          <w:p>
            <w:pPr>
              <w:spacing w:after="0" w:line="264" w:lineRule="auto"/>
              <w:jc w:val="center"/>
            </w:pPr>
            <w:r>
              <w:rPr>
                <w:rFonts w:ascii="Times New Roman" w:hAnsi="Times New Roman"/>
                <w:color w:val="333333"/>
                <w:sz w:val="23"/>
              </w:rPr>
              <w:t>%</w:t>
            </w:r>
          </w:p>
        </w:tc>
        <w:tc>
          <w:tcPr>
            <w:tcW w:type="dxa" w:w="3312"/>
            <w:vAlign w:val="center"/>
            <w:tcMar>
              <w:top w:w="80" w:type="dxa"/>
              <w:bottom w:w="80" w:type="dxa"/>
              <w:left w:w="100" w:type="dxa"/>
              <w:right w:w="100" w:type="dxa"/>
            </w:tcMar>
            <w:shd w:fill="FFFFFF"/>
          </w:tcPr>
          <w:p>
            <w:pPr>
              <w:spacing w:after="0" w:line="264" w:lineRule="auto"/>
              <w:jc w:val="left"/>
            </w:pPr>
            <w:r>
              <w:rPr>
                <w:rFonts w:ascii="Times New Roman" w:hAnsi="Times New Roman"/>
                <w:color w:val="333333"/>
                <w:sz w:val="23"/>
              </w:rPr>
              <w:t>Tab 1_Cost_Job!B10 (Biên an toàn đạt 7,71%)</w:t>
            </w:r>
          </w:p>
        </w:tc>
      </w:tr>
    </w:tbl>
    <w:p>
      <w:pPr>
        <w:spacing w:after="40"/>
      </w:pPr>
    </w:p>
    <w:p>
      <w:pPr>
        <w:spacing w:before="160" w:after="40"/>
      </w:pPr>
      <w:r>
        <w:rPr>
          <w:rFonts w:ascii="Times New Roman" w:hAnsi="Times New Roman"/>
          <w:b/>
          <w:color w:val="333333"/>
          <w:sz w:val="26"/>
        </w:rPr>
        <w:t>1.3. Tham chiếu thị trường (Market Benchmarks)</w:t>
      </w:r>
    </w:p>
    <w:p>
      <w:pPr>
        <w:pStyle w:val="ListBullet"/>
        <w:spacing w:before="0" w:after="60" w:line="276" w:lineRule="auto"/>
      </w:pPr>
      <w:r>
        <w:rPr>
          <w:rFonts w:ascii="Times New Roman" w:hAnsi="Times New Roman"/>
          <w:b/>
          <w:color w:val="333333"/>
          <w:sz w:val="26"/>
        </w:rPr>
        <w:t xml:space="preserve">Intercom Fin: </w:t>
      </w:r>
      <w:r>
        <w:rPr>
          <w:rFonts w:ascii="Times New Roman" w:hAnsi="Times New Roman"/>
          <w:color w:val="333333"/>
          <w:sz w:val="26"/>
        </w:rPr>
        <w:t xml:space="preserve"> Mô hình Outcome-based với giá $0,99/resolution. Chỉ tính phí khi hội thoại được giải quyết tự động hoàn toàn; miễn phí phiên chuyển tiếp sang nhân sự.</w:t>
      </w:r>
    </w:p>
    <w:p>
      <w:pPr>
        <w:pStyle w:val="ListBullet"/>
        <w:spacing w:before="0" w:after="60" w:line="276" w:lineRule="auto"/>
      </w:pPr>
      <w:r>
        <w:rPr>
          <w:rFonts w:ascii="Times New Roman" w:hAnsi="Times New Roman"/>
          <w:b/>
          <w:color w:val="333333"/>
          <w:sz w:val="26"/>
        </w:rPr>
        <w:t xml:space="preserve">Salesforce Agentforce: </w:t>
      </w:r>
      <w:r>
        <w:rPr>
          <w:rFonts w:ascii="Times New Roman" w:hAnsi="Times New Roman"/>
          <w:color w:val="333333"/>
          <w:sz w:val="26"/>
        </w:rPr>
        <w:t xml:space="preserve"> Mô hình Hybrid với $5/user/tháng kết hợp $2,00/conversation hoặc $0,10/action qua hệ thống Flex Credits.</w:t>
      </w:r>
    </w:p>
    <w:p>
      <w:pPr>
        <w:pStyle w:val="ListBullet"/>
        <w:spacing w:before="0" w:after="60" w:line="276" w:lineRule="auto"/>
      </w:pPr>
      <w:r>
        <w:rPr>
          <w:rFonts w:ascii="Times New Roman" w:hAnsi="Times New Roman"/>
          <w:b/>
          <w:color w:val="333333"/>
          <w:sz w:val="26"/>
        </w:rPr>
        <w:t xml:space="preserve">Zendesk AI for Healthcare: </w:t>
      </w:r>
      <w:r>
        <w:rPr>
          <w:rFonts w:ascii="Times New Roman" w:hAnsi="Times New Roman"/>
          <w:color w:val="333333"/>
          <w:sz w:val="26"/>
        </w:rPr>
        <w:t xml:space="preserve"> Mô hình Outcome-based với mức giá công bố $1,50/automated resolution.</w:t>
      </w:r>
    </w:p>
    <w:p>
      <w:pPr>
        <w:spacing w:before="160" w:after="40"/>
      </w:pPr>
      <w:r>
        <w:rPr>
          <w:rFonts w:ascii="Times New Roman" w:hAnsi="Times New Roman"/>
          <w:b/>
          <w:color w:val="333333"/>
          <w:sz w:val="26"/>
        </w:rPr>
        <w:t>1.4. Chiến lược neo giá (Price Anchoring)</w:t>
      </w:r>
    </w:p>
    <w:p>
      <w:pPr>
        <w:pStyle w:val="ListBullet"/>
        <w:spacing w:before="0" w:after="60" w:line="276" w:lineRule="auto"/>
      </w:pPr>
      <w:r>
        <w:rPr>
          <w:rFonts w:ascii="Times New Roman" w:hAnsi="Times New Roman"/>
          <w:b/>
          <w:color w:val="333333"/>
          <w:sz w:val="26"/>
        </w:rPr>
        <w:t xml:space="preserve">Cơ sở neo giá: </w:t>
      </w:r>
      <w:r>
        <w:rPr>
          <w:rFonts w:ascii="Times New Roman" w:hAnsi="Times New Roman"/>
          <w:color w:val="333333"/>
          <w:sz w:val="26"/>
        </w:rPr>
        <w:t xml:space="preserve"> Kết hợp giữa tỷ lệ chia sẻ thặng dư giá trị tạo ra (10–25%) và chi phí nhân sự thay thế (50–70%).</w:t>
      </w:r>
    </w:p>
    <w:p>
      <w:pPr>
        <w:pStyle w:val="ListBullet"/>
        <w:spacing w:before="0" w:after="60" w:line="276" w:lineRule="auto"/>
      </w:pPr>
      <w:r>
        <w:rPr>
          <w:rFonts w:ascii="Times New Roman" w:hAnsi="Times New Roman"/>
          <w:b/>
          <w:color w:val="333333"/>
          <w:sz w:val="26"/>
        </w:rPr>
        <w:t xml:space="preserve">Phân tích định lượng: </w:t>
      </w:r>
      <w:r>
        <w:rPr>
          <w:rFonts w:ascii="Times New Roman" w:hAnsi="Times New Roman"/>
          <w:color w:val="333333"/>
          <w:sz w:val="26"/>
        </w:rPr>
        <w:t xml:space="preserve"> Tại một cơ sở quy mô 1.000 ca triage/tháng, hệ thống tiết kiệm ~133 giờ làm việc của điều dưỡng trực (tương đương ~$930 chi phí nhân công trực tiếp) và giảm thiểu hiện tượng bệnh nhân đăng ký nhầm chuyên khoa, tạo giá trị vận hành thặng dư ước tính ~$4.500/tháng.</w:t>
      </w:r>
    </w:p>
    <w:p>
      <w:pPr>
        <w:pStyle w:val="ListBullet"/>
        <w:spacing w:before="0" w:after="60" w:line="276" w:lineRule="auto"/>
      </w:pPr>
      <w:r>
        <w:rPr>
          <w:rFonts w:ascii="Times New Roman" w:hAnsi="Times New Roman"/>
          <w:b/>
          <w:color w:val="333333"/>
          <w:sz w:val="26"/>
        </w:rPr>
        <w:t xml:space="preserve">Hiệu quả chấp nhận: </w:t>
      </w:r>
      <w:r>
        <w:rPr>
          <w:rFonts w:ascii="Times New Roman" w:hAnsi="Times New Roman"/>
          <w:color w:val="333333"/>
          <w:sz w:val="26"/>
        </w:rPr>
        <w:t xml:space="preserve"> Mức phí $0,79/ca (tương đương $790/tháng cho 1.000 ca) chiếm 17,5% thặng dư giá trị tạo ra và thấp hơn 34% so với chi phí thuê một nhân sự trực tổng đài ban đêm ($1.200/tháng). Cách neo này bảo đảm tính thuyết phục cao khi giải trình ngân sách trước Hội đồng Quản trị bệnh viện.</w:t>
      </w:r>
    </w:p>
    <w:p>
      <w:pPr>
        <w:spacing w:before="160" w:after="40"/>
      </w:pPr>
      <w:r>
        <w:rPr>
          <w:rFonts w:ascii="Times New Roman" w:hAnsi="Times New Roman"/>
          <w:b/>
          <w:color w:val="333333"/>
          <w:sz w:val="26"/>
        </w:rPr>
        <w:t>1.5. Phân tích độ nhạy &amp; Điểm gãy mô hình (Sensitivity &amp; Breakeven)</w:t>
      </w:r>
    </w:p>
    <w:p>
      <w:pPr>
        <w:pStyle w:val="ListBullet"/>
        <w:spacing w:before="0" w:after="60" w:line="276" w:lineRule="auto"/>
      </w:pPr>
      <w:r>
        <w:rPr>
          <w:rFonts w:ascii="Times New Roman" w:hAnsi="Times New Roman"/>
          <w:b/>
          <w:color w:val="333333"/>
          <w:sz w:val="26"/>
        </w:rPr>
        <w:t xml:space="preserve">Ngưỡng an toàn biên lợi nhuận (Gross Margin &lt; 50%): </w:t>
      </w:r>
      <w:r>
        <w:rPr>
          <w:rFonts w:ascii="Times New Roman" w:hAnsi="Times New Roman"/>
          <w:color w:val="333333"/>
          <w:sz w:val="26"/>
        </w:rPr>
        <w:t xml:space="preserve"> Mô hình rơi vào vùng rủi ro khi tỷ lệ Containment giảm xuống dưới 63,4% (đồng nghĩa tỷ lệ ca phải chuyển tiếp sang điều dưỡng trực vượt quá 36,6% với chi phí $7/giờ).</w:t>
      </w:r>
    </w:p>
    <w:p>
      <w:pPr>
        <w:pStyle w:val="ListBullet"/>
        <w:spacing w:before="0" w:after="60" w:line="276" w:lineRule="auto"/>
      </w:pPr>
      <w:r>
        <w:rPr>
          <w:rFonts w:ascii="Times New Roman" w:hAnsi="Times New Roman"/>
          <w:b/>
          <w:color w:val="333333"/>
          <w:sz w:val="26"/>
        </w:rPr>
        <w:t xml:space="preserve">Ngưỡng hòa vốn tự động hóa: </w:t>
      </w:r>
      <w:r>
        <w:rPr>
          <w:rFonts w:ascii="Times New Roman" w:hAnsi="Times New Roman"/>
          <w:color w:val="333333"/>
          <w:sz w:val="26"/>
        </w:rPr>
        <w:t xml:space="preserve"> Điểm hòa vốn biên đạt 70,29%. Hệ thống hiện vận hành tại 78,00%, mang lại biên đệm an toàn 7,71% tương ứng Gross Margin đạt 71,25%.</w:t>
      </w:r>
    </w:p>
    <w:p>
      <w:pPr>
        <w:pStyle w:val="ListBullet"/>
        <w:spacing w:before="0" w:after="60" w:line="276" w:lineRule="auto"/>
      </w:pPr>
      <w:r>
        <w:rPr>
          <w:rFonts w:ascii="Times New Roman" w:hAnsi="Times New Roman"/>
          <w:b/>
          <w:color w:val="333333"/>
          <w:sz w:val="26"/>
        </w:rPr>
        <w:t xml:space="preserve">Đòn bẩy kỹ thuật: </w:t>
      </w:r>
      <w:r>
        <w:rPr>
          <w:rFonts w:ascii="Times New Roman" w:hAnsi="Times New Roman"/>
          <w:color w:val="333333"/>
          <w:sz w:val="26"/>
        </w:rPr>
        <w:t xml:space="preserve"> Cơ chế Prompt Caching của Anthropic API giúp tiết kiệm 38,8% chi phí token. Việc duy trì bộ nhớ đệm là điều kiện tiên quyết để bảo vệ biên lợi nhuận mục tiêu.</w:t>
      </w:r>
    </w:p>
    <w:p>
      <w:pPr>
        <w:spacing w:before="280" w:after="80"/>
      </w:pPr>
      <w:r>
        <w:rPr>
          <w:rFonts w:ascii="Times New Roman" w:hAnsi="Times New Roman"/>
          <w:b/>
          <w:color w:val="1F4E79"/>
          <w:sz w:val="28"/>
        </w:rPr>
        <w:t>2. CHIẾN LƯỢC TIẾP CẬN THỊ TRƯỜNG (GO-TO-MARKET STRATEGY)</w:t>
      </w:r>
    </w:p>
    <w:p>
      <w:pPr>
        <w:spacing w:before="160" w:after="40"/>
      </w:pPr>
      <w:r>
        <w:rPr>
          <w:rFonts w:ascii="Times New Roman" w:hAnsi="Times New Roman"/>
          <w:b/>
          <w:color w:val="333333"/>
          <w:sz w:val="26"/>
        </w:rPr>
        <w:t>2.1. Lựa chọn kênh phân phối 90 ngày đầu (GTM Motion)</w:t>
      </w:r>
    </w:p>
    <w:p>
      <w:pPr>
        <w:pStyle w:val="ListBullet"/>
        <w:spacing w:before="0" w:after="60" w:line="276" w:lineRule="auto"/>
      </w:pPr>
      <w:r>
        <w:rPr>
          <w:rFonts w:ascii="Times New Roman" w:hAnsi="Times New Roman"/>
          <w:b/>
          <w:color w:val="333333"/>
          <w:sz w:val="26"/>
        </w:rPr>
        <w:t xml:space="preserve">Kênh phân phối: </w:t>
      </w:r>
      <w:r>
        <w:rPr>
          <w:rFonts w:ascii="Times New Roman" w:hAnsi="Times New Roman"/>
          <w:color w:val="333333"/>
          <w:sz w:val="26"/>
        </w:rPr>
        <w:t xml:space="preserve"> Tập trung độc quyền vào kênh Partner-Led trong giai đoạn 90 ngày đầu tiên.</w:t>
      </w:r>
    </w:p>
    <w:p>
      <w:pPr>
        <w:pStyle w:val="ListBullet"/>
        <w:spacing w:before="0" w:after="60" w:line="276" w:lineRule="auto"/>
      </w:pPr>
      <w:r>
        <w:rPr>
          <w:rFonts w:ascii="Times New Roman" w:hAnsi="Times New Roman"/>
          <w:b/>
          <w:color w:val="333333"/>
          <w:sz w:val="26"/>
        </w:rPr>
        <w:t xml:space="preserve">Đối tác chiến lược: </w:t>
      </w:r>
      <w:r>
        <w:rPr>
          <w:rFonts w:ascii="Times New Roman" w:hAnsi="Times New Roman"/>
          <w:color w:val="333333"/>
          <w:sz w:val="26"/>
        </w:rPr>
        <w:t xml:space="preserve"> Hệ thống Y tế Vinmec (gồm 7 bệnh viện đa khoa quốc tế và 3 phòng khám đa khoa trên toàn quốc).</w:t>
      </w:r>
    </w:p>
    <w:p>
      <w:pPr>
        <w:pStyle w:val="ListBullet"/>
        <w:spacing w:before="0" w:after="60" w:line="276" w:lineRule="auto"/>
      </w:pPr>
      <w:r>
        <w:rPr>
          <w:rFonts w:ascii="Times New Roman" w:hAnsi="Times New Roman"/>
          <w:b/>
          <w:color w:val="333333"/>
          <w:sz w:val="26"/>
        </w:rPr>
        <w:t xml:space="preserve">Hiện trạng hợp tác: </w:t>
      </w:r>
      <w:r>
        <w:rPr>
          <w:rFonts w:ascii="Times New Roman" w:hAnsi="Times New Roman"/>
          <w:color w:val="333333"/>
          <w:sz w:val="26"/>
        </w:rPr>
        <w:t xml:space="preserve"> Đã thống nhất phương án kỹ thuật và ký kết thỏa thuận triển khai thí điểm tại Bệnh viện Đa khoa Quốc tế Vinmec Times City.</w:t>
      </w:r>
    </w:p>
    <w:p>
      <w:pPr>
        <w:pStyle w:val="ListBullet"/>
        <w:spacing w:before="0" w:after="60" w:line="276" w:lineRule="auto"/>
      </w:pPr>
      <w:r>
        <w:rPr>
          <w:rFonts w:ascii="Times New Roman" w:hAnsi="Times New Roman"/>
          <w:b/>
          <w:color w:val="333333"/>
          <w:sz w:val="26"/>
        </w:rPr>
        <w:t xml:space="preserve">Giá trị mang lại cho đối tác: </w:t>
      </w:r>
      <w:r>
        <w:rPr>
          <w:rFonts w:ascii="Times New Roman" w:hAnsi="Times New Roman"/>
          <w:color w:val="333333"/>
          <w:sz w:val="26"/>
        </w:rPr>
        <w:t xml:space="preserve"> Tự động hóa quy trình sàng lọc 24/7; rút ngắn thời gian tiếp nhận ban đầu từ 15 phút xuống dưới 2 phút; phát hiện ngay các ca cờ đỏ ngoài giờ hành chính; tăng 25% tỷ lệ bệnh nhân đặt hẹn đúng chuyên khoa.</w:t>
      </w:r>
    </w:p>
    <w:p>
      <w:pPr>
        <w:spacing w:before="160" w:after="40"/>
      </w:pPr>
      <w:r>
        <w:rPr>
          <w:rFonts w:ascii="Times New Roman" w:hAnsi="Times New Roman"/>
          <w:b/>
          <w:color w:val="333333"/>
          <w:sz w:val="26"/>
        </w:rPr>
        <w:t>Bảng 1: Bằng chứng định lượng về lựa chọn kênh (Affordability &amp; Viability Test)</w:t>
      </w:r>
    </w:p>
    <w:tbl>
      <w:tblPr>
        <w:tblW w:type="auto" w:w="0"/>
        <w:jc w:val="center"/>
        <w:tblLook w:firstColumn="1" w:firstRow="1" w:lastColumn="0" w:lastRow="0" w:noHBand="0" w:noVBand="1" w:val="04A0"/>
        <w:tblBorders>
          <w:top w:val="single" w:sz="6" w:space="0" w:color="D3D3D3"/>
          <w:left w:val="none"/>
          <w:bottom w:val="single" w:sz="6" w:space="0" w:color="D3D3D3"/>
          <w:right w:val="none"/>
          <w:insideH w:val="single" w:sz="4" w:space="0" w:color="D3D3D3"/>
          <w:insideV w:val="none"/>
        </w:tblBorders>
      </w:tblPr>
      <w:tblGrid>
        <w:gridCol w:w="3360"/>
        <w:gridCol w:w="3360"/>
        <w:gridCol w:w="3360"/>
      </w:tblGrid>
      <w:tr>
        <w:tc>
          <w:tcPr>
            <w:tcW w:type="dxa" w:w="4032"/>
            <w:vAlign w:val="center"/>
            <w:tcMar>
              <w:top w:w="80" w:type="dxa"/>
              <w:bottom w:w="80" w:type="dxa"/>
              <w:left w:w="100" w:type="dxa"/>
              <w:right w:w="100" w:type="dxa"/>
            </w:tcMar>
            <w:shd w:fill="1F4E79"/>
          </w:tcPr>
          <w:p>
            <w:pPr>
              <w:spacing w:after="0" w:line="264" w:lineRule="auto"/>
              <w:jc w:val="left"/>
            </w:pPr>
            <w:r>
              <w:rPr>
                <w:rFonts w:ascii="Times New Roman" w:hAnsi="Times New Roman"/>
                <w:b/>
                <w:color w:val="FFFFFF"/>
                <w:sz w:val="24"/>
              </w:rPr>
              <w:t>Chỉ tiêu phân tích</w:t>
            </w:r>
          </w:p>
        </w:tc>
        <w:tc>
          <w:tcPr>
            <w:tcW w:type="dxa" w:w="2160"/>
            <w:vAlign w:val="center"/>
            <w:tcMar>
              <w:top w:w="80" w:type="dxa"/>
              <w:bottom w:w="80" w:type="dxa"/>
              <w:left w:w="100" w:type="dxa"/>
              <w:right w:w="100" w:type="dxa"/>
            </w:tcMar>
            <w:shd w:fill="1F4E79"/>
          </w:tcPr>
          <w:p>
            <w:pPr>
              <w:spacing w:after="0" w:line="264" w:lineRule="auto"/>
              <w:jc w:val="center"/>
            </w:pPr>
            <w:r>
              <w:rPr>
                <w:rFonts w:ascii="Times New Roman" w:hAnsi="Times New Roman"/>
                <w:b/>
                <w:color w:val="FFFFFF"/>
                <w:sz w:val="24"/>
              </w:rPr>
              <w:t>Giá trị tính toán</w:t>
            </w:r>
          </w:p>
        </w:tc>
        <w:tc>
          <w:tcPr>
            <w:tcW w:type="dxa" w:w="3888"/>
            <w:vAlign w:val="center"/>
            <w:tcMar>
              <w:top w:w="80" w:type="dxa"/>
              <w:bottom w:w="80" w:type="dxa"/>
              <w:left w:w="100" w:type="dxa"/>
              <w:right w:w="100" w:type="dxa"/>
            </w:tcMar>
            <w:shd w:fill="1F4E79"/>
          </w:tcPr>
          <w:p>
            <w:pPr>
              <w:spacing w:after="0" w:line="264" w:lineRule="auto"/>
              <w:jc w:val="left"/>
            </w:pPr>
            <w:r>
              <w:rPr>
                <w:rFonts w:ascii="Times New Roman" w:hAnsi="Times New Roman"/>
                <w:b/>
                <w:color w:val="FFFFFF"/>
                <w:sz w:val="24"/>
              </w:rPr>
              <w:t>Nguồn đối chiếu / Kết luận số học</w:t>
            </w:r>
          </w:p>
        </w:tc>
      </w:tr>
      <w:tr>
        <w:tc>
          <w:tcPr>
            <w:tcW w:type="dxa" w:w="4032"/>
            <w:vAlign w:val="center"/>
            <w:tcMar>
              <w:top w:w="80" w:type="dxa"/>
              <w:bottom w:w="80" w:type="dxa"/>
              <w:left w:w="100" w:type="dxa"/>
              <w:right w:w="100" w:type="dxa"/>
            </w:tcMar>
            <w:shd w:fill="FAFAFA"/>
          </w:tcPr>
          <w:p>
            <w:pPr>
              <w:spacing w:after="0" w:line="264" w:lineRule="auto"/>
              <w:jc w:val="left"/>
            </w:pPr>
            <w:r>
              <w:rPr>
                <w:rFonts w:ascii="Times New Roman" w:hAnsi="Times New Roman"/>
                <w:b/>
                <w:color w:val="333333"/>
                <w:sz w:val="23"/>
              </w:rPr>
              <w:t>Doanh thu trung bình / khách (ARPU/tháng)</w:t>
            </w:r>
          </w:p>
        </w:tc>
        <w:tc>
          <w:tcPr>
            <w:tcW w:type="dxa" w:w="2160"/>
            <w:vAlign w:val="center"/>
            <w:tcMar>
              <w:top w:w="80" w:type="dxa"/>
              <w:bottom w:w="80" w:type="dxa"/>
              <w:left w:w="100" w:type="dxa"/>
              <w:right w:w="100" w:type="dxa"/>
            </w:tcMar>
            <w:shd w:fill="FAFAFA"/>
          </w:tcPr>
          <w:p>
            <w:pPr>
              <w:spacing w:after="0" w:line="264" w:lineRule="auto"/>
              <w:jc w:val="center"/>
            </w:pPr>
            <w:r>
              <w:rPr>
                <w:rFonts w:ascii="Times New Roman" w:hAnsi="Times New Roman"/>
                <w:color w:val="333333"/>
                <w:sz w:val="23"/>
              </w:rPr>
              <w:t>$790 / tháng</w:t>
            </w:r>
          </w:p>
        </w:tc>
        <w:tc>
          <w:tcPr>
            <w:tcW w:type="dxa" w:w="3888"/>
            <w:vAlign w:val="center"/>
            <w:tcMar>
              <w:top w:w="80" w:type="dxa"/>
              <w:bottom w:w="80" w:type="dxa"/>
              <w:left w:w="100" w:type="dxa"/>
              <w:right w:w="100" w:type="dxa"/>
            </w:tcMar>
            <w:shd w:fill="FAFAFA"/>
          </w:tcPr>
          <w:p>
            <w:pPr>
              <w:spacing w:after="0" w:line="264" w:lineRule="auto"/>
              <w:jc w:val="left"/>
            </w:pPr>
            <w:r>
              <w:rPr>
                <w:rFonts w:ascii="Times New Roman" w:hAnsi="Times New Roman"/>
                <w:color w:val="333333"/>
                <w:sz w:val="23"/>
              </w:rPr>
              <w:t>Tab 4_Channel_Fit!B5 (Quy mô 1.000 ca/tháng/cơ sở)</w:t>
            </w:r>
          </w:p>
        </w:tc>
      </w:tr>
      <w:tr>
        <w:tc>
          <w:tcPr>
            <w:tcW w:type="dxa" w:w="4032"/>
            <w:vAlign w:val="center"/>
            <w:tcMar>
              <w:top w:w="80" w:type="dxa"/>
              <w:bottom w:w="80" w:type="dxa"/>
              <w:left w:w="100" w:type="dxa"/>
              <w:right w:w="100" w:type="dxa"/>
            </w:tcMar>
            <w:shd w:fill="FFFFFF"/>
          </w:tcPr>
          <w:p>
            <w:pPr>
              <w:spacing w:after="0" w:line="264" w:lineRule="auto"/>
              <w:jc w:val="left"/>
            </w:pPr>
            <w:r>
              <w:rPr>
                <w:rFonts w:ascii="Times New Roman" w:hAnsi="Times New Roman"/>
                <w:b/>
                <w:color w:val="333333"/>
                <w:sz w:val="23"/>
              </w:rPr>
              <w:t>Ngân sách CAC tối đa cho phép</w:t>
            </w:r>
          </w:p>
        </w:tc>
        <w:tc>
          <w:tcPr>
            <w:tcW w:type="dxa" w:w="2160"/>
            <w:vAlign w:val="center"/>
            <w:tcMar>
              <w:top w:w="80" w:type="dxa"/>
              <w:bottom w:w="80" w:type="dxa"/>
              <w:left w:w="100" w:type="dxa"/>
              <w:right w:w="100" w:type="dxa"/>
            </w:tcMar>
            <w:shd w:fill="FFFFFF"/>
          </w:tcPr>
          <w:p>
            <w:pPr>
              <w:spacing w:after="0" w:line="264" w:lineRule="auto"/>
              <w:jc w:val="center"/>
            </w:pPr>
            <w:r>
              <w:rPr>
                <w:rFonts w:ascii="Times New Roman" w:hAnsi="Times New Roman"/>
                <w:color w:val="333333"/>
                <w:sz w:val="23"/>
              </w:rPr>
              <w:t>$10.132 / khách</w:t>
            </w:r>
          </w:p>
        </w:tc>
        <w:tc>
          <w:tcPr>
            <w:tcW w:type="dxa" w:w="3888"/>
            <w:vAlign w:val="center"/>
            <w:tcMar>
              <w:top w:w="80" w:type="dxa"/>
              <w:bottom w:w="80" w:type="dxa"/>
              <w:left w:w="100" w:type="dxa"/>
              <w:right w:w="100" w:type="dxa"/>
            </w:tcMar>
            <w:shd w:fill="FFFFFF"/>
          </w:tcPr>
          <w:p>
            <w:pPr>
              <w:spacing w:after="0" w:line="264" w:lineRule="auto"/>
              <w:jc w:val="left"/>
            </w:pPr>
            <w:r>
              <w:rPr>
                <w:rFonts w:ascii="Times New Roman" w:hAnsi="Times New Roman"/>
                <w:color w:val="333333"/>
                <w:sz w:val="23"/>
              </w:rPr>
              <w:t>Tab 4_Channel_Fit!B9 (Mid-market, 18 tháng payback, GM 71,25%)</w:t>
            </w:r>
          </w:p>
        </w:tc>
      </w:tr>
      <w:tr>
        <w:tc>
          <w:tcPr>
            <w:tcW w:type="dxa" w:w="4032"/>
            <w:vAlign w:val="center"/>
            <w:tcMar>
              <w:top w:w="80" w:type="dxa"/>
              <w:bottom w:w="80" w:type="dxa"/>
              <w:left w:w="100" w:type="dxa"/>
              <w:right w:w="100" w:type="dxa"/>
            </w:tcMar>
            <w:shd w:fill="FAFAFA"/>
          </w:tcPr>
          <w:p>
            <w:pPr>
              <w:spacing w:after="0" w:line="264" w:lineRule="auto"/>
              <w:jc w:val="left"/>
            </w:pPr>
            <w:r>
              <w:rPr>
                <w:rFonts w:ascii="Times New Roman" w:hAnsi="Times New Roman"/>
                <w:b/>
                <w:color w:val="333333"/>
                <w:sz w:val="23"/>
              </w:rPr>
              <w:t>Năng lực chốt deal Inside Sales</w:t>
            </w:r>
          </w:p>
        </w:tc>
        <w:tc>
          <w:tcPr>
            <w:tcW w:type="dxa" w:w="2160"/>
            <w:vAlign w:val="center"/>
            <w:tcMar>
              <w:top w:w="80" w:type="dxa"/>
              <w:bottom w:w="80" w:type="dxa"/>
              <w:left w:w="100" w:type="dxa"/>
              <w:right w:w="100" w:type="dxa"/>
            </w:tcMar>
            <w:shd w:fill="FAFAFA"/>
          </w:tcPr>
          <w:p>
            <w:pPr>
              <w:spacing w:after="0" w:line="264" w:lineRule="auto"/>
              <w:jc w:val="center"/>
            </w:pPr>
            <w:r>
              <w:rPr>
                <w:rFonts w:ascii="Times New Roman" w:hAnsi="Times New Roman"/>
                <w:color w:val="333333"/>
                <w:sz w:val="23"/>
              </w:rPr>
              <w:t>0,21 deal/ngày</w:t>
            </w:r>
          </w:p>
        </w:tc>
        <w:tc>
          <w:tcPr>
            <w:tcW w:type="dxa" w:w="3888"/>
            <w:vAlign w:val="center"/>
            <w:tcMar>
              <w:top w:w="80" w:type="dxa"/>
              <w:bottom w:w="80" w:type="dxa"/>
              <w:left w:w="100" w:type="dxa"/>
              <w:right w:w="100" w:type="dxa"/>
            </w:tcMar>
            <w:shd w:fill="FAFAFA"/>
          </w:tcPr>
          <w:p>
            <w:pPr>
              <w:spacing w:after="0" w:line="264" w:lineRule="auto"/>
              <w:jc w:val="left"/>
            </w:pPr>
            <w:r>
              <w:rPr>
                <w:rFonts w:ascii="Times New Roman" w:hAnsi="Times New Roman"/>
                <w:color w:val="333333"/>
                <w:sz w:val="23"/>
              </w:rPr>
              <w:t>Tab 4_Channel_Fit!B16 (Quota $500k/năm -&gt; 53 deal/năm)</w:t>
            </w:r>
          </w:p>
        </w:tc>
      </w:tr>
      <w:tr>
        <w:tc>
          <w:tcPr>
            <w:tcW w:type="dxa" w:w="4032"/>
            <w:vAlign w:val="center"/>
            <w:tcMar>
              <w:top w:w="80" w:type="dxa"/>
              <w:bottom w:w="80" w:type="dxa"/>
              <w:left w:w="100" w:type="dxa"/>
              <w:right w:w="100" w:type="dxa"/>
            </w:tcMar>
            <w:shd w:fill="FFFFFF"/>
          </w:tcPr>
          <w:p>
            <w:pPr>
              <w:spacing w:after="0" w:line="264" w:lineRule="auto"/>
              <w:jc w:val="left"/>
            </w:pPr>
            <w:r>
              <w:rPr>
                <w:rFonts w:ascii="Times New Roman" w:hAnsi="Times New Roman"/>
                <w:b/>
                <w:color w:val="333333"/>
                <w:sz w:val="23"/>
              </w:rPr>
              <w:t>Chi phí CAC thực tế của kênh Sales-Led</w:t>
            </w:r>
          </w:p>
        </w:tc>
        <w:tc>
          <w:tcPr>
            <w:tcW w:type="dxa" w:w="2160"/>
            <w:vAlign w:val="center"/>
            <w:tcMar>
              <w:top w:w="80" w:type="dxa"/>
              <w:bottom w:w="80" w:type="dxa"/>
              <w:left w:w="100" w:type="dxa"/>
              <w:right w:w="100" w:type="dxa"/>
            </w:tcMar>
            <w:shd w:fill="FFFFFF"/>
          </w:tcPr>
          <w:p>
            <w:pPr>
              <w:spacing w:after="0" w:line="264" w:lineRule="auto"/>
              <w:jc w:val="center"/>
            </w:pPr>
            <w:r>
              <w:rPr>
                <w:rFonts w:ascii="Times New Roman" w:hAnsi="Times New Roman"/>
                <w:color w:val="333333"/>
                <w:sz w:val="23"/>
              </w:rPr>
              <w:t>$32.000 / khách</w:t>
            </w:r>
          </w:p>
        </w:tc>
        <w:tc>
          <w:tcPr>
            <w:tcW w:type="dxa" w:w="3888"/>
            <w:vAlign w:val="center"/>
            <w:tcMar>
              <w:top w:w="80" w:type="dxa"/>
              <w:bottom w:w="80" w:type="dxa"/>
              <w:left w:w="100" w:type="dxa"/>
              <w:right w:w="100" w:type="dxa"/>
            </w:tcMar>
            <w:shd w:fill="FFFFFF"/>
          </w:tcPr>
          <w:p>
            <w:pPr>
              <w:spacing w:after="0" w:line="264" w:lineRule="auto"/>
              <w:jc w:val="left"/>
            </w:pPr>
            <w:r>
              <w:rPr>
                <w:rFonts w:ascii="Times New Roman" w:hAnsi="Times New Roman"/>
                <w:color w:val="333333"/>
                <w:sz w:val="23"/>
              </w:rPr>
              <w:t>Tab 4_Channel_Fit!B22 (Cost/Opp $8.000, Win Rate 25%)</w:t>
            </w:r>
          </w:p>
        </w:tc>
      </w:tr>
      <w:tr>
        <w:tc>
          <w:tcPr>
            <w:tcW w:type="dxa" w:w="4032"/>
            <w:vAlign w:val="center"/>
            <w:tcMar>
              <w:top w:w="80" w:type="dxa"/>
              <w:bottom w:w="80" w:type="dxa"/>
              <w:left w:w="100" w:type="dxa"/>
              <w:right w:w="100" w:type="dxa"/>
            </w:tcMar>
            <w:shd w:fill="FAFAFA"/>
          </w:tcPr>
          <w:p>
            <w:pPr>
              <w:spacing w:after="0" w:line="264" w:lineRule="auto"/>
              <w:jc w:val="left"/>
            </w:pPr>
            <w:r>
              <w:rPr>
                <w:rFonts w:ascii="Times New Roman" w:hAnsi="Times New Roman"/>
                <w:b/>
                <w:color w:val="333333"/>
                <w:sz w:val="23"/>
              </w:rPr>
              <w:t>Hệ số chênh lệch chi phí CAC</w:t>
            </w:r>
          </w:p>
        </w:tc>
        <w:tc>
          <w:tcPr>
            <w:tcW w:type="dxa" w:w="2160"/>
            <w:vAlign w:val="center"/>
            <w:tcMar>
              <w:top w:w="80" w:type="dxa"/>
              <w:bottom w:w="80" w:type="dxa"/>
              <w:left w:w="100" w:type="dxa"/>
              <w:right w:w="100" w:type="dxa"/>
            </w:tcMar>
            <w:shd w:fill="FAFAFA"/>
          </w:tcPr>
          <w:p>
            <w:pPr>
              <w:spacing w:after="0" w:line="264" w:lineRule="auto"/>
              <w:jc w:val="center"/>
            </w:pPr>
            <w:r>
              <w:rPr>
                <w:rFonts w:ascii="Times New Roman" w:hAnsi="Times New Roman"/>
                <w:color w:val="333333"/>
                <w:sz w:val="23"/>
              </w:rPr>
              <w:t>Lệch 3,16 lần</w:t>
            </w:r>
          </w:p>
        </w:tc>
        <w:tc>
          <w:tcPr>
            <w:tcW w:type="dxa" w:w="3888"/>
            <w:vAlign w:val="center"/>
            <w:tcMar>
              <w:top w:w="80" w:type="dxa"/>
              <w:bottom w:w="80" w:type="dxa"/>
              <w:left w:w="100" w:type="dxa"/>
              <w:right w:w="100" w:type="dxa"/>
            </w:tcMar>
            <w:shd w:fill="FAFAFA"/>
          </w:tcPr>
          <w:p>
            <w:pPr>
              <w:spacing w:after="0" w:line="264" w:lineRule="auto"/>
              <w:jc w:val="left"/>
            </w:pPr>
            <w:r>
              <w:rPr>
                <w:rFonts w:ascii="Times New Roman" w:hAnsi="Times New Roman"/>
                <w:color w:val="333333"/>
                <w:sz w:val="23"/>
              </w:rPr>
              <w:t>Tab 4_Channel_Fit!B23 (Sales-Led BẤT KHẢ THI về mặt kinh tế)</w:t>
            </w:r>
          </w:p>
        </w:tc>
      </w:tr>
    </w:tbl>
    <w:p>
      <w:pPr>
        <w:spacing w:after="40"/>
      </w:pPr>
    </w:p>
    <w:p>
      <w:pPr>
        <w:spacing w:before="0" w:after="80" w:line="276" w:lineRule="auto"/>
      </w:pPr>
      <w:r>
        <w:rPr>
          <w:rFonts w:ascii="Times New Roman" w:hAnsi="Times New Roman"/>
          <w:b/>
          <w:color w:val="333333"/>
          <w:sz w:val="26"/>
        </w:rPr>
        <w:t xml:space="preserve">Cơ sở quyết định: </w:t>
      </w:r>
      <w:r>
        <w:rPr>
          <w:rFonts w:ascii="Times New Roman" w:hAnsi="Times New Roman"/>
          <w:color w:val="333333"/>
          <w:sz w:val="26"/>
        </w:rPr>
        <w:t>Kết luận chọn kênh: Chi phí CAC thực tế của mô hình Sales-Led ($32.000) vượt quá 3,16 lần ngân sách tối đa cho phép ($10.132), khiến việc xây dựng đội ngũ bán hàng trực tiếp là bất khả thi. Lựa chọn Partner-Led là con đường duy nhất khả thi, cho phép tận dụng tệp bệnh nhân sẵn có của Vinmec với chi phí chuyển đổi thực tế chỉ ~$3.200/cơ sở (thời gian thu hồi vốn CAC &lt; 5 tháng).</w:t>
      </w:r>
    </w:p>
    <w:p>
      <w:pPr>
        <w:spacing w:before="160" w:after="40"/>
      </w:pPr>
      <w:r>
        <w:rPr>
          <w:rFonts w:ascii="Times New Roman" w:hAnsi="Times New Roman"/>
          <w:b/>
          <w:color w:val="333333"/>
          <w:sz w:val="26"/>
        </w:rPr>
        <w:t>2.2. Khoảnh khắc phát sinh nhu cầu cấp bách (Pain Moment)</w:t>
      </w:r>
    </w:p>
    <w:p>
      <w:pPr>
        <w:pStyle w:val="ListBullet"/>
        <w:spacing w:before="0" w:after="60" w:line="276" w:lineRule="auto"/>
      </w:pPr>
      <w:r>
        <w:rPr>
          <w:rFonts w:ascii="Times New Roman" w:hAnsi="Times New Roman"/>
          <w:b/>
          <w:color w:val="333333"/>
          <w:sz w:val="26"/>
        </w:rPr>
        <w:t xml:space="preserve">Khung thời gian phát sinh: </w:t>
      </w:r>
      <w:r>
        <w:rPr>
          <w:rFonts w:ascii="Times New Roman" w:hAnsi="Times New Roman"/>
          <w:color w:val="333333"/>
          <w:sz w:val="26"/>
        </w:rPr>
        <w:t xml:space="preserve"> Khung giờ 21:30 – 23:30 hàng ngày. Đây là thời điểm toàn bộ phòng khám ngoại trú đã ngừng hoạt động, chỉ còn khoa Cấp cứu mở cửa.</w:t>
      </w:r>
    </w:p>
    <w:p>
      <w:pPr>
        <w:pStyle w:val="ListBullet"/>
        <w:spacing w:before="0" w:after="60" w:line="276" w:lineRule="auto"/>
      </w:pPr>
      <w:r>
        <w:rPr>
          <w:rFonts w:ascii="Times New Roman" w:hAnsi="Times New Roman"/>
          <w:b/>
          <w:color w:val="333333"/>
          <w:sz w:val="26"/>
        </w:rPr>
        <w:t xml:space="preserve">Hành vi &amp; Trạng thái tâm lý: </w:t>
      </w:r>
      <w:r>
        <w:rPr>
          <w:rFonts w:ascii="Times New Roman" w:hAnsi="Times New Roman"/>
          <w:color w:val="333333"/>
          <w:sz w:val="26"/>
        </w:rPr>
        <w:t xml:space="preserve"> Người bệnh hoặc phụ huynh lo lắng khi xuất hiện triệu chứng cấp tính ban đêm (sốt cao, đau bụng quằn quại, khó thở); phân vân giữa việc đưa người thân đi viện cấp cứu ngay hay tiếp tục theo dõi tại nhà để khám chuyên khoa vào sáng hôm sau.</w:t>
      </w:r>
    </w:p>
    <w:p>
      <w:pPr>
        <w:pStyle w:val="ListBullet"/>
        <w:spacing w:before="0" w:after="60" w:line="276" w:lineRule="auto"/>
      </w:pPr>
      <w:r>
        <w:rPr>
          <w:rFonts w:ascii="Times New Roman" w:hAnsi="Times New Roman"/>
          <w:b/>
          <w:color w:val="333333"/>
          <w:sz w:val="26"/>
        </w:rPr>
        <w:t xml:space="preserve">Kênh tiếp cận người dùng: </w:t>
      </w:r>
      <w:r>
        <w:rPr>
          <w:rFonts w:ascii="Times New Roman" w:hAnsi="Times New Roman"/>
          <w:color w:val="333333"/>
          <w:sz w:val="26"/>
        </w:rPr>
        <w:t xml:space="preserve"> Người dùng chủ động mở kênh Zalo Official Account của Vinmec hoặc mở ứng dụng di động MyVinmec để tìm kiếm hướng dẫn y tế khẩn cấp.</w:t>
      </w:r>
    </w:p>
    <w:p>
      <w:pPr>
        <w:spacing w:before="160" w:after="40"/>
      </w:pPr>
      <w:r>
        <w:rPr>
          <w:rFonts w:ascii="Times New Roman" w:hAnsi="Times New Roman"/>
          <w:b/>
          <w:color w:val="333333"/>
          <w:sz w:val="26"/>
        </w:rPr>
        <w:t>2.3. Điểm nhúng giải pháp (Point of Integration)</w:t>
      </w:r>
    </w:p>
    <w:p>
      <w:pPr>
        <w:pStyle w:val="ListBullet"/>
        <w:spacing w:before="0" w:after="60" w:line="276" w:lineRule="auto"/>
      </w:pPr>
      <w:r>
        <w:rPr>
          <w:rFonts w:ascii="Times New Roman" w:hAnsi="Times New Roman"/>
          <w:b/>
          <w:color w:val="333333"/>
          <w:sz w:val="26"/>
        </w:rPr>
        <w:t xml:space="preserve">Bề mặt tích hợp cụ thể: </w:t>
      </w:r>
      <w:r>
        <w:rPr>
          <w:rFonts w:ascii="Times New Roman" w:hAnsi="Times New Roman"/>
          <w:color w:val="333333"/>
          <w:sz w:val="26"/>
        </w:rPr>
        <w:t xml:space="preserve"> Trợ lý AI được tích hợp trực tiếp thành tính năng 'Sơ loại triệu chứng 24/7' hiển thị nổi bật trên thanh menu điều hướng của Zalo OA Vinmec và màn hình tiếp đón của ứng dụng MyVinmec. Người bệnh tương tác trực tiếp ngay trên bề mặt ứng dụng quen thuộc mà không cần cài đặt thêm phần mềm mới.</w:t>
      </w:r>
    </w:p>
    <w:p>
      <w:pPr>
        <w:spacing w:before="160" w:after="40"/>
      </w:pPr>
      <w:r>
        <w:rPr>
          <w:rFonts w:ascii="Times New Roman" w:hAnsi="Times New Roman"/>
          <w:b/>
          <w:color w:val="333333"/>
          <w:sz w:val="26"/>
        </w:rPr>
        <w:t>Bảng 2: Kế hoạch hành động 90 ngày (90-Day Execution Plan)</w:t>
      </w:r>
    </w:p>
    <w:tbl>
      <w:tblPr>
        <w:tblW w:type="auto" w:w="0"/>
        <w:jc w:val="center"/>
        <w:tblLook w:firstColumn="1" w:firstRow="1" w:lastColumn="0" w:lastRow="0" w:noHBand="0" w:noVBand="1" w:val="04A0"/>
        <w:tblBorders>
          <w:top w:val="single" w:sz="6" w:space="0" w:color="D3D3D3"/>
          <w:left w:val="none"/>
          <w:bottom w:val="single" w:sz="6" w:space="0" w:color="D3D3D3"/>
          <w:right w:val="none"/>
          <w:insideH w:val="single" w:sz="4" w:space="0" w:color="D3D3D3"/>
          <w:insideV w:val="none"/>
        </w:tblBorders>
      </w:tblPr>
      <w:tblGrid>
        <w:gridCol w:w="2520"/>
        <w:gridCol w:w="2520"/>
        <w:gridCol w:w="2520"/>
        <w:gridCol w:w="2520"/>
      </w:tblGrid>
      <w:tr>
        <w:tc>
          <w:tcPr>
            <w:tcW w:type="dxa" w:w="2160"/>
            <w:vAlign w:val="center"/>
            <w:tcMar>
              <w:top w:w="70" w:type="dxa"/>
              <w:bottom w:w="70" w:type="dxa"/>
              <w:left w:w="90" w:type="dxa"/>
              <w:right w:w="90" w:type="dxa"/>
            </w:tcMar>
            <w:shd w:fill="1F4E79"/>
          </w:tcPr>
          <w:p>
            <w:pPr>
              <w:spacing w:after="0" w:line="264" w:lineRule="auto"/>
              <w:jc w:val="center"/>
            </w:pPr>
            <w:r>
              <w:rPr>
                <w:rFonts w:ascii="Times New Roman" w:hAnsi="Times New Roman"/>
                <w:b/>
                <w:color w:val="FFFFFF"/>
                <w:sz w:val="23"/>
              </w:rPr>
              <w:t>Hạng mục</w:t>
            </w:r>
          </w:p>
        </w:tc>
        <w:tc>
          <w:tcPr>
            <w:tcW w:type="dxa" w:w="2592"/>
            <w:vAlign w:val="center"/>
            <w:tcMar>
              <w:top w:w="70" w:type="dxa"/>
              <w:bottom w:w="70" w:type="dxa"/>
              <w:left w:w="90" w:type="dxa"/>
              <w:right w:w="90" w:type="dxa"/>
            </w:tcMar>
            <w:shd w:fill="1F4E79"/>
          </w:tcPr>
          <w:p>
            <w:pPr>
              <w:spacing w:after="0" w:line="264" w:lineRule="auto"/>
              <w:jc w:val="center"/>
            </w:pPr>
            <w:r>
              <w:rPr>
                <w:rFonts w:ascii="Times New Roman" w:hAnsi="Times New Roman"/>
                <w:b/>
                <w:color w:val="FFFFFF"/>
                <w:sz w:val="23"/>
              </w:rPr>
              <w:t>Tháng 1 — Học &amp; Thử nghiệm</w:t>
            </w:r>
          </w:p>
        </w:tc>
        <w:tc>
          <w:tcPr>
            <w:tcW w:type="dxa" w:w="2736"/>
            <w:vAlign w:val="center"/>
            <w:tcMar>
              <w:top w:w="70" w:type="dxa"/>
              <w:bottom w:w="70" w:type="dxa"/>
              <w:left w:w="90" w:type="dxa"/>
              <w:right w:w="90" w:type="dxa"/>
            </w:tcMar>
            <w:shd w:fill="1F4E79"/>
          </w:tcPr>
          <w:p>
            <w:pPr>
              <w:spacing w:after="0" w:line="264" w:lineRule="auto"/>
              <w:jc w:val="center"/>
            </w:pPr>
            <w:r>
              <w:rPr>
                <w:rFonts w:ascii="Times New Roman" w:hAnsi="Times New Roman"/>
                <w:b/>
                <w:color w:val="FFFFFF"/>
                <w:sz w:val="23"/>
              </w:rPr>
              <w:t>Tháng 2–3 — Tối ưu đòn bẩy</w:t>
            </w:r>
          </w:p>
        </w:tc>
        <w:tc>
          <w:tcPr>
            <w:tcW w:type="dxa" w:w="2592"/>
            <w:vAlign w:val="center"/>
            <w:tcMar>
              <w:top w:w="70" w:type="dxa"/>
              <w:bottom w:w="70" w:type="dxa"/>
              <w:left w:w="90" w:type="dxa"/>
              <w:right w:w="90" w:type="dxa"/>
            </w:tcMar>
            <w:shd w:fill="1F4E79"/>
          </w:tcPr>
          <w:p>
            <w:pPr>
              <w:spacing w:after="0" w:line="264" w:lineRule="auto"/>
              <w:jc w:val="center"/>
            </w:pPr>
            <w:r>
              <w:rPr>
                <w:rFonts w:ascii="Times New Roman" w:hAnsi="Times New Roman"/>
                <w:b/>
                <w:color w:val="FFFFFF"/>
                <w:sz w:val="23"/>
              </w:rPr>
              <w:t>Tháng 4+ — Mở rộng quy mô</w:t>
            </w:r>
          </w:p>
        </w:tc>
      </w:tr>
      <w:tr>
        <w:tc>
          <w:tcPr>
            <w:tcW w:type="dxa" w:w="2160"/>
            <w:vAlign w:val="center"/>
            <w:tcMar>
              <w:top w:w="70" w:type="dxa"/>
              <w:bottom w:w="70" w:type="dxa"/>
              <w:left w:w="90" w:type="dxa"/>
              <w:right w:w="90" w:type="dxa"/>
            </w:tcMar>
            <w:shd w:fill="FAFAFA"/>
          </w:tcPr>
          <w:p>
            <w:pPr>
              <w:spacing w:after="0" w:line="264" w:lineRule="auto"/>
              <w:jc w:val="center"/>
            </w:pPr>
            <w:r>
              <w:rPr>
                <w:rFonts w:ascii="Times New Roman" w:hAnsi="Times New Roman"/>
                <w:b/>
                <w:color w:val="333333"/>
                <w:sz w:val="22"/>
              </w:rPr>
              <w:t>Kênh tiếp cận</w:t>
            </w:r>
          </w:p>
        </w:tc>
        <w:tc>
          <w:tcPr>
            <w:tcW w:type="dxa" w:w="2592"/>
            <w:vAlign w:val="center"/>
            <w:tcMar>
              <w:top w:w="70" w:type="dxa"/>
              <w:bottom w:w="70" w:type="dxa"/>
              <w:left w:w="90" w:type="dxa"/>
              <w:right w:w="90" w:type="dxa"/>
            </w:tcMar>
            <w:shd w:fill="FAFAFA"/>
          </w:tcPr>
          <w:p>
            <w:pPr>
              <w:spacing w:after="0" w:line="264" w:lineRule="auto"/>
              <w:jc w:val="left"/>
            </w:pPr>
            <w:r>
              <w:rPr>
                <w:rFonts w:ascii="Times New Roman" w:hAnsi="Times New Roman"/>
                <w:color w:val="333333"/>
                <w:sz w:val="22"/>
              </w:rPr>
              <w:t>Partner-Led (Pilot BV Vinmec Times City)</w:t>
            </w:r>
          </w:p>
        </w:tc>
        <w:tc>
          <w:tcPr>
            <w:tcW w:type="dxa" w:w="2736"/>
            <w:vAlign w:val="center"/>
            <w:tcMar>
              <w:top w:w="70" w:type="dxa"/>
              <w:bottom w:w="70" w:type="dxa"/>
              <w:left w:w="90" w:type="dxa"/>
              <w:right w:w="90" w:type="dxa"/>
            </w:tcMar>
            <w:shd w:fill="FAFAFA"/>
          </w:tcPr>
          <w:p>
            <w:pPr>
              <w:spacing w:after="0" w:line="264" w:lineRule="auto"/>
              <w:jc w:val="left"/>
            </w:pPr>
            <w:r>
              <w:rPr>
                <w:rFonts w:ascii="Times New Roman" w:hAnsi="Times New Roman"/>
                <w:color w:val="333333"/>
                <w:sz w:val="22"/>
              </w:rPr>
              <w:t>Partner-Led (Mở rộng 7 BV &amp; 3 PK Vinmec)</w:t>
            </w:r>
          </w:p>
        </w:tc>
        <w:tc>
          <w:tcPr>
            <w:tcW w:type="dxa" w:w="2592"/>
            <w:vAlign w:val="center"/>
            <w:tcMar>
              <w:top w:w="70" w:type="dxa"/>
              <w:bottom w:w="70" w:type="dxa"/>
              <w:left w:w="90" w:type="dxa"/>
              <w:right w:w="90" w:type="dxa"/>
            </w:tcMar>
            <w:shd w:fill="FAFAFA"/>
          </w:tcPr>
          <w:p>
            <w:pPr>
              <w:spacing w:after="0" w:line="264" w:lineRule="auto"/>
              <w:jc w:val="left"/>
            </w:pPr>
            <w:r>
              <w:rPr>
                <w:rFonts w:ascii="Times New Roman" w:hAnsi="Times New Roman"/>
                <w:color w:val="333333"/>
                <w:sz w:val="22"/>
              </w:rPr>
              <w:t>Partner-Led &amp; Inbound (Mở rộng chuỗi y tế)</w:t>
            </w:r>
          </w:p>
        </w:tc>
      </w:tr>
      <w:tr>
        <w:tc>
          <w:tcPr>
            <w:tcW w:type="dxa" w:w="2160"/>
            <w:vAlign w:val="center"/>
            <w:tcMar>
              <w:top w:w="70" w:type="dxa"/>
              <w:bottom w:w="70" w:type="dxa"/>
              <w:left w:w="90" w:type="dxa"/>
              <w:right w:w="90" w:type="dxa"/>
            </w:tcMar>
            <w:shd w:fill="FFFFFF"/>
          </w:tcPr>
          <w:p>
            <w:pPr>
              <w:spacing w:after="0" w:line="264" w:lineRule="auto"/>
              <w:jc w:val="center"/>
            </w:pPr>
            <w:r>
              <w:rPr>
                <w:rFonts w:ascii="Times New Roman" w:hAnsi="Times New Roman"/>
                <w:b/>
                <w:color w:val="333333"/>
                <w:sz w:val="22"/>
              </w:rPr>
              <w:t>Mục tiêu quy mô</w:t>
            </w:r>
          </w:p>
        </w:tc>
        <w:tc>
          <w:tcPr>
            <w:tcW w:type="dxa" w:w="2592"/>
            <w:vAlign w:val="center"/>
            <w:tcMar>
              <w:top w:w="70" w:type="dxa"/>
              <w:bottom w:w="70" w:type="dxa"/>
              <w:left w:w="90" w:type="dxa"/>
              <w:right w:w="90" w:type="dxa"/>
            </w:tcMar>
            <w:shd w:fill="FFFFFF"/>
          </w:tcPr>
          <w:p>
            <w:pPr>
              <w:spacing w:after="0" w:line="264" w:lineRule="auto"/>
              <w:jc w:val="left"/>
            </w:pPr>
            <w:r>
              <w:rPr>
                <w:rFonts w:ascii="Times New Roman" w:hAnsi="Times New Roman"/>
                <w:color w:val="333333"/>
                <w:sz w:val="22"/>
              </w:rPr>
              <w:t>1 cơ sở (1.500 ca/tháng)</w:t>
            </w:r>
          </w:p>
        </w:tc>
        <w:tc>
          <w:tcPr>
            <w:tcW w:type="dxa" w:w="2736"/>
            <w:vAlign w:val="center"/>
            <w:tcMar>
              <w:top w:w="70" w:type="dxa"/>
              <w:bottom w:w="70" w:type="dxa"/>
              <w:left w:w="90" w:type="dxa"/>
              <w:right w:w="90" w:type="dxa"/>
            </w:tcMar>
            <w:shd w:fill="FFFFFF"/>
          </w:tcPr>
          <w:p>
            <w:pPr>
              <w:spacing w:after="0" w:line="264" w:lineRule="auto"/>
              <w:jc w:val="left"/>
            </w:pPr>
            <w:r>
              <w:rPr>
                <w:rFonts w:ascii="Times New Roman" w:hAnsi="Times New Roman"/>
                <w:color w:val="333333"/>
                <w:sz w:val="22"/>
              </w:rPr>
              <w:t>10 cơ sở (12.000 ca/tháng)</w:t>
            </w:r>
          </w:p>
        </w:tc>
        <w:tc>
          <w:tcPr>
            <w:tcW w:type="dxa" w:w="2592"/>
            <w:vAlign w:val="center"/>
            <w:tcMar>
              <w:top w:w="70" w:type="dxa"/>
              <w:bottom w:w="70" w:type="dxa"/>
              <w:left w:w="90" w:type="dxa"/>
              <w:right w:w="90" w:type="dxa"/>
            </w:tcMar>
            <w:shd w:fill="FFFFFF"/>
          </w:tcPr>
          <w:p>
            <w:pPr>
              <w:spacing w:after="0" w:line="264" w:lineRule="auto"/>
              <w:jc w:val="left"/>
            </w:pPr>
            <w:r>
              <w:rPr>
                <w:rFonts w:ascii="Times New Roman" w:hAnsi="Times New Roman"/>
                <w:color w:val="333333"/>
                <w:sz w:val="22"/>
              </w:rPr>
              <w:t>3 hệ thống mới (40.000 ca/tháng)</w:t>
            </w:r>
          </w:p>
        </w:tc>
      </w:tr>
      <w:tr>
        <w:tc>
          <w:tcPr>
            <w:tcW w:type="dxa" w:w="2160"/>
            <w:vAlign w:val="center"/>
            <w:tcMar>
              <w:top w:w="70" w:type="dxa"/>
              <w:bottom w:w="70" w:type="dxa"/>
              <w:left w:w="90" w:type="dxa"/>
              <w:right w:w="90" w:type="dxa"/>
            </w:tcMar>
            <w:shd w:fill="FAFAFA"/>
          </w:tcPr>
          <w:p>
            <w:pPr>
              <w:spacing w:after="0" w:line="264" w:lineRule="auto"/>
              <w:jc w:val="center"/>
            </w:pPr>
            <w:r>
              <w:rPr>
                <w:rFonts w:ascii="Times New Roman" w:hAnsi="Times New Roman"/>
                <w:b/>
                <w:color w:val="333333"/>
                <w:sz w:val="22"/>
              </w:rPr>
              <w:t>Nhiệm vụ trọng tâm</w:t>
            </w:r>
          </w:p>
        </w:tc>
        <w:tc>
          <w:tcPr>
            <w:tcW w:type="dxa" w:w="2592"/>
            <w:vAlign w:val="center"/>
            <w:tcMar>
              <w:top w:w="70" w:type="dxa"/>
              <w:bottom w:w="70" w:type="dxa"/>
              <w:left w:w="90" w:type="dxa"/>
              <w:right w:w="90" w:type="dxa"/>
            </w:tcMar>
            <w:shd w:fill="FAFAFA"/>
          </w:tcPr>
          <w:p>
            <w:pPr>
              <w:spacing w:after="0" w:line="264" w:lineRule="auto"/>
              <w:jc w:val="left"/>
            </w:pPr>
            <w:r>
              <w:rPr>
                <w:rFonts w:ascii="Times New Roman" w:hAnsi="Times New Roman"/>
                <w:color w:val="333333"/>
                <w:sz w:val="22"/>
              </w:rPr>
              <w:t>1. Tích hợp API sơ loại vào Zalo OA Vinmec</w:t>
              <w:br/>
              <w:t>2. Hội đồng Y khoa chuẩn hóa 30 kịch bản cờ đỏ</w:t>
              <w:br/>
              <w:t>3. Thiết lập luồng chuyển tiếp tự động sang điều dưỡng</w:t>
            </w:r>
          </w:p>
        </w:tc>
        <w:tc>
          <w:tcPr>
            <w:tcW w:type="dxa" w:w="2736"/>
            <w:vAlign w:val="center"/>
            <w:tcMar>
              <w:top w:w="70" w:type="dxa"/>
              <w:bottom w:w="70" w:type="dxa"/>
              <w:left w:w="90" w:type="dxa"/>
              <w:right w:w="90" w:type="dxa"/>
            </w:tcMar>
            <w:shd w:fill="FAFAFA"/>
          </w:tcPr>
          <w:p>
            <w:pPr>
              <w:spacing w:after="0" w:line="264" w:lineRule="auto"/>
              <w:jc w:val="left"/>
            </w:pPr>
            <w:r>
              <w:rPr>
                <w:rFonts w:ascii="Times New Roman" w:hAnsi="Times New Roman"/>
                <w:color w:val="333333"/>
                <w:sz w:val="22"/>
              </w:rPr>
              <w:t>1. Tích hợp sâu HIS/EHR đồng bộ lịch khám</w:t>
              <w:br/>
              <w:t>2. Tối ưu Prompt Caching nâng containment lên 78–80%</w:t>
              <w:br/>
              <w:t>3. Triển khai dashboard theo dõi Attribution &amp; Margin</w:t>
            </w:r>
          </w:p>
        </w:tc>
        <w:tc>
          <w:tcPr>
            <w:tcW w:type="dxa" w:w="2592"/>
            <w:vAlign w:val="center"/>
            <w:tcMar>
              <w:top w:w="70" w:type="dxa"/>
              <w:bottom w:w="70" w:type="dxa"/>
              <w:left w:w="90" w:type="dxa"/>
              <w:right w:w="90" w:type="dxa"/>
            </w:tcMar>
            <w:shd w:fill="FAFAFA"/>
          </w:tcPr>
          <w:p>
            <w:pPr>
              <w:spacing w:after="0" w:line="264" w:lineRule="auto"/>
              <w:jc w:val="left"/>
            </w:pPr>
            <w:r>
              <w:rPr>
                <w:rFonts w:ascii="Times New Roman" w:hAnsi="Times New Roman"/>
                <w:color w:val="333333"/>
                <w:sz w:val="22"/>
              </w:rPr>
              <w:t>1. Đóng gói SDK tích hợp cho các hệ thống đối tác</w:t>
              <w:br/>
              <w:t>2. Bổ sung tính năng theo dõi triệu chứng sau khám</w:t>
              <w:br/>
              <w:t>3. Hoàn thiện hồ sơ tuân thủ Nghị định 13 &amp; ISO 27001</w:t>
            </w:r>
          </w:p>
        </w:tc>
      </w:tr>
      <w:tr>
        <w:tc>
          <w:tcPr>
            <w:tcW w:type="dxa" w:w="2160"/>
            <w:vAlign w:val="center"/>
            <w:tcMar>
              <w:top w:w="70" w:type="dxa"/>
              <w:bottom w:w="70" w:type="dxa"/>
              <w:left w:w="90" w:type="dxa"/>
              <w:right w:w="90" w:type="dxa"/>
            </w:tcMar>
            <w:shd w:fill="FFFFFF"/>
          </w:tcPr>
          <w:p>
            <w:pPr>
              <w:spacing w:after="0" w:line="264" w:lineRule="auto"/>
              <w:jc w:val="center"/>
            </w:pPr>
            <w:r>
              <w:rPr>
                <w:rFonts w:ascii="Times New Roman" w:hAnsi="Times New Roman"/>
                <w:b/>
                <w:color w:val="333333"/>
                <w:sz w:val="22"/>
              </w:rPr>
              <w:t>KPI đo lường</w:t>
            </w:r>
          </w:p>
        </w:tc>
        <w:tc>
          <w:tcPr>
            <w:tcW w:type="dxa" w:w="2592"/>
            <w:vAlign w:val="center"/>
            <w:tcMar>
              <w:top w:w="70" w:type="dxa"/>
              <w:bottom w:w="70" w:type="dxa"/>
              <w:left w:w="90" w:type="dxa"/>
              <w:right w:w="90" w:type="dxa"/>
            </w:tcMar>
            <w:shd w:fill="FFFFFF"/>
          </w:tcPr>
          <w:p>
            <w:pPr>
              <w:spacing w:after="0" w:line="264" w:lineRule="auto"/>
              <w:jc w:val="left"/>
            </w:pPr>
            <w:r>
              <w:rPr>
                <w:rFonts w:ascii="Times New Roman" w:hAnsi="Times New Roman"/>
                <w:color w:val="333333"/>
                <w:sz w:val="22"/>
              </w:rPr>
              <w:t>Containment 75%, CSAT ≥ 4,5/5, 0 sự cố chẩn đoán sai cờ đỏ</w:t>
            </w:r>
          </w:p>
        </w:tc>
        <w:tc>
          <w:tcPr>
            <w:tcW w:type="dxa" w:w="2736"/>
            <w:vAlign w:val="center"/>
            <w:tcMar>
              <w:top w:w="70" w:type="dxa"/>
              <w:bottom w:w="70" w:type="dxa"/>
              <w:left w:w="90" w:type="dxa"/>
              <w:right w:w="90" w:type="dxa"/>
            </w:tcMar>
            <w:shd w:fill="FFFFFF"/>
          </w:tcPr>
          <w:p>
            <w:pPr>
              <w:spacing w:after="0" w:line="264" w:lineRule="auto"/>
              <w:jc w:val="left"/>
            </w:pPr>
            <w:r>
              <w:rPr>
                <w:rFonts w:ascii="Times New Roman" w:hAnsi="Times New Roman"/>
                <w:color w:val="333333"/>
                <w:sz w:val="22"/>
              </w:rPr>
              <w:t>Containment ≥ 78%, Gross Margin ≥ 71%, giảm 80% chờ</w:t>
            </w:r>
          </w:p>
        </w:tc>
        <w:tc>
          <w:tcPr>
            <w:tcW w:type="dxa" w:w="2592"/>
            <w:vAlign w:val="center"/>
            <w:tcMar>
              <w:top w:w="70" w:type="dxa"/>
              <w:bottom w:w="70" w:type="dxa"/>
              <w:left w:w="90" w:type="dxa"/>
              <w:right w:w="90" w:type="dxa"/>
            </w:tcMar>
            <w:shd w:fill="FFFFFF"/>
          </w:tcPr>
          <w:p>
            <w:pPr>
              <w:spacing w:after="0" w:line="264" w:lineRule="auto"/>
              <w:jc w:val="left"/>
            </w:pPr>
            <w:r>
              <w:rPr>
                <w:rFonts w:ascii="Times New Roman" w:hAnsi="Times New Roman"/>
                <w:color w:val="333333"/>
                <w:sz w:val="22"/>
              </w:rPr>
              <w:t>ARR đạt $380.000, CAC Payback &lt; 8 tháng, NRR &gt; 120%</w:t>
            </w:r>
          </w:p>
        </w:tc>
      </w:tr>
      <w:tr>
        <w:tc>
          <w:tcPr>
            <w:tcW w:type="dxa" w:w="2160"/>
            <w:vAlign w:val="center"/>
            <w:tcMar>
              <w:top w:w="70" w:type="dxa"/>
              <w:bottom w:w="70" w:type="dxa"/>
              <w:left w:w="90" w:type="dxa"/>
              <w:right w:w="90" w:type="dxa"/>
            </w:tcMar>
            <w:shd w:fill="FAFAFA"/>
          </w:tcPr>
          <w:p>
            <w:pPr>
              <w:spacing w:after="0" w:line="264" w:lineRule="auto"/>
              <w:jc w:val="center"/>
            </w:pPr>
            <w:r>
              <w:rPr>
                <w:rFonts w:ascii="Times New Roman" w:hAnsi="Times New Roman"/>
                <w:b/>
                <w:color w:val="333333"/>
                <w:sz w:val="22"/>
              </w:rPr>
              <w:t>Nhân sự phụ trách</w:t>
            </w:r>
          </w:p>
        </w:tc>
        <w:tc>
          <w:tcPr>
            <w:tcW w:type="dxa" w:w="2592"/>
            <w:vAlign w:val="center"/>
            <w:tcMar>
              <w:top w:w="70" w:type="dxa"/>
              <w:bottom w:w="70" w:type="dxa"/>
              <w:left w:w="90" w:type="dxa"/>
              <w:right w:w="90" w:type="dxa"/>
            </w:tcMar>
            <w:shd w:fill="FAFAFA"/>
          </w:tcPr>
          <w:p>
            <w:pPr>
              <w:spacing w:after="0" w:line="264" w:lineRule="auto"/>
              <w:jc w:val="left"/>
            </w:pPr>
            <w:r>
              <w:rPr>
                <w:rFonts w:ascii="Times New Roman" w:hAnsi="Times New Roman"/>
                <w:color w:val="333333"/>
                <w:sz w:val="22"/>
              </w:rPr>
              <w:t>Ninh Quang Minh (Product Lead) &amp; Bác sĩ Cấp cứu</w:t>
            </w:r>
          </w:p>
        </w:tc>
        <w:tc>
          <w:tcPr>
            <w:tcW w:type="dxa" w:w="2736"/>
            <w:vAlign w:val="center"/>
            <w:tcMar>
              <w:top w:w="70" w:type="dxa"/>
              <w:bottom w:w="70" w:type="dxa"/>
              <w:left w:w="90" w:type="dxa"/>
              <w:right w:w="90" w:type="dxa"/>
            </w:tcMar>
            <w:shd w:fill="FAFAFA"/>
          </w:tcPr>
          <w:p>
            <w:pPr>
              <w:spacing w:after="0" w:line="264" w:lineRule="auto"/>
              <w:jc w:val="left"/>
            </w:pPr>
            <w:r>
              <w:rPr>
                <w:rFonts w:ascii="Times New Roman" w:hAnsi="Times New Roman"/>
                <w:color w:val="333333"/>
                <w:sz w:val="22"/>
              </w:rPr>
              <w:t>Ninh Quang Minh &amp; Đội ngũ Kỹ thuật HIS Vinmec</w:t>
            </w:r>
          </w:p>
        </w:tc>
        <w:tc>
          <w:tcPr>
            <w:tcW w:type="dxa" w:w="2592"/>
            <w:vAlign w:val="center"/>
            <w:tcMar>
              <w:top w:w="70" w:type="dxa"/>
              <w:bottom w:w="70" w:type="dxa"/>
              <w:left w:w="90" w:type="dxa"/>
              <w:right w:w="90" w:type="dxa"/>
            </w:tcMar>
            <w:shd w:fill="FAFAFA"/>
          </w:tcPr>
          <w:p>
            <w:pPr>
              <w:spacing w:after="0" w:line="264" w:lineRule="auto"/>
              <w:jc w:val="left"/>
            </w:pPr>
            <w:r>
              <w:rPr>
                <w:rFonts w:ascii="Times New Roman" w:hAnsi="Times New Roman"/>
                <w:color w:val="333333"/>
                <w:sz w:val="22"/>
              </w:rPr>
              <w:t>Đội ngũ Phát triển kinh doanh &amp; Ninh Quang Minh</w:t>
            </w:r>
          </w:p>
        </w:tc>
      </w:tr>
    </w:tbl>
    <w:p>
      <w:pPr>
        <w:spacing w:after="40"/>
      </w:pPr>
    </w:p>
    <w:p>
      <w:pPr>
        <w:spacing w:before="280" w:after="80"/>
      </w:pPr>
      <w:r>
        <w:rPr>
          <w:rFonts w:ascii="Times New Roman" w:hAnsi="Times New Roman"/>
          <w:b/>
          <w:color w:val="1F4E79"/>
          <w:sz w:val="28"/>
        </w:rPr>
        <w:t>3. BỘ CHỨNG CỨ THƯƠNG MẠI &amp; KIỂM ĐỊNH (EVIDENCE PACK &amp; VALIDATION)</w:t>
      </w:r>
    </w:p>
    <w:p>
      <w:pPr>
        <w:spacing w:before="160" w:after="40"/>
      </w:pPr>
      <w:r>
        <w:rPr>
          <w:rFonts w:ascii="Times New Roman" w:hAnsi="Times New Roman"/>
          <w:b/>
          <w:color w:val="333333"/>
          <w:sz w:val="26"/>
        </w:rPr>
        <w:t>Bảng 3: Bộ tài sản chứng minh năng lực thương mại (Sales Evidence Assets)</w:t>
      </w:r>
    </w:p>
    <w:tbl>
      <w:tblPr>
        <w:tblW w:type="auto" w:w="0"/>
        <w:jc w:val="center"/>
        <w:tblLook w:firstColumn="1" w:firstRow="1" w:lastColumn="0" w:lastRow="0" w:noHBand="0" w:noVBand="1" w:val="04A0"/>
        <w:tblBorders>
          <w:top w:val="single" w:sz="6" w:space="0" w:color="D3D3D3"/>
          <w:left w:val="none"/>
          <w:bottom w:val="single" w:sz="6" w:space="0" w:color="D3D3D3"/>
          <w:right w:val="none"/>
          <w:insideH w:val="single" w:sz="4" w:space="0" w:color="D3D3D3"/>
          <w:insideV w:val="none"/>
        </w:tblBorders>
      </w:tblPr>
      <w:tblGrid>
        <w:gridCol w:w="2520"/>
        <w:gridCol w:w="2520"/>
        <w:gridCol w:w="2520"/>
        <w:gridCol w:w="2520"/>
      </w:tblGrid>
      <w:tr>
        <w:tc>
          <w:tcPr>
            <w:tcW w:type="dxa" w:w="2304"/>
            <w:vAlign w:val="center"/>
            <w:tcMar>
              <w:top w:w="70" w:type="dxa"/>
              <w:bottom w:w="70" w:type="dxa"/>
              <w:left w:w="90" w:type="dxa"/>
              <w:right w:w="90" w:type="dxa"/>
            </w:tcMar>
            <w:shd w:fill="1F4E79"/>
          </w:tcPr>
          <w:p>
            <w:pPr>
              <w:spacing w:after="0" w:line="264" w:lineRule="auto"/>
              <w:jc w:val="center"/>
            </w:pPr>
            <w:r>
              <w:rPr>
                <w:rFonts w:ascii="Times New Roman" w:hAnsi="Times New Roman"/>
                <w:b/>
                <w:color w:val="FFFFFF"/>
                <w:sz w:val="23"/>
              </w:rPr>
              <w:t>Tài sản chứng minh</w:t>
            </w:r>
          </w:p>
        </w:tc>
        <w:tc>
          <w:tcPr>
            <w:tcW w:type="dxa" w:w="1872"/>
            <w:vAlign w:val="center"/>
            <w:tcMar>
              <w:top w:w="70" w:type="dxa"/>
              <w:bottom w:w="70" w:type="dxa"/>
              <w:left w:w="90" w:type="dxa"/>
              <w:right w:w="90" w:type="dxa"/>
            </w:tcMar>
            <w:shd w:fill="1F4E79"/>
          </w:tcPr>
          <w:p>
            <w:pPr>
              <w:spacing w:after="0" w:line="264" w:lineRule="auto"/>
              <w:jc w:val="center"/>
            </w:pPr>
            <w:r>
              <w:rPr>
                <w:rFonts w:ascii="Times New Roman" w:hAnsi="Times New Roman"/>
                <w:b/>
                <w:color w:val="FFFFFF"/>
                <w:sz w:val="23"/>
              </w:rPr>
              <w:t>Trạng thái</w:t>
            </w:r>
          </w:p>
        </w:tc>
        <w:tc>
          <w:tcPr>
            <w:tcW w:type="dxa" w:w="3744"/>
            <w:vAlign w:val="center"/>
            <w:tcMar>
              <w:top w:w="70" w:type="dxa"/>
              <w:bottom w:w="70" w:type="dxa"/>
              <w:left w:w="90" w:type="dxa"/>
              <w:right w:w="90" w:type="dxa"/>
            </w:tcMar>
            <w:shd w:fill="1F4E79"/>
          </w:tcPr>
          <w:p>
            <w:pPr>
              <w:spacing w:after="0" w:line="264" w:lineRule="auto"/>
              <w:jc w:val="center"/>
            </w:pPr>
            <w:r>
              <w:rPr>
                <w:rFonts w:ascii="Times New Roman" w:hAnsi="Times New Roman"/>
                <w:b/>
                <w:color w:val="FFFFFF"/>
                <w:sz w:val="23"/>
              </w:rPr>
              <w:t>Nội dung nghiệp vụ cụ thể</w:t>
            </w:r>
          </w:p>
        </w:tc>
        <w:tc>
          <w:tcPr>
            <w:tcW w:type="dxa" w:w="2160"/>
            <w:vAlign w:val="center"/>
            <w:tcMar>
              <w:top w:w="70" w:type="dxa"/>
              <w:bottom w:w="70" w:type="dxa"/>
              <w:left w:w="90" w:type="dxa"/>
              <w:right w:w="90" w:type="dxa"/>
            </w:tcMar>
            <w:shd w:fill="1F4E79"/>
          </w:tcPr>
          <w:p>
            <w:pPr>
              <w:spacing w:after="0" w:line="264" w:lineRule="auto"/>
              <w:jc w:val="center"/>
            </w:pPr>
            <w:r>
              <w:rPr>
                <w:rFonts w:ascii="Times New Roman" w:hAnsi="Times New Roman"/>
                <w:b/>
                <w:color w:val="FFFFFF"/>
                <w:sz w:val="23"/>
              </w:rPr>
              <w:t>Phụ trách &amp; Hạn chót</w:t>
            </w:r>
          </w:p>
        </w:tc>
      </w:tr>
      <w:tr>
        <w:tc>
          <w:tcPr>
            <w:tcW w:type="dxa" w:w="2304"/>
            <w:vAlign w:val="center"/>
            <w:tcMar>
              <w:top w:w="70" w:type="dxa"/>
              <w:bottom w:w="70" w:type="dxa"/>
              <w:left w:w="90" w:type="dxa"/>
              <w:right w:w="90" w:type="dxa"/>
            </w:tcMar>
            <w:shd w:fill="FAFAFA"/>
          </w:tcPr>
          <w:p>
            <w:pPr>
              <w:spacing w:after="0" w:line="264" w:lineRule="auto"/>
              <w:jc w:val="center"/>
            </w:pPr>
            <w:r>
              <w:rPr>
                <w:rFonts w:ascii="Times New Roman" w:hAnsi="Times New Roman"/>
                <w:b/>
                <w:color w:val="333333"/>
                <w:sz w:val="22"/>
              </w:rPr>
              <w:t>1. Eval Results</w:t>
            </w:r>
          </w:p>
        </w:tc>
        <w:tc>
          <w:tcPr>
            <w:tcW w:type="dxa" w:w="1872"/>
            <w:vAlign w:val="center"/>
            <w:tcMar>
              <w:top w:w="70" w:type="dxa"/>
              <w:bottom w:w="70" w:type="dxa"/>
              <w:left w:w="90" w:type="dxa"/>
              <w:right w:w="90" w:type="dxa"/>
            </w:tcMar>
            <w:shd w:fill="FAFAFA"/>
          </w:tcPr>
          <w:p>
            <w:pPr>
              <w:spacing w:after="0" w:line="264" w:lineRule="auto"/>
              <w:jc w:val="center"/>
            </w:pPr>
            <w:r>
              <w:rPr>
                <w:rFonts w:ascii="Times New Roman" w:hAnsi="Times New Roman"/>
                <w:color w:val="333333"/>
                <w:sz w:val="22"/>
              </w:rPr>
              <w:t>Đã hoàn thành</w:t>
            </w:r>
          </w:p>
        </w:tc>
        <w:tc>
          <w:tcPr>
            <w:tcW w:type="dxa" w:w="3744"/>
            <w:vAlign w:val="center"/>
            <w:tcMar>
              <w:top w:w="70" w:type="dxa"/>
              <w:bottom w:w="70" w:type="dxa"/>
              <w:left w:w="90" w:type="dxa"/>
              <w:right w:w="90" w:type="dxa"/>
            </w:tcMar>
            <w:shd w:fill="FAFAFA"/>
          </w:tcPr>
          <w:p>
            <w:pPr>
              <w:spacing w:after="0" w:line="264" w:lineRule="auto"/>
              <w:jc w:val="left"/>
            </w:pPr>
            <w:r>
              <w:rPr>
                <w:rFonts w:ascii="Times New Roman" w:hAnsi="Times New Roman"/>
                <w:color w:val="333333"/>
                <w:sz w:val="22"/>
              </w:rPr>
              <w:t>Bộ thử nghiệm 960 vignette lâm sàng (Nature Medicine): Độ chính xác phân tầng 94,2%, tỷ lệ undertriage ca cấp cứu &lt; 3,5%, containment 78%, chuyển tiếp điều dưỡng 22%.</w:t>
            </w:r>
          </w:p>
        </w:tc>
        <w:tc>
          <w:tcPr>
            <w:tcW w:type="dxa" w:w="2160"/>
            <w:vAlign w:val="center"/>
            <w:tcMar>
              <w:top w:w="70" w:type="dxa"/>
              <w:bottom w:w="70" w:type="dxa"/>
              <w:left w:w="90" w:type="dxa"/>
              <w:right w:w="90" w:type="dxa"/>
            </w:tcMar>
            <w:shd w:fill="FAFAFA"/>
          </w:tcPr>
          <w:p>
            <w:pPr>
              <w:spacing w:after="0" w:line="264" w:lineRule="auto"/>
              <w:jc w:val="center"/>
            </w:pPr>
            <w:r>
              <w:rPr>
                <w:rFonts w:ascii="Times New Roman" w:hAnsi="Times New Roman"/>
                <w:color w:val="333333"/>
                <w:sz w:val="22"/>
              </w:rPr>
              <w:t>Ninh Quang Minh</w:t>
              <w:br/>
              <w:t>Hoàn thành 07/10/2026</w:t>
            </w:r>
          </w:p>
        </w:tc>
      </w:tr>
      <w:tr>
        <w:tc>
          <w:tcPr>
            <w:tcW w:type="dxa" w:w="2304"/>
            <w:vAlign w:val="center"/>
            <w:tcMar>
              <w:top w:w="70" w:type="dxa"/>
              <w:bottom w:w="70" w:type="dxa"/>
              <w:left w:w="90" w:type="dxa"/>
              <w:right w:w="90" w:type="dxa"/>
            </w:tcMar>
            <w:shd w:fill="FFFFFF"/>
          </w:tcPr>
          <w:p>
            <w:pPr>
              <w:spacing w:after="0" w:line="264" w:lineRule="auto"/>
              <w:jc w:val="center"/>
            </w:pPr>
            <w:r>
              <w:rPr>
                <w:rFonts w:ascii="Times New Roman" w:hAnsi="Times New Roman"/>
                <w:b/>
                <w:color w:val="333333"/>
                <w:sz w:val="22"/>
              </w:rPr>
              <w:t>2. Risk Checklist</w:t>
            </w:r>
          </w:p>
        </w:tc>
        <w:tc>
          <w:tcPr>
            <w:tcW w:type="dxa" w:w="1872"/>
            <w:vAlign w:val="center"/>
            <w:tcMar>
              <w:top w:w="70" w:type="dxa"/>
              <w:bottom w:w="70" w:type="dxa"/>
              <w:left w:w="90" w:type="dxa"/>
              <w:right w:w="90" w:type="dxa"/>
            </w:tcMar>
            <w:shd w:fill="FFFFFF"/>
          </w:tcPr>
          <w:p>
            <w:pPr>
              <w:spacing w:after="0" w:line="264" w:lineRule="auto"/>
              <w:jc w:val="center"/>
            </w:pPr>
            <w:r>
              <w:rPr>
                <w:rFonts w:ascii="Times New Roman" w:hAnsi="Times New Roman"/>
                <w:color w:val="333333"/>
                <w:sz w:val="22"/>
              </w:rPr>
              <w:t>Đã hoàn thành</w:t>
            </w:r>
          </w:p>
        </w:tc>
        <w:tc>
          <w:tcPr>
            <w:tcW w:type="dxa" w:w="3744"/>
            <w:vAlign w:val="center"/>
            <w:tcMar>
              <w:top w:w="70" w:type="dxa"/>
              <w:bottom w:w="70" w:type="dxa"/>
              <w:left w:w="90" w:type="dxa"/>
              <w:right w:w="90" w:type="dxa"/>
            </w:tcMar>
            <w:shd w:fill="FFFFFF"/>
          </w:tcPr>
          <w:p>
            <w:pPr>
              <w:spacing w:after="0" w:line="264" w:lineRule="auto"/>
              <w:jc w:val="left"/>
            </w:pPr>
            <w:r>
              <w:rPr>
                <w:rFonts w:ascii="Times New Roman" w:hAnsi="Times New Roman"/>
                <w:color w:val="333333"/>
                <w:sz w:val="22"/>
              </w:rPr>
              <w:t>Báo cáo Procurement &amp; Tuân thủ: Guardrail kỹ thuật ngăn chặn đưa ra chẩn đoán dứt điểm, cam kết Zero Data Retention qua Azure/Anthropic Enterprise, lưu trữ máy chủ riêng Vinmec theo Nghị định 13/2023/NĐ-CP.</w:t>
            </w:r>
          </w:p>
        </w:tc>
        <w:tc>
          <w:tcPr>
            <w:tcW w:type="dxa" w:w="2160"/>
            <w:vAlign w:val="center"/>
            <w:tcMar>
              <w:top w:w="70" w:type="dxa"/>
              <w:bottom w:w="70" w:type="dxa"/>
              <w:left w:w="90" w:type="dxa"/>
              <w:right w:w="90" w:type="dxa"/>
            </w:tcMar>
            <w:shd w:fill="FFFFFF"/>
          </w:tcPr>
          <w:p>
            <w:pPr>
              <w:spacing w:after="0" w:line="264" w:lineRule="auto"/>
              <w:jc w:val="center"/>
            </w:pPr>
            <w:r>
              <w:rPr>
                <w:rFonts w:ascii="Times New Roman" w:hAnsi="Times New Roman"/>
                <w:color w:val="333333"/>
                <w:sz w:val="22"/>
              </w:rPr>
              <w:t>Ninh Quang Minh</w:t>
              <w:br/>
              <w:t>Hoàn thành 08/10/2026</w:t>
            </w:r>
          </w:p>
        </w:tc>
      </w:tr>
      <w:tr>
        <w:tc>
          <w:tcPr>
            <w:tcW w:type="dxa" w:w="2304"/>
            <w:vAlign w:val="center"/>
            <w:tcMar>
              <w:top w:w="70" w:type="dxa"/>
              <w:bottom w:w="70" w:type="dxa"/>
              <w:left w:w="90" w:type="dxa"/>
              <w:right w:w="90" w:type="dxa"/>
            </w:tcMar>
            <w:shd w:fill="FAFAFA"/>
          </w:tcPr>
          <w:p>
            <w:pPr>
              <w:spacing w:after="0" w:line="264" w:lineRule="auto"/>
              <w:jc w:val="center"/>
            </w:pPr>
            <w:r>
              <w:rPr>
                <w:rFonts w:ascii="Times New Roman" w:hAnsi="Times New Roman"/>
                <w:b/>
                <w:color w:val="333333"/>
                <w:sz w:val="22"/>
              </w:rPr>
              <w:t>3. Pilot Report</w:t>
            </w:r>
          </w:p>
        </w:tc>
        <w:tc>
          <w:tcPr>
            <w:tcW w:type="dxa" w:w="1872"/>
            <w:vAlign w:val="center"/>
            <w:tcMar>
              <w:top w:w="70" w:type="dxa"/>
              <w:bottom w:w="70" w:type="dxa"/>
              <w:left w:w="90" w:type="dxa"/>
              <w:right w:w="90" w:type="dxa"/>
            </w:tcMar>
            <w:shd w:fill="FAFAFA"/>
          </w:tcPr>
          <w:p>
            <w:pPr>
              <w:spacing w:after="0" w:line="264" w:lineRule="auto"/>
              <w:jc w:val="center"/>
            </w:pPr>
            <w:r>
              <w:rPr>
                <w:rFonts w:ascii="Times New Roman" w:hAnsi="Times New Roman"/>
                <w:color w:val="333333"/>
                <w:sz w:val="22"/>
              </w:rPr>
              <w:t>Đang triển khai</w:t>
            </w:r>
          </w:p>
        </w:tc>
        <w:tc>
          <w:tcPr>
            <w:tcW w:type="dxa" w:w="3744"/>
            <w:vAlign w:val="center"/>
            <w:tcMar>
              <w:top w:w="70" w:type="dxa"/>
              <w:bottom w:w="70" w:type="dxa"/>
              <w:left w:w="90" w:type="dxa"/>
              <w:right w:w="90" w:type="dxa"/>
            </w:tcMar>
            <w:shd w:fill="FAFAFA"/>
          </w:tcPr>
          <w:p>
            <w:pPr>
              <w:spacing w:after="0" w:line="264" w:lineRule="auto"/>
              <w:jc w:val="left"/>
            </w:pPr>
            <w:r>
              <w:rPr>
                <w:rFonts w:ascii="Times New Roman" w:hAnsi="Times New Roman"/>
                <w:color w:val="333333"/>
                <w:sz w:val="22"/>
              </w:rPr>
              <w:t>Báo cáo thử nghiệm lâm sàng 4 tuần tại BV Vinmec Times City: Quy mô 1.500 ca, đo lường containment thực tế, tiết kiệm 200 giờ điều dưỡng, giảm 35% ca chờ tại cấp cứu.</w:t>
            </w:r>
          </w:p>
        </w:tc>
        <w:tc>
          <w:tcPr>
            <w:tcW w:type="dxa" w:w="2160"/>
            <w:vAlign w:val="center"/>
            <w:tcMar>
              <w:top w:w="70" w:type="dxa"/>
              <w:bottom w:w="70" w:type="dxa"/>
              <w:left w:w="90" w:type="dxa"/>
              <w:right w:w="90" w:type="dxa"/>
            </w:tcMar>
            <w:shd w:fill="FAFAFA"/>
          </w:tcPr>
          <w:p>
            <w:pPr>
              <w:spacing w:after="0" w:line="264" w:lineRule="auto"/>
              <w:jc w:val="center"/>
            </w:pPr>
            <w:r>
              <w:rPr>
                <w:rFonts w:ascii="Times New Roman" w:hAnsi="Times New Roman"/>
                <w:color w:val="333333"/>
                <w:sz w:val="22"/>
              </w:rPr>
              <w:t>Ninh Quang Minh &amp; Bác sĩ Trưởng khoa Cấp cứu</w:t>
              <w:br/>
              <w:t>Hạn chót: 15/11/2026</w:t>
            </w:r>
          </w:p>
        </w:tc>
      </w:tr>
    </w:tbl>
    <w:p>
      <w:pPr>
        <w:spacing w:after="40"/>
      </w:pPr>
    </w:p>
    <w:p>
      <w:pPr>
        <w:spacing w:before="160" w:after="40"/>
      </w:pPr>
      <w:r>
        <w:rPr>
          <w:rFonts w:ascii="Times New Roman" w:hAnsi="Times New Roman"/>
          <w:b/>
          <w:color w:val="333333"/>
          <w:sz w:val="26"/>
        </w:rPr>
        <w:t>3.1. Kết quả kiểm định tính khách quan &amp; minh bạch (Stranger Test)</w:t>
      </w:r>
    </w:p>
    <w:p>
      <w:pPr>
        <w:spacing w:before="0" w:after="80" w:line="276" w:lineRule="auto"/>
      </w:pPr>
      <w:r>
        <w:rPr>
          <w:rFonts w:ascii="Times New Roman" w:hAnsi="Times New Roman"/>
          <w:color w:val="333333"/>
          <w:sz w:val="26"/>
        </w:rPr>
        <w:t>Hồ sơ đã được gửi cho chuyên viên phân tích tài chính và bác sĩ lâm sàng độc lập rà soát trong 2 phút:</w:t>
      </w:r>
    </w:p>
    <w:p>
      <w:pPr>
        <w:pStyle w:val="ListBullet"/>
        <w:spacing w:before="0" w:after="60" w:line="276" w:lineRule="auto"/>
      </w:pPr>
      <w:r>
        <w:rPr>
          <w:rFonts w:ascii="Times New Roman" w:hAnsi="Times New Roman"/>
          <w:b/>
          <w:color w:val="333333"/>
          <w:sz w:val="26"/>
        </w:rPr>
        <w:t xml:space="preserve">[x] Định nghĩa sản phẩm &amp; Doanh thu: </w:t>
      </w:r>
      <w:r>
        <w:rPr>
          <w:rFonts w:ascii="Times New Roman" w:hAnsi="Times New Roman"/>
          <w:color w:val="333333"/>
          <w:sz w:val="26"/>
        </w:rPr>
        <w:t xml:space="preserve"> Xác định rõ giải pháp trợ lý sơ loại y tế AI cung cấp cho bệnh viện Vinmec, áp dụng mô hình Hybrid ($300 phí nền/tháng + $0,79/ca phân tầng hoàn thành).</w:t>
      </w:r>
    </w:p>
    <w:p>
      <w:pPr>
        <w:pStyle w:val="ListBullet"/>
        <w:spacing w:before="0" w:after="60" w:line="276" w:lineRule="auto"/>
      </w:pPr>
      <w:r>
        <w:rPr>
          <w:rFonts w:ascii="Times New Roman" w:hAnsi="Times New Roman"/>
          <w:b/>
          <w:color w:val="333333"/>
          <w:sz w:val="26"/>
        </w:rPr>
        <w:t xml:space="preserve">[x] Hiệu quả kinh tế đơn vị: </w:t>
      </w:r>
      <w:r>
        <w:rPr>
          <w:rFonts w:ascii="Times New Roman" w:hAnsi="Times New Roman"/>
          <w:color w:val="333333"/>
          <w:sz w:val="26"/>
        </w:rPr>
        <w:t xml:space="preserve"> Xác nhận đơn vị kinh tế có lãi vững chắc với Gross Margin đạt 71,25%, điểm hòa vốn containment 70,29% (mô hình vận hành 78,00%, biên an toàn 7,71%).</w:t>
      </w:r>
    </w:p>
    <w:p>
      <w:pPr>
        <w:pStyle w:val="ListBullet"/>
        <w:spacing w:before="0" w:after="60" w:line="276" w:lineRule="auto"/>
      </w:pPr>
      <w:r>
        <w:rPr>
          <w:rFonts w:ascii="Times New Roman" w:hAnsi="Times New Roman"/>
          <w:b/>
          <w:color w:val="333333"/>
          <w:sz w:val="26"/>
        </w:rPr>
        <w:t xml:space="preserve">[x] Cơ sở lựa chọn kênh tiếp cận: </w:t>
      </w:r>
      <w:r>
        <w:rPr>
          <w:rFonts w:ascii="Times New Roman" w:hAnsi="Times New Roman"/>
          <w:color w:val="333333"/>
          <w:sz w:val="26"/>
        </w:rPr>
        <w:t xml:space="preserve"> Thuyết phục bởi số liệu CAC thực tế của Sales-Led lệch 3,16 lần ngân sách cho phép, khẳng định tính tất yếu của kênh Partner-Led nhúng qua Zalo OA và App MyVinmec.</w:t>
      </w:r>
    </w:p>
    <w:p>
      <w:pPr>
        <w:spacing w:before="0" w:after="80" w:line="276" w:lineRule="auto"/>
      </w:pPr>
      <w:r>
        <w:rPr>
          <w:rFonts w:ascii="Times New Roman" w:hAnsi="Times New Roman"/>
          <w:b/>
          <w:color w:val="333333"/>
          <w:sz w:val="26"/>
        </w:rPr>
        <w:t xml:space="preserve">Số lượng câu hỏi phải làm rõ thêm: </w:t>
      </w:r>
      <w:r>
        <w:rPr>
          <w:rFonts w:ascii="Times New Roman" w:hAnsi="Times New Roman"/>
          <w:color w:val="333333"/>
          <w:sz w:val="26"/>
        </w:rPr>
        <w:t xml:space="preserve"> 0 câu hỏi (đáp ứng mục tiêu khắt khe ≤ 3 câu hỏi cần làm rõ thêm).</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222222"/>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