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288" w:firstLine="1008"/>
        <w:jc w:val="center"/>
        <w:rPr>
          <w:rFonts w:eastAsia="Times New Roman" w:cs="Times New Roman"/>
          <w:b/>
          <w:sz w:val="36"/>
          <w:szCs w:val="36"/>
        </w:rPr>
      </w:pPr>
      <w:r>
        <w:rPr>
          <w:rFonts w:eastAsia="Times New Roman" w:cs="Times New Roman"/>
          <w:b/>
          <w:sz w:val="36"/>
          <w:szCs w:val="36"/>
        </w:rPr>
        <w:t xml:space="preserve">            ASSIGNMENT 2 FRONT SHEET</w:t>
      </w:r>
      <w:r>
        <w:rPr>
          <w:rFonts w:eastAsia="Times New Roman" w:cs="Times New Roman"/>
          <w:b/>
          <w:sz w:val="36"/>
          <w:szCs w:val="36"/>
        </w:rPr>
        <w:tab/>
      </w:r>
      <w:r>
        <w:rPr>
          <w:rFonts w:eastAsia="Times New Roman" w:cs="Times New Roman"/>
          <w:b/>
          <w:sz w:val="36"/>
          <w:szCs w:val="36"/>
        </w:rPr>
        <w:tab/>
      </w:r>
      <w:r>
        <w:rPr>
          <w:rFonts w:eastAsia="Times New Roman" w:cs="Times New Roman"/>
          <w:b/>
          <w:sz w:val="36"/>
          <w:szCs w:val="36"/>
        </w:rPr>
        <w:tab/>
      </w:r>
    </w:p>
    <w:p>
      <w:pPr>
        <w:spacing w:after="0" w:line="240" w:lineRule="auto"/>
        <w:ind w:left="-288" w:firstLine="1008"/>
        <w:jc w:val="center"/>
        <w:rPr>
          <w:rFonts w:eastAsia="Times New Roman" w:cs="Times New Roman"/>
          <w:b/>
          <w:sz w:val="36"/>
          <w:szCs w:val="36"/>
        </w:rPr>
      </w:pPr>
    </w:p>
    <w:tbl>
      <w:tblPr>
        <w:tblStyle w:val="16"/>
        <w:tblW w:w="13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981"/>
        <w:gridCol w:w="3364"/>
        <w:gridCol w:w="3441"/>
        <w:gridCol w:w="36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Qualification</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BTEC Level 5 HND Diploma in Computing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Unit number and title</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cs="Times New Roman"/>
                <w:szCs w:val="24"/>
              </w:rPr>
              <w:t>Unit 14: Business Intelligence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 xml:space="preserve">Submission date </w:t>
            </w:r>
          </w:p>
        </w:tc>
        <w:tc>
          <w:tcPr>
            <w:tcW w:w="3364"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b/>
                <w:szCs w:val="24"/>
              </w:rPr>
            </w:pPr>
            <w:r>
              <w:rPr>
                <w:rFonts w:eastAsia="Times New Roman" w:cs="Times New Roman"/>
                <w:b/>
                <w:color w:val="231F20"/>
                <w:szCs w:val="24"/>
              </w:rPr>
              <w:t>Date Received 1st submission</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color w:val="231F20"/>
                <w:szCs w:val="24"/>
              </w:rPr>
              <w:t>Re-submission Date</w:t>
            </w:r>
          </w:p>
        </w:tc>
        <w:tc>
          <w:tcPr>
            <w:tcW w:w="3364"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b/>
                <w:szCs w:val="24"/>
              </w:rPr>
            </w:pPr>
            <w:r>
              <w:rPr>
                <w:rFonts w:eastAsia="Times New Roman" w:cs="Times New Roman"/>
                <w:b/>
                <w:color w:val="231F20"/>
                <w:szCs w:val="24"/>
              </w:rPr>
              <w:t>Date Received 2nd submission</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 xml:space="preserve">Student Name </w:t>
            </w:r>
          </w:p>
        </w:tc>
        <w:tc>
          <w:tcPr>
            <w:tcW w:w="3364" w:type="dxa"/>
            <w:tcBorders>
              <w:top w:val="single" w:color="000080" w:sz="4" w:space="0"/>
              <w:left w:val="single" w:color="000080" w:sz="4" w:space="0"/>
              <w:bottom w:val="single" w:color="000080" w:sz="4" w:space="0"/>
              <w:right w:val="single" w:color="000080" w:sz="4" w:space="0"/>
            </w:tcBorders>
            <w:vAlign w:val="center"/>
          </w:tcPr>
          <w:p>
            <w:pPr>
              <w:rPr>
                <w:rFonts w:hint="default" w:eastAsia="Times New Roman" w:cs="Times New Roman"/>
                <w:szCs w:val="24"/>
                <w:lang w:val="en-US"/>
              </w:rPr>
            </w:pPr>
            <w:r>
              <w:rPr>
                <w:rFonts w:hint="default" w:eastAsia="Times New Roman" w:cs="Times New Roman"/>
                <w:szCs w:val="24"/>
                <w:lang w:val="en-US"/>
              </w:rPr>
              <w:t>Duong Duc Son</w:t>
            </w: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b/>
                <w:szCs w:val="24"/>
              </w:rPr>
            </w:pPr>
            <w:r>
              <w:rPr>
                <w:rFonts w:eastAsia="Times New Roman" w:cs="Times New Roman"/>
                <w:b/>
                <w:szCs w:val="24"/>
              </w:rPr>
              <w:t xml:space="preserve">Student ID  </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hint="default" w:eastAsia="Times New Roman" w:cs="Times New Roman"/>
                <w:szCs w:val="24"/>
                <w:lang w:val="en-US"/>
              </w:rPr>
            </w:pPr>
            <w:r>
              <w:rPr>
                <w:rFonts w:eastAsia="Times New Roman" w:cs="Times New Roman"/>
                <w:szCs w:val="24"/>
              </w:rPr>
              <w:t>GCH185</w:t>
            </w:r>
            <w:r>
              <w:rPr>
                <w:rFonts w:hint="default" w:eastAsia="Times New Roman" w:cs="Times New Roman"/>
                <w:szCs w:val="24"/>
                <w:lang w:val="en-US"/>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Class</w:t>
            </w:r>
          </w:p>
        </w:tc>
        <w:tc>
          <w:tcPr>
            <w:tcW w:w="3364"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szCs w:val="24"/>
              </w:rPr>
            </w:pPr>
            <w:r>
              <w:rPr>
                <w:rFonts w:eastAsia="Times New Roman" w:cs="Times New Roman"/>
                <w:szCs w:val="24"/>
              </w:rPr>
              <w:t>GCH0715</w:t>
            </w:r>
          </w:p>
        </w:tc>
        <w:tc>
          <w:tcPr>
            <w:tcW w:w="3441"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b/>
                <w:szCs w:val="24"/>
              </w:rPr>
            </w:pPr>
            <w:r>
              <w:rPr>
                <w:rFonts w:eastAsia="Times New Roman" w:cs="Times New Roman"/>
                <w:b/>
                <w:szCs w:val="24"/>
              </w:rPr>
              <w:t>Assessor name</w:t>
            </w:r>
          </w:p>
        </w:tc>
        <w:tc>
          <w:tcPr>
            <w:tcW w:w="3642" w:type="dxa"/>
            <w:tcBorders>
              <w:top w:val="single" w:color="000080" w:sz="4" w:space="0"/>
              <w:left w:val="single" w:color="000080" w:sz="4" w:space="0"/>
              <w:bottom w:val="single" w:color="000080" w:sz="4" w:space="0"/>
              <w:right w:val="single" w:color="000080" w:sz="4" w:space="0"/>
            </w:tcBorders>
            <w:vAlign w:val="center"/>
          </w:tcPr>
          <w:p>
            <w:pPr>
              <w:rPr>
                <w:rFonts w:eastAsia="Times New Roman" w:cs="Times New Roman"/>
                <w:szCs w:val="24"/>
              </w:rPr>
            </w:pPr>
            <w:r>
              <w:rPr>
                <w:rFonts w:eastAsia="Times New Roman" w:cs="Times New Roman"/>
                <w:szCs w:val="24"/>
              </w:rPr>
              <w:t>Doan Trung Tung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13428" w:type="dxa"/>
            <w:gridSpan w:val="4"/>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rPr>
                <w:rFonts w:eastAsia="Times New Roman" w:cs="Times New Roman"/>
                <w:b/>
                <w:szCs w:val="24"/>
              </w:rPr>
            </w:pPr>
            <w:r>
              <w:rPr>
                <w:rFonts w:eastAsia="Times New Roman" w:cs="Times New Roman"/>
                <w:b/>
                <w:szCs w:val="24"/>
              </w:rPr>
              <w:t>Student declaration</w:t>
            </w:r>
          </w:p>
          <w:p>
            <w:pPr>
              <w:rPr>
                <w:rFonts w:eastAsia="Times New Roman" w:cs="Times New Roman"/>
                <w:szCs w:val="24"/>
              </w:rPr>
            </w:pPr>
            <w:r>
              <w:rPr>
                <w:rFonts w:eastAsia="Times New Roman" w:cs="Times New Roman"/>
                <w:color w:val="000000"/>
                <w:szCs w:val="24"/>
              </w:rPr>
              <w:t xml:space="preserve">I certify that the assignment submission is entirely my own work and I fully understand the consequences of plagiarism. </w:t>
            </w:r>
            <w:r>
              <w:rPr>
                <w:rFonts w:eastAsia="Times New Roman" w:cs="Times New Roman"/>
                <w:szCs w:val="24"/>
              </w:rPr>
              <w:t>I understand that making a false declaration is a form of malpractice.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nil"/>
              <w:left w:val="nil"/>
              <w:bottom w:val="nil"/>
              <w:right w:val="nil"/>
            </w:tcBorders>
            <w:tcMar>
              <w:top w:w="85" w:type="dxa"/>
              <w:bottom w:w="85" w:type="dxa"/>
            </w:tcMar>
            <w:vAlign w:val="center"/>
          </w:tcPr>
          <w:p>
            <w:pPr>
              <w:rPr>
                <w:rFonts w:eastAsia="Times New Roman" w:cs="Times New Roman"/>
                <w:b/>
                <w:szCs w:val="24"/>
              </w:rPr>
            </w:pPr>
          </w:p>
        </w:tc>
        <w:tc>
          <w:tcPr>
            <w:tcW w:w="3364" w:type="dxa"/>
            <w:tcBorders>
              <w:top w:val="nil"/>
              <w:left w:val="nil"/>
              <w:bottom w:val="nil"/>
              <w:right w:val="single" w:color="000000" w:sz="4" w:space="0"/>
            </w:tcBorders>
            <w:vAlign w:val="center"/>
          </w:tcPr>
          <w:p>
            <w:pPr>
              <w:rPr>
                <w:rFonts w:eastAsia="Times New Roman" w:cs="Times New Roman"/>
                <w:szCs w:val="24"/>
              </w:rPr>
            </w:pPr>
          </w:p>
        </w:tc>
        <w:tc>
          <w:tcPr>
            <w:tcW w:w="3441" w:type="dxa"/>
            <w:tcBorders>
              <w:top w:val="single" w:color="000000" w:sz="4" w:space="0"/>
              <w:left w:val="single" w:color="000000" w:sz="4" w:space="0"/>
              <w:bottom w:val="single" w:color="000000" w:sz="4" w:space="0"/>
              <w:right w:val="single" w:color="000000" w:sz="4" w:space="0"/>
            </w:tcBorders>
            <w:vAlign w:val="center"/>
          </w:tcPr>
          <w:p>
            <w:pPr>
              <w:rPr>
                <w:rFonts w:eastAsia="Times New Roman" w:cs="Times New Roman"/>
                <w:b/>
                <w:szCs w:val="24"/>
              </w:rPr>
            </w:pPr>
            <w:r>
              <w:rPr>
                <w:rFonts w:eastAsia="Times New Roman" w:cs="Times New Roman"/>
                <w:b/>
                <w:szCs w:val="24"/>
              </w:rPr>
              <w:t>Student’s signature</w:t>
            </w:r>
          </w:p>
        </w:tc>
        <w:tc>
          <w:tcPr>
            <w:tcW w:w="3642" w:type="dxa"/>
            <w:tcBorders>
              <w:top w:val="single" w:color="000080" w:sz="4" w:space="0"/>
              <w:left w:val="single" w:color="000000" w:sz="4" w:space="0"/>
              <w:bottom w:val="single" w:color="000080" w:sz="4" w:space="0"/>
              <w:right w:val="single" w:color="000080" w:sz="4" w:space="0"/>
            </w:tcBorders>
            <w:vAlign w:val="center"/>
          </w:tcPr>
          <w:p>
            <w:pPr>
              <w:rPr>
                <w:rFonts w:eastAsia="Times New Roman" w:cs="Times New Roman"/>
                <w:szCs w:val="24"/>
              </w:rPr>
            </w:pPr>
          </w:p>
        </w:tc>
      </w:tr>
    </w:tbl>
    <w:p>
      <w:pPr>
        <w:rPr>
          <w:rFonts w:eastAsia="Times New Roman" w:cs="Times New Roman"/>
          <w:b/>
          <w:szCs w:val="24"/>
        </w:rPr>
      </w:pPr>
      <w:r>
        <w:rPr>
          <w:rFonts w:eastAsia="Times New Roman" w:cs="Times New Roman"/>
          <w:b/>
          <w:szCs w:val="24"/>
        </w:rPr>
        <w:t>Grading grid</w:t>
      </w:r>
    </w:p>
    <w:tbl>
      <w:tblPr>
        <w:tblStyle w:val="17"/>
        <w:tblW w:w="129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18"/>
        <w:gridCol w:w="1619"/>
        <w:gridCol w:w="1619"/>
        <w:gridCol w:w="1619"/>
        <w:gridCol w:w="1619"/>
        <w:gridCol w:w="1619"/>
        <w:gridCol w:w="1619"/>
        <w:gridCol w:w="16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8" w:type="dxa"/>
          </w:tcPr>
          <w:p>
            <w:pPr>
              <w:spacing w:after="0" w:line="240" w:lineRule="auto"/>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3</w:t>
            </w:r>
          </w:p>
        </w:tc>
        <w:tc>
          <w:tcPr>
            <w:tcW w:w="1619" w:type="dxa"/>
          </w:tcPr>
          <w:p>
            <w:pPr>
              <w:spacing w:after="0" w:line="240" w:lineRule="auto"/>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4</w:t>
            </w:r>
          </w:p>
        </w:tc>
        <w:tc>
          <w:tcPr>
            <w:tcW w:w="1619" w:type="dxa"/>
          </w:tcPr>
          <w:p>
            <w:pPr>
              <w:spacing w:after="0" w:line="240" w:lineRule="auto"/>
              <w:jc w:val="center"/>
              <w:rPr>
                <w:rFonts w:eastAsia="Times New Roman" w:cs="Times New Roman"/>
                <w:szCs w:val="24"/>
                <w:lang w:val="vi-VN"/>
              </w:rPr>
            </w:pPr>
            <w:r>
              <w:rPr>
                <w:rFonts w:eastAsia="Times New Roman" w:cs="Times New Roman"/>
                <w:szCs w:val="24"/>
              </w:rPr>
              <w:t>P5</w:t>
            </w:r>
          </w:p>
        </w:tc>
        <w:tc>
          <w:tcPr>
            <w:tcW w:w="1619" w:type="dxa"/>
          </w:tcPr>
          <w:p>
            <w:pPr>
              <w:spacing w:after="0" w:line="240" w:lineRule="auto"/>
              <w:jc w:val="center"/>
              <w:rPr>
                <w:rFonts w:eastAsia="Times New Roman" w:cs="Times New Roman"/>
                <w:szCs w:val="24"/>
              </w:rPr>
            </w:pPr>
            <w:r>
              <w:rPr>
                <w:rFonts w:eastAsia="Times New Roman" w:cs="Times New Roman"/>
                <w:szCs w:val="24"/>
              </w:rPr>
              <w:t>P6</w:t>
            </w:r>
          </w:p>
        </w:tc>
        <w:tc>
          <w:tcPr>
            <w:tcW w:w="1619" w:type="dxa"/>
          </w:tcPr>
          <w:p>
            <w:pPr>
              <w:spacing w:after="0" w:line="240" w:lineRule="auto"/>
              <w:jc w:val="center"/>
              <w:rPr>
                <w:rFonts w:eastAsia="Times New Roman" w:cs="Times New Roman"/>
                <w:szCs w:val="24"/>
              </w:rPr>
            </w:pPr>
            <w:r>
              <w:rPr>
                <w:rFonts w:eastAsia="Times New Roman" w:cs="Times New Roman"/>
                <w:szCs w:val="24"/>
              </w:rPr>
              <w:t>M3</w:t>
            </w:r>
          </w:p>
        </w:tc>
        <w:tc>
          <w:tcPr>
            <w:tcW w:w="1619" w:type="dxa"/>
          </w:tcPr>
          <w:p>
            <w:pPr>
              <w:spacing w:after="0" w:line="240" w:lineRule="auto"/>
              <w:jc w:val="center"/>
              <w:rPr>
                <w:rFonts w:eastAsia="Times New Roman" w:cs="Times New Roman"/>
                <w:szCs w:val="24"/>
              </w:rPr>
            </w:pPr>
            <w:r>
              <w:rPr>
                <w:rFonts w:eastAsia="Times New Roman" w:cs="Times New Roman"/>
                <w:szCs w:val="24"/>
              </w:rPr>
              <w:t>M4</w:t>
            </w:r>
          </w:p>
        </w:tc>
        <w:tc>
          <w:tcPr>
            <w:tcW w:w="1619" w:type="dxa"/>
          </w:tcPr>
          <w:p>
            <w:pPr>
              <w:spacing w:after="0" w:line="240" w:lineRule="auto"/>
              <w:jc w:val="center"/>
              <w:rPr>
                <w:rFonts w:eastAsia="Times New Roman" w:cs="Times New Roman"/>
                <w:szCs w:val="24"/>
              </w:rPr>
            </w:pPr>
            <w:r>
              <w:rPr>
                <w:rFonts w:eastAsia="Times New Roman" w:cs="Times New Roman"/>
                <w:szCs w:val="24"/>
              </w:rPr>
              <w:t>D3</w:t>
            </w:r>
          </w:p>
        </w:tc>
        <w:tc>
          <w:tcPr>
            <w:tcW w:w="1619" w:type="dxa"/>
          </w:tcPr>
          <w:p>
            <w:pPr>
              <w:spacing w:after="0" w:line="240" w:lineRule="auto"/>
              <w:jc w:val="center"/>
              <w:rPr>
                <w:rFonts w:eastAsia="Times New Roman" w:cs="Times New Roman"/>
                <w:szCs w:val="24"/>
              </w:rPr>
            </w:pPr>
            <w:r>
              <w:rPr>
                <w:rFonts w:eastAsia="Times New Roman" w:cs="Times New Roman"/>
                <w:szCs w:val="24"/>
              </w:rPr>
              <w:t>D4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8"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c>
          <w:tcPr>
            <w:tcW w:w="1619" w:type="dxa"/>
          </w:tcPr>
          <w:p>
            <w:pPr>
              <w:spacing w:after="0" w:line="240" w:lineRule="auto"/>
              <w:rPr>
                <w:rFonts w:eastAsia="Times New Roman" w:cs="Times New Roman"/>
                <w:szCs w:val="24"/>
              </w:rPr>
            </w:pPr>
          </w:p>
        </w:tc>
      </w:tr>
    </w:tbl>
    <w:p>
      <w:pPr>
        <w:rPr>
          <w:rFonts w:eastAsia="Times New Roman" w:cs="Times New Roman"/>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rPr>
          <w:rFonts w:eastAsia="Times New Roman" w:cs="Times New Roman"/>
          <w:szCs w:val="24"/>
        </w:rPr>
        <w:sectPr>
          <w:headerReference r:id="rId3" w:type="default"/>
          <w:pgSz w:w="15840" w:h="12240"/>
          <w:pgMar w:top="1170" w:right="1440" w:bottom="810" w:left="1440" w:header="720" w:footer="720" w:gutter="0"/>
          <w:pgNumType w:start="1"/>
          <w:cols w:space="720" w:num="1"/>
        </w:sectPr>
      </w:pPr>
      <w:r>
        <w:rPr>
          <w:rFonts w:cs="Times New Roman"/>
        </w:rPr>
        <w:br w:type="page"/>
      </w:r>
    </w:p>
    <w:p>
      <w:pPr>
        <w:widowControl w:val="0"/>
        <w:pBdr>
          <w:top w:val="none" w:color="auto" w:sz="0" w:space="0"/>
          <w:left w:val="none" w:color="auto" w:sz="0" w:space="0"/>
          <w:bottom w:val="none" w:color="auto" w:sz="0" w:space="0"/>
          <w:right w:val="none" w:color="auto" w:sz="0" w:space="0"/>
          <w:between w:val="none" w:color="auto" w:sz="0" w:space="0"/>
        </w:pBdr>
        <w:spacing w:after="0"/>
        <w:rPr>
          <w:rFonts w:eastAsia="Times New Roman" w:cs="Times New Roman"/>
          <w:szCs w:val="24"/>
        </w:rPr>
      </w:pPr>
    </w:p>
    <w:tbl>
      <w:tblPr>
        <w:tblStyle w:val="18"/>
        <w:tblW w:w="10830" w:type="dxa"/>
        <w:tblInd w:w="-274" w:type="dxa"/>
        <w:tblLayout w:type="fixed"/>
        <w:tblCellMar>
          <w:top w:w="0" w:type="dxa"/>
          <w:left w:w="0" w:type="dxa"/>
          <w:bottom w:w="0" w:type="dxa"/>
          <w:right w:w="0" w:type="dxa"/>
        </w:tblCellMar>
      </w:tblPr>
      <w:tblGrid>
        <w:gridCol w:w="2724"/>
        <w:gridCol w:w="4680"/>
        <w:gridCol w:w="3426"/>
      </w:tblGrid>
      <w:tr>
        <w:tblPrEx>
          <w:tblCellMar>
            <w:top w:w="0" w:type="dxa"/>
            <w:left w:w="0" w:type="dxa"/>
            <w:bottom w:w="0" w:type="dxa"/>
            <w:right w:w="0" w:type="dxa"/>
          </w:tblCellMar>
        </w:tblPrEx>
        <w:trPr>
          <w:trHeight w:val="4160" w:hRule="atLeast"/>
        </w:trPr>
        <w:tc>
          <w:tcPr>
            <w:tcW w:w="10830" w:type="dxa"/>
            <w:gridSpan w:val="3"/>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64" w:after="0" w:line="240" w:lineRule="auto"/>
              <w:ind w:left="103"/>
              <w:rPr>
                <w:rFonts w:eastAsia="Times New Roman" w:cs="Times New Roman"/>
                <w:color w:val="000000"/>
                <w:szCs w:val="24"/>
              </w:rPr>
            </w:pPr>
            <w:r>
              <w:rPr>
                <w:rFonts w:ascii="Segoe UI Symbol" w:hAnsi="Segoe UI Symbol" w:eastAsia="Wingdings" w:cs="Segoe UI Symbol"/>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 xml:space="preserve">Summative Feedback:                                                                 </w:t>
            </w:r>
            <w:r>
              <w:rPr>
                <w:rFonts w:ascii="Segoe UI Symbol" w:hAnsi="Segoe UI Symbol" w:eastAsia="Wingdings" w:cs="Segoe UI Symbol"/>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Resubmission Feedback:</w:t>
            </w:r>
          </w:p>
          <w:p>
            <w:pPr>
              <w:widowControl w:val="0"/>
              <w:pBdr>
                <w:top w:val="none" w:color="auto" w:sz="0" w:space="0"/>
                <w:left w:val="none" w:color="auto" w:sz="0" w:space="0"/>
                <w:bottom w:val="none" w:color="auto" w:sz="0" w:space="0"/>
                <w:right w:val="none" w:color="auto" w:sz="0" w:space="0"/>
                <w:between w:val="none" w:color="auto" w:sz="0" w:space="0"/>
              </w:pBdr>
              <w:spacing w:before="64" w:after="0" w:line="240" w:lineRule="auto"/>
              <w:ind w:left="103"/>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3" w:after="0" w:line="240" w:lineRule="auto"/>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103" w:right="1022"/>
              <w:rPr>
                <w:rFonts w:eastAsia="Times New Roman" w:cs="Times New Roman"/>
                <w:color w:val="000000"/>
                <w:szCs w:val="24"/>
              </w:rPr>
            </w:pPr>
          </w:p>
        </w:tc>
      </w:tr>
      <w:tr>
        <w:tblPrEx>
          <w:tblCellMar>
            <w:top w:w="0" w:type="dxa"/>
            <w:left w:w="0" w:type="dxa"/>
            <w:bottom w:w="0" w:type="dxa"/>
            <w:right w:w="0" w:type="dxa"/>
          </w:tblCellMar>
        </w:tblPrEx>
        <w:trPr>
          <w:trHeight w:val="540" w:hRule="atLeast"/>
        </w:trPr>
        <w:tc>
          <w:tcPr>
            <w:tcW w:w="2724" w:type="dxa"/>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4" w:after="0" w:line="240" w:lineRule="auto"/>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103"/>
              <w:rPr>
                <w:rFonts w:eastAsia="Times New Roman" w:cs="Times New Roman"/>
                <w:color w:val="000000"/>
                <w:szCs w:val="24"/>
              </w:rPr>
            </w:pPr>
            <w:r>
              <w:rPr>
                <w:rFonts w:eastAsia="Times New Roman" w:cs="Times New Roman"/>
                <w:b/>
                <w:color w:val="231F20"/>
                <w:szCs w:val="24"/>
              </w:rPr>
              <w:t>Grade:</w:t>
            </w:r>
          </w:p>
        </w:tc>
        <w:tc>
          <w:tcPr>
            <w:tcW w:w="4680" w:type="dxa"/>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4" w:after="0" w:line="240" w:lineRule="auto"/>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103"/>
              <w:rPr>
                <w:rFonts w:eastAsia="Times New Roman" w:cs="Times New Roman"/>
                <w:color w:val="000000"/>
                <w:szCs w:val="24"/>
              </w:rPr>
            </w:pPr>
            <w:r>
              <w:rPr>
                <w:rFonts w:eastAsia="Times New Roman" w:cs="Times New Roman"/>
                <w:b/>
                <w:color w:val="231F20"/>
                <w:szCs w:val="24"/>
              </w:rPr>
              <w:t>Assessor Signature:</w:t>
            </w:r>
          </w:p>
        </w:tc>
        <w:tc>
          <w:tcPr>
            <w:tcW w:w="3426" w:type="dxa"/>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4" w:after="0" w:line="240" w:lineRule="auto"/>
              <w:rPr>
                <w:rFonts w:eastAsia="Times New Roman" w:cs="Times New Roman"/>
                <w:color w:val="000000"/>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103"/>
              <w:rPr>
                <w:rFonts w:eastAsia="Times New Roman" w:cs="Times New Roman"/>
                <w:color w:val="000000"/>
                <w:szCs w:val="24"/>
              </w:rPr>
            </w:pPr>
            <w:r>
              <w:rPr>
                <w:rFonts w:eastAsia="Times New Roman" w:cs="Times New Roman"/>
                <w:b/>
                <w:color w:val="231F20"/>
                <w:szCs w:val="24"/>
              </w:rPr>
              <w:t>Date:</w:t>
            </w:r>
          </w:p>
        </w:tc>
      </w:tr>
      <w:tr>
        <w:tblPrEx>
          <w:tblCellMar>
            <w:top w:w="0" w:type="dxa"/>
            <w:left w:w="0" w:type="dxa"/>
            <w:bottom w:w="0" w:type="dxa"/>
            <w:right w:w="0" w:type="dxa"/>
          </w:tblCellMar>
        </w:tblPrEx>
        <w:trPr>
          <w:trHeight w:val="1120" w:hRule="atLeast"/>
        </w:trPr>
        <w:tc>
          <w:tcPr>
            <w:tcW w:w="10830" w:type="dxa"/>
            <w:gridSpan w:val="3"/>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64" w:after="0" w:line="240" w:lineRule="auto"/>
              <w:ind w:left="103"/>
              <w:rPr>
                <w:rFonts w:eastAsia="Times New Roman" w:cs="Times New Roman"/>
                <w:color w:val="000000"/>
                <w:szCs w:val="24"/>
              </w:rPr>
            </w:pPr>
            <w:bookmarkStart w:id="0" w:name="_gjdgxs" w:colFirst="0" w:colLast="0"/>
            <w:bookmarkEnd w:id="0"/>
            <w:r>
              <w:rPr>
                <w:rFonts w:eastAsia="Times New Roman" w:cs="Times New Roman"/>
                <w:b/>
                <w:color w:val="231F20"/>
                <w:szCs w:val="24"/>
              </w:rPr>
              <w:t>IV Signature:</w:t>
            </w:r>
          </w:p>
        </w:tc>
      </w:tr>
    </w:tbl>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sdt>
      <w:sdtPr>
        <w:id w:val="-179130199"/>
        <w:docPartObj>
          <w:docPartGallery w:val="Table of Contents"/>
          <w:docPartUnique/>
        </w:docPartObj>
      </w:sdtPr>
      <w:sdtEndPr>
        <w:rPr>
          <w:rFonts w:ascii="Times New Roman" w:hAnsi="Times New Roman" w:eastAsia="Calibri" w:cs="Calibri"/>
          <w:b/>
          <w:bCs/>
          <w:color w:val="auto"/>
          <w:sz w:val="24"/>
          <w:szCs w:val="22"/>
        </w:rPr>
      </w:sdtEndPr>
      <w:sdtContent>
        <w:p>
          <w:pPr>
            <w:pStyle w:val="19"/>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Table of Contents</w:t>
          </w:r>
        </w:p>
        <w:p>
          <w:pPr>
            <w:pStyle w:val="12"/>
            <w:tabs>
              <w:tab w:val="left" w:pos="440"/>
              <w:tab w:val="right" w:leader="dot" w:pos="10250"/>
            </w:tabs>
            <w:rPr>
              <w:rFonts w:cs="Times New Roman" w:eastAsiaTheme="minorEastAsia"/>
              <w:sz w:val="22"/>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"_Toc60765174" </w:instrText>
          </w:r>
          <w:r>
            <w:fldChar w:fldCharType="separate"/>
          </w:r>
          <w:r>
            <w:rPr>
              <w:rStyle w:val="14"/>
              <w:rFonts w:cs="Times New Roman"/>
            </w:rPr>
            <w:t>I.</w:t>
          </w:r>
          <w:r>
            <w:rPr>
              <w:rFonts w:cs="Times New Roman" w:eastAsiaTheme="minorEastAsia"/>
              <w:sz w:val="22"/>
            </w:rPr>
            <w:tab/>
          </w:r>
          <w:r>
            <w:rPr>
              <w:rStyle w:val="14"/>
              <w:rFonts w:cs="Times New Roman"/>
            </w:rPr>
            <w:t>Review feedbacks</w:t>
          </w:r>
          <w:r>
            <w:rPr>
              <w:rFonts w:cs="Times New Roman"/>
            </w:rPr>
            <w:tab/>
          </w:r>
          <w:r>
            <w:rPr>
              <w:rFonts w:cs="Times New Roman"/>
            </w:rPr>
            <w:fldChar w:fldCharType="begin"/>
          </w:r>
          <w:r>
            <w:rPr>
              <w:rFonts w:cs="Times New Roman"/>
            </w:rPr>
            <w:instrText xml:space="preserve"> PAGEREF _Toc60765174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2"/>
            <w:tabs>
              <w:tab w:val="left" w:pos="660"/>
              <w:tab w:val="right" w:leader="dot" w:pos="10250"/>
            </w:tabs>
            <w:rPr>
              <w:rFonts w:cs="Times New Roman" w:eastAsiaTheme="minorEastAsia"/>
              <w:sz w:val="22"/>
            </w:rPr>
          </w:pPr>
          <w:r>
            <w:fldChar w:fldCharType="begin"/>
          </w:r>
          <w:r>
            <w:instrText xml:space="preserve"> HYPERLINK \l "_Toc60765175" </w:instrText>
          </w:r>
          <w:r>
            <w:fldChar w:fldCharType="separate"/>
          </w:r>
          <w:r>
            <w:rPr>
              <w:rStyle w:val="14"/>
              <w:rFonts w:cs="Times New Roman"/>
            </w:rPr>
            <w:t>II.</w:t>
          </w:r>
          <w:r>
            <w:rPr>
              <w:rFonts w:cs="Times New Roman" w:eastAsiaTheme="minorEastAsia"/>
              <w:sz w:val="22"/>
            </w:rPr>
            <w:tab/>
          </w:r>
          <w:r>
            <w:rPr>
              <w:rStyle w:val="14"/>
              <w:rFonts w:cs="Times New Roman"/>
            </w:rPr>
            <w:t>The legal issues</w:t>
          </w:r>
          <w:r>
            <w:rPr>
              <w:rFonts w:cs="Times New Roman"/>
            </w:rPr>
            <w:tab/>
          </w:r>
          <w:r>
            <w:rPr>
              <w:rFonts w:cs="Times New Roman"/>
            </w:rPr>
            <w:fldChar w:fldCharType="begin"/>
          </w:r>
          <w:r>
            <w:rPr>
              <w:rFonts w:cs="Times New Roman"/>
            </w:rPr>
            <w:instrText xml:space="preserve"> PAGEREF _Toc60765175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2"/>
            <w:tabs>
              <w:tab w:val="left" w:pos="660"/>
              <w:tab w:val="right" w:leader="dot" w:pos="10250"/>
            </w:tabs>
            <w:rPr>
              <w:rFonts w:cs="Times New Roman" w:eastAsiaTheme="minorEastAsia"/>
              <w:sz w:val="22"/>
            </w:rPr>
          </w:pPr>
          <w:r>
            <w:fldChar w:fldCharType="begin"/>
          </w:r>
          <w:r>
            <w:instrText xml:space="preserve"> HYPERLINK \l "_Toc60765176" </w:instrText>
          </w:r>
          <w:r>
            <w:fldChar w:fldCharType="separate"/>
          </w:r>
          <w:r>
            <w:rPr>
              <w:rStyle w:val="14"/>
              <w:rFonts w:cs="Times New Roman"/>
            </w:rPr>
            <w:t>III.</w:t>
          </w:r>
          <w:r>
            <w:rPr>
              <w:rFonts w:cs="Times New Roman" w:eastAsiaTheme="minorEastAsia"/>
              <w:sz w:val="22"/>
            </w:rPr>
            <w:tab/>
          </w:r>
          <w:r>
            <w:rPr>
              <w:rStyle w:val="14"/>
              <w:rFonts w:cs="Times New Roman"/>
            </w:rPr>
            <w:t>References</w:t>
          </w:r>
          <w:r>
            <w:rPr>
              <w:rFonts w:cs="Times New Roman"/>
            </w:rPr>
            <w:tab/>
          </w:r>
          <w:r>
            <w:rPr>
              <w:rFonts w:cs="Times New Roman"/>
            </w:rPr>
            <w:fldChar w:fldCharType="begin"/>
          </w:r>
          <w:r>
            <w:rPr>
              <w:rFonts w:cs="Times New Roman"/>
            </w:rPr>
            <w:instrText xml:space="preserve"> PAGEREF _Toc60765176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r>
            <w:rPr>
              <w:rFonts w:cs="Times New Roman"/>
              <w:b/>
              <w:bCs/>
            </w:rPr>
            <w:fldChar w:fldCharType="end"/>
          </w:r>
        </w:p>
      </w:sdtContent>
    </w:sdt>
    <w:p>
      <w:pPr>
        <w:rPr>
          <w:rFonts w:eastAsia="Times New Roman" w:cs="Times New Roman"/>
          <w:szCs w:val="24"/>
        </w:rPr>
      </w:pPr>
    </w:p>
    <w:p>
      <w:pPr>
        <w:jc w:val="center"/>
        <w:rPr>
          <w:rFonts w:eastAsia="Times New Roman" w:cs="Times New Roman"/>
          <w:b/>
          <w:sz w:val="28"/>
          <w:szCs w:val="28"/>
        </w:rPr>
      </w:pPr>
      <w:r>
        <w:rPr>
          <w:rFonts w:eastAsia="Times New Roman" w:cs="Times New Roman"/>
          <w:b/>
          <w:sz w:val="28"/>
          <w:szCs w:val="28"/>
        </w:rPr>
        <w:t>Table of Figures :</w:t>
      </w:r>
    </w:p>
    <w:p>
      <w:pPr>
        <w:pStyle w:val="10"/>
        <w:tabs>
          <w:tab w:val="right" w:leader="dot" w:pos="10250"/>
        </w:tabs>
      </w:pPr>
      <w:r>
        <w:rPr>
          <w:rFonts w:eastAsia="Times New Roman" w:cs="Times New Roman"/>
          <w:szCs w:val="24"/>
        </w:rPr>
        <w:fldChar w:fldCharType="begin"/>
      </w:r>
      <w:r>
        <w:rPr>
          <w:rFonts w:eastAsia="Times New Roman" w:cs="Times New Roman"/>
          <w:szCs w:val="24"/>
        </w:rPr>
        <w:instrText xml:space="preserve"> TOC \h \z \c "Figure" </w:instrText>
      </w:r>
      <w:r>
        <w:rPr>
          <w:rFonts w:eastAsia="Times New Roman" w:cs="Times New Roman"/>
          <w:szCs w:val="24"/>
        </w:rPr>
        <w:fldChar w:fldCharType="separate"/>
      </w:r>
      <w:r>
        <w:fldChar w:fldCharType="begin"/>
      </w:r>
      <w:r>
        <w:instrText xml:space="preserve"> HYPERLINK \l "_Toc60765280" </w:instrText>
      </w:r>
      <w:r>
        <w:fldChar w:fldCharType="separate"/>
      </w:r>
      <w:r>
        <w:rPr>
          <w:rStyle w:val="14"/>
        </w:rPr>
        <w:t>Figure 1: Question 1</w:t>
      </w:r>
      <w:r>
        <w:tab/>
      </w:r>
      <w:r>
        <w:fldChar w:fldCharType="begin"/>
      </w:r>
      <w:r>
        <w:instrText xml:space="preserve"> PAGEREF _Toc60765280 \h </w:instrText>
      </w:r>
      <w:r>
        <w:fldChar w:fldCharType="separate"/>
      </w:r>
      <w:r>
        <w:t>4</w:t>
      </w:r>
      <w:r>
        <w:fldChar w:fldCharType="end"/>
      </w:r>
      <w:r>
        <w:fldChar w:fldCharType="end"/>
      </w:r>
    </w:p>
    <w:p>
      <w:pPr>
        <w:pStyle w:val="10"/>
        <w:tabs>
          <w:tab w:val="right" w:leader="dot" w:pos="10250"/>
        </w:tabs>
      </w:pPr>
      <w:r>
        <w:fldChar w:fldCharType="begin"/>
      </w:r>
      <w:r>
        <w:instrText xml:space="preserve"> HYPERLINK \l "_Toc60765281" </w:instrText>
      </w:r>
      <w:r>
        <w:fldChar w:fldCharType="separate"/>
      </w:r>
      <w:r>
        <w:rPr>
          <w:rStyle w:val="14"/>
        </w:rPr>
        <w:t>Figure 2:Question 2</w:t>
      </w:r>
      <w:r>
        <w:tab/>
      </w:r>
      <w:r>
        <w:fldChar w:fldCharType="begin"/>
      </w:r>
      <w:r>
        <w:instrText xml:space="preserve"> PAGEREF _Toc60765281 \h </w:instrText>
      </w:r>
      <w:r>
        <w:fldChar w:fldCharType="separate"/>
      </w:r>
      <w:r>
        <w:t>4</w:t>
      </w:r>
      <w:r>
        <w:fldChar w:fldCharType="end"/>
      </w:r>
      <w:r>
        <w:fldChar w:fldCharType="end"/>
      </w:r>
    </w:p>
    <w:p>
      <w:pPr>
        <w:pStyle w:val="10"/>
        <w:tabs>
          <w:tab w:val="right" w:leader="dot" w:pos="10250"/>
        </w:tabs>
      </w:pPr>
      <w:r>
        <w:fldChar w:fldCharType="begin"/>
      </w:r>
      <w:r>
        <w:instrText xml:space="preserve"> HYPERLINK \l "_Toc60765282" </w:instrText>
      </w:r>
      <w:r>
        <w:fldChar w:fldCharType="separate"/>
      </w:r>
      <w:r>
        <w:rPr>
          <w:rStyle w:val="14"/>
        </w:rPr>
        <w:t>Figure 3:Question 3</w:t>
      </w:r>
      <w:r>
        <w:tab/>
      </w:r>
      <w:r>
        <w:fldChar w:fldCharType="begin"/>
      </w:r>
      <w:r>
        <w:instrText xml:space="preserve"> PAGEREF _Toc60765282 \h </w:instrText>
      </w:r>
      <w:r>
        <w:fldChar w:fldCharType="separate"/>
      </w:r>
      <w:r>
        <w:t>5</w:t>
      </w:r>
      <w:r>
        <w:fldChar w:fldCharType="end"/>
      </w:r>
      <w:r>
        <w:fldChar w:fldCharType="end"/>
      </w:r>
    </w:p>
    <w:p>
      <w:pPr>
        <w:pStyle w:val="10"/>
        <w:tabs>
          <w:tab w:val="right" w:leader="dot" w:pos="10250"/>
        </w:tabs>
      </w:pPr>
      <w:r>
        <w:fldChar w:fldCharType="begin"/>
      </w:r>
      <w:r>
        <w:instrText xml:space="preserve"> HYPERLINK \l "_Toc60765283" </w:instrText>
      </w:r>
      <w:r>
        <w:fldChar w:fldCharType="separate"/>
      </w:r>
      <w:r>
        <w:rPr>
          <w:rStyle w:val="14"/>
        </w:rPr>
        <w:t>Figure 4:Question 4</w:t>
      </w:r>
      <w:r>
        <w:tab/>
      </w:r>
      <w:r>
        <w:fldChar w:fldCharType="begin"/>
      </w:r>
      <w:r>
        <w:instrText xml:space="preserve"> PAGEREF _Toc60765283 \h </w:instrText>
      </w:r>
      <w:r>
        <w:fldChar w:fldCharType="separate"/>
      </w:r>
      <w:r>
        <w:t>5</w:t>
      </w:r>
      <w:r>
        <w:fldChar w:fldCharType="end"/>
      </w:r>
      <w:r>
        <w:fldChar w:fldCharType="end"/>
      </w:r>
    </w:p>
    <w:p>
      <w:pPr>
        <w:pStyle w:val="10"/>
        <w:tabs>
          <w:tab w:val="right" w:leader="dot" w:pos="10250"/>
        </w:tabs>
      </w:pPr>
      <w:r>
        <w:fldChar w:fldCharType="begin"/>
      </w:r>
      <w:r>
        <w:instrText xml:space="preserve"> HYPERLINK \l "_Toc60765284" </w:instrText>
      </w:r>
      <w:r>
        <w:fldChar w:fldCharType="separate"/>
      </w:r>
      <w:r>
        <w:rPr>
          <w:rStyle w:val="14"/>
        </w:rPr>
        <w:t>Figure 5: Question 5</w:t>
      </w:r>
      <w:r>
        <w:tab/>
      </w:r>
      <w:r>
        <w:fldChar w:fldCharType="begin"/>
      </w:r>
      <w:r>
        <w:instrText xml:space="preserve"> PAGEREF _Toc60765284 \h </w:instrText>
      </w:r>
      <w:r>
        <w:fldChar w:fldCharType="separate"/>
      </w:r>
      <w:r>
        <w:t>6</w:t>
      </w:r>
      <w:r>
        <w:fldChar w:fldCharType="end"/>
      </w:r>
      <w:r>
        <w:fldChar w:fldCharType="end"/>
      </w:r>
    </w:p>
    <w:p>
      <w:pPr>
        <w:pStyle w:val="10"/>
        <w:tabs>
          <w:tab w:val="right" w:leader="dot" w:pos="10250"/>
        </w:tabs>
      </w:pPr>
      <w:r>
        <w:fldChar w:fldCharType="begin"/>
      </w:r>
      <w:r>
        <w:instrText xml:space="preserve"> HYPERLINK \l "_Toc60765285" </w:instrText>
      </w:r>
      <w:r>
        <w:fldChar w:fldCharType="separate"/>
      </w:r>
      <w:r>
        <w:rPr>
          <w:rStyle w:val="14"/>
        </w:rPr>
        <w:t>Figure 6:feedbacks</w:t>
      </w:r>
      <w:r>
        <w:tab/>
      </w:r>
      <w:r>
        <w:fldChar w:fldCharType="begin"/>
      </w:r>
      <w:r>
        <w:instrText xml:space="preserve"> PAGEREF _Toc60765285 \h </w:instrText>
      </w:r>
      <w:r>
        <w:fldChar w:fldCharType="separate"/>
      </w:r>
      <w:r>
        <w:t>6</w:t>
      </w:r>
      <w:r>
        <w:fldChar w:fldCharType="end"/>
      </w:r>
      <w:r>
        <w:fldChar w:fldCharType="end"/>
      </w:r>
    </w:p>
    <w:p>
      <w:pPr>
        <w:rPr>
          <w:rFonts w:eastAsia="Times New Roman" w:cs="Times New Roman"/>
          <w:szCs w:val="24"/>
        </w:rPr>
      </w:pPr>
      <w:r>
        <w:rPr>
          <w:rFonts w:eastAsia="Times New Roman" w:cs="Times New Roman"/>
          <w:szCs w:val="24"/>
        </w:rPr>
        <w:fldChar w:fldCharType="end"/>
      </w: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pStyle w:val="2"/>
        <w:numPr>
          <w:ilvl w:val="0"/>
          <w:numId w:val="1"/>
        </w:numPr>
        <w:rPr>
          <w:rFonts w:cs="Times New Roman"/>
        </w:rPr>
      </w:pPr>
      <w:bookmarkStart w:id="1" w:name="_Toc60765174"/>
      <w:r>
        <w:rPr>
          <w:rFonts w:cs="Times New Roman"/>
        </w:rPr>
        <w:t>Review feedbacks</w:t>
      </w:r>
      <w:bookmarkEnd w:id="1"/>
    </w:p>
    <w:p>
      <w:r>
        <w:t>To take feedbacks and comments from viewers, I create Google Form to survey them.</w:t>
      </w:r>
    </w:p>
    <w:p>
      <w:pPr>
        <w:rPr>
          <w:rFonts w:cs="Times New Roman"/>
        </w:rPr>
      </w:pPr>
      <w:r>
        <w:rPr>
          <w:rFonts w:cs="Times New Roman"/>
        </w:rPr>
        <w:t>Base on the data that was taken from Survey Online ( Google form ), I have analysis:</w:t>
      </w:r>
    </w:p>
    <w:p>
      <w:pPr>
        <w:keepNext/>
        <w:jc w:val="center"/>
      </w:pPr>
      <w:r>
        <w:drawing>
          <wp:inline distT="0" distB="0" distL="0" distR="0">
            <wp:extent cx="49606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60620" cy="1965960"/>
                    </a:xfrm>
                    <a:prstGeom prst="rect">
                      <a:avLst/>
                    </a:prstGeom>
                    <a:noFill/>
                    <a:ln>
                      <a:noFill/>
                    </a:ln>
                  </pic:spPr>
                </pic:pic>
              </a:graphicData>
            </a:graphic>
          </wp:inline>
        </w:drawing>
      </w:r>
    </w:p>
    <w:p>
      <w:pPr>
        <w:pStyle w:val="8"/>
        <w:jc w:val="center"/>
      </w:pPr>
      <w:bookmarkStart w:id="2" w:name="_Toc60765280"/>
      <w:r>
        <w:t xml:space="preserve">Figure </w:t>
      </w:r>
      <w:r>
        <w:fldChar w:fldCharType="begin"/>
      </w:r>
      <w:r>
        <w:instrText xml:space="preserve"> SEQ Figure \* ARABIC </w:instrText>
      </w:r>
      <w:r>
        <w:fldChar w:fldCharType="separate"/>
      </w:r>
      <w:r>
        <w:t>1</w:t>
      </w:r>
      <w:r>
        <w:fldChar w:fldCharType="end"/>
      </w:r>
      <w:r>
        <w:t>: Question 1</w:t>
      </w:r>
      <w:bookmarkEnd w:id="2"/>
    </w:p>
    <w:p>
      <w:r>
        <w:t>55.6% of people think the BI knowledge we present is very good and 44.4% think it is good.</w:t>
      </w:r>
    </w:p>
    <w:p>
      <w:pPr>
        <w:keepNext/>
        <w:jc w:val="center"/>
      </w:pPr>
      <w:r>
        <w:drawing>
          <wp:inline distT="0" distB="0" distL="0" distR="0">
            <wp:extent cx="5189220" cy="198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189220" cy="1988820"/>
                    </a:xfrm>
                    <a:prstGeom prst="rect">
                      <a:avLst/>
                    </a:prstGeom>
                    <a:noFill/>
                    <a:ln>
                      <a:noFill/>
                    </a:ln>
                  </pic:spPr>
                </pic:pic>
              </a:graphicData>
            </a:graphic>
          </wp:inline>
        </w:drawing>
      </w:r>
    </w:p>
    <w:p>
      <w:pPr>
        <w:pStyle w:val="8"/>
        <w:jc w:val="center"/>
      </w:pPr>
      <w:bookmarkStart w:id="3" w:name="_Toc60765281"/>
      <w:r>
        <w:t xml:space="preserve">Figure </w:t>
      </w:r>
      <w:r>
        <w:fldChar w:fldCharType="begin"/>
      </w:r>
      <w:r>
        <w:instrText xml:space="preserve"> SEQ Figure \* ARABIC </w:instrText>
      </w:r>
      <w:r>
        <w:fldChar w:fldCharType="separate"/>
      </w:r>
      <w:r>
        <w:t>2</w:t>
      </w:r>
      <w:r>
        <w:fldChar w:fldCharType="end"/>
      </w:r>
      <w:r>
        <w:t>:Question 2</w:t>
      </w:r>
      <w:bookmarkEnd w:id="3"/>
    </w:p>
    <w:p/>
    <w:p>
      <w:r>
        <w:t>33.3% of people think the data we clean up in python is very good and 66.7% think it is good.</w:t>
      </w:r>
    </w:p>
    <w:p>
      <w:pPr>
        <w:keepNext/>
        <w:jc w:val="center"/>
      </w:pPr>
      <w:r>
        <w:drawing>
          <wp:inline distT="0" distB="0" distL="0" distR="0">
            <wp:extent cx="4945380" cy="2026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45380" cy="2026920"/>
                    </a:xfrm>
                    <a:prstGeom prst="rect">
                      <a:avLst/>
                    </a:prstGeom>
                    <a:noFill/>
                    <a:ln>
                      <a:noFill/>
                    </a:ln>
                  </pic:spPr>
                </pic:pic>
              </a:graphicData>
            </a:graphic>
          </wp:inline>
        </w:drawing>
      </w:r>
    </w:p>
    <w:p>
      <w:pPr>
        <w:pStyle w:val="8"/>
        <w:jc w:val="center"/>
      </w:pPr>
      <w:bookmarkStart w:id="4" w:name="_Toc60765282"/>
      <w:r>
        <w:t xml:space="preserve">Figure </w:t>
      </w:r>
      <w:r>
        <w:fldChar w:fldCharType="begin"/>
      </w:r>
      <w:r>
        <w:instrText xml:space="preserve"> SEQ Figure \* ARABIC </w:instrText>
      </w:r>
      <w:r>
        <w:fldChar w:fldCharType="separate"/>
      </w:r>
      <w:r>
        <w:t>3</w:t>
      </w:r>
      <w:r>
        <w:fldChar w:fldCharType="end"/>
      </w:r>
      <w:r>
        <w:t>:Question 3</w:t>
      </w:r>
      <w:bookmarkEnd w:id="4"/>
    </w:p>
    <w:p>
      <w:r>
        <w:t>55.6% of people think our cleaning process is very good and 44.4% think it is good.</w:t>
      </w:r>
    </w:p>
    <w:p>
      <w:pPr>
        <w:keepNext/>
        <w:jc w:val="center"/>
      </w:pPr>
      <w:r>
        <w:drawing>
          <wp:inline distT="0" distB="0" distL="0" distR="0">
            <wp:extent cx="4930140" cy="2026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30140" cy="2026920"/>
                    </a:xfrm>
                    <a:prstGeom prst="rect">
                      <a:avLst/>
                    </a:prstGeom>
                    <a:noFill/>
                    <a:ln>
                      <a:noFill/>
                    </a:ln>
                  </pic:spPr>
                </pic:pic>
              </a:graphicData>
            </a:graphic>
          </wp:inline>
        </w:drawing>
      </w:r>
    </w:p>
    <w:p>
      <w:pPr>
        <w:pStyle w:val="8"/>
        <w:jc w:val="center"/>
      </w:pPr>
      <w:bookmarkStart w:id="5" w:name="_Toc60765283"/>
      <w:r>
        <w:t xml:space="preserve">Figure </w:t>
      </w:r>
      <w:r>
        <w:fldChar w:fldCharType="begin"/>
      </w:r>
      <w:r>
        <w:instrText xml:space="preserve"> SEQ Figure \* ARABIC </w:instrText>
      </w:r>
      <w:r>
        <w:fldChar w:fldCharType="separate"/>
      </w:r>
      <w:r>
        <w:t>4</w:t>
      </w:r>
      <w:r>
        <w:fldChar w:fldCharType="end"/>
      </w:r>
      <w:r>
        <w:t>:Question 4</w:t>
      </w:r>
      <w:bookmarkEnd w:id="5"/>
    </w:p>
    <w:p>
      <w:r>
        <w:t>44.4% of people think that the graph that represents the data through the tableu is very good and 55.6% think it is good.</w:t>
      </w:r>
    </w:p>
    <w:p/>
    <w:p>
      <w:pPr>
        <w:keepNext/>
        <w:jc w:val="center"/>
      </w:pPr>
      <w:r>
        <w:drawing>
          <wp:inline distT="0" distB="0" distL="0" distR="0">
            <wp:extent cx="5006340" cy="2148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06340" cy="2148840"/>
                    </a:xfrm>
                    <a:prstGeom prst="rect">
                      <a:avLst/>
                    </a:prstGeom>
                    <a:noFill/>
                    <a:ln>
                      <a:noFill/>
                    </a:ln>
                  </pic:spPr>
                </pic:pic>
              </a:graphicData>
            </a:graphic>
          </wp:inline>
        </w:drawing>
      </w:r>
    </w:p>
    <w:p>
      <w:pPr>
        <w:pStyle w:val="8"/>
        <w:jc w:val="center"/>
      </w:pPr>
      <w:bookmarkStart w:id="6" w:name="_Toc60765284"/>
      <w:r>
        <w:t xml:space="preserve">Figure </w:t>
      </w:r>
      <w:r>
        <w:fldChar w:fldCharType="begin"/>
      </w:r>
      <w:r>
        <w:instrText xml:space="preserve"> SEQ Figure \* ARABIC </w:instrText>
      </w:r>
      <w:r>
        <w:fldChar w:fldCharType="separate"/>
      </w:r>
      <w:r>
        <w:t>5</w:t>
      </w:r>
      <w:r>
        <w:fldChar w:fldCharType="end"/>
      </w:r>
      <w:r>
        <w:t>: Question 5</w:t>
      </w:r>
      <w:bookmarkEnd w:id="6"/>
    </w:p>
    <w:p>
      <w:r>
        <w:t>11.1% rated the group presentation as 3/5, 66.7% rated the group presentation as 4/5, and 22.2% rated the group presentation as 5/5.</w:t>
      </w:r>
    </w:p>
    <w:p>
      <w:r>
        <w:t>Through surveys we found we gave a successful presentation.</w:t>
      </w:r>
    </w:p>
    <w:p>
      <w:pPr>
        <w:keepNext/>
        <w:jc w:val="center"/>
      </w:pPr>
      <w:r>
        <w:drawing>
          <wp:inline distT="0" distB="0" distL="0" distR="0">
            <wp:extent cx="5158740" cy="2225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8740" cy="2225040"/>
                    </a:xfrm>
                    <a:prstGeom prst="rect">
                      <a:avLst/>
                    </a:prstGeom>
                    <a:noFill/>
                    <a:ln>
                      <a:noFill/>
                    </a:ln>
                  </pic:spPr>
                </pic:pic>
              </a:graphicData>
            </a:graphic>
          </wp:inline>
        </w:drawing>
      </w:r>
    </w:p>
    <w:p>
      <w:pPr>
        <w:pStyle w:val="8"/>
        <w:jc w:val="center"/>
      </w:pPr>
      <w:bookmarkStart w:id="7" w:name="_Toc60765285"/>
      <w:r>
        <w:t xml:space="preserve">Figure </w:t>
      </w:r>
      <w:r>
        <w:fldChar w:fldCharType="begin"/>
      </w:r>
      <w:r>
        <w:instrText xml:space="preserve"> SEQ Figure \* ARABIC </w:instrText>
      </w:r>
      <w:r>
        <w:fldChar w:fldCharType="separate"/>
      </w:r>
      <w:r>
        <w:t>6</w:t>
      </w:r>
      <w:r>
        <w:fldChar w:fldCharType="end"/>
      </w:r>
      <w:r>
        <w:t>:feedbacks</w:t>
      </w:r>
      <w:bookmarkEnd w:id="7"/>
    </w:p>
    <w:p>
      <w:pPr>
        <w:rPr>
          <w:b/>
        </w:rPr>
      </w:pPr>
      <w:r>
        <w:rPr>
          <w:b/>
        </w:rPr>
        <w:t>Problems:</w:t>
      </w:r>
    </w:p>
    <w:p>
      <w:r>
        <w:t>On dashboard 1, when searching data about gym, only gym-only people are found, and not those who have exercised, yoga, etc.</w:t>
      </w:r>
    </w:p>
    <w:p>
      <w:r>
        <w:t>There are some data that have not been applied yet, so they need to be included in the table for further analysis.</w:t>
      </w:r>
    </w:p>
    <w:p/>
    <w:p>
      <w:pPr>
        <w:rPr>
          <w:b/>
        </w:rPr>
      </w:pPr>
      <w:r>
        <w:rPr>
          <w:b/>
        </w:rPr>
        <w:t>Solution problems:</w:t>
      </w:r>
    </w:p>
    <w:p>
      <w:r>
        <w:t>We will use filter method in column (What form (s) of exercise do you currently participate in?) with the word gym in the answer all print out.</w:t>
      </w:r>
    </w:p>
    <w:p>
      <w:r>
        <w:t>We will research more on this issue.</w:t>
      </w:r>
    </w:p>
    <w:p/>
    <w:p>
      <w:pPr>
        <w:rPr>
          <w:b/>
        </w:rPr>
      </w:pPr>
      <w:r>
        <w:rPr>
          <w:b/>
        </w:rPr>
        <w:t>Improvements in the future:</w:t>
      </w:r>
    </w:p>
    <w:p>
      <w:r>
        <w:t>- We will find more relationships between data to be able to open a new fitness related to increase revenue.</w:t>
      </w:r>
    </w:p>
    <w:p>
      <w:r>
        <w:t>- We add questions about the customer's buying frequency so that we can find potential customers.</w:t>
      </w:r>
    </w:p>
    <w:p>
      <w:r>
        <w:t>- We will create more charts of best-selling products to increase the revenue of best-selling products</w:t>
      </w:r>
    </w:p>
    <w:p>
      <w:pPr>
        <w:rPr>
          <w:rFonts w:cs="Times New Roman"/>
        </w:rPr>
      </w:pPr>
    </w:p>
    <w:p>
      <w:pPr>
        <w:pStyle w:val="2"/>
        <w:numPr>
          <w:ilvl w:val="0"/>
          <w:numId w:val="1"/>
        </w:numPr>
        <w:rPr>
          <w:rFonts w:cs="Times New Roman"/>
        </w:rPr>
      </w:pPr>
      <w:bookmarkStart w:id="8" w:name="_Toc60765175"/>
      <w:r>
        <w:rPr>
          <w:rFonts w:cs="Times New Roman"/>
        </w:rPr>
        <w:t>The legal issues</w:t>
      </w:r>
      <w:bookmarkEnd w:id="8"/>
    </w:p>
    <w:p>
      <w:pPr>
        <w:spacing w:line="360" w:lineRule="auto"/>
        <w:rPr>
          <w:rFonts w:cs="Times New Roman"/>
          <w:szCs w:val="24"/>
        </w:rPr>
      </w:pPr>
      <w:r>
        <w:rPr>
          <w:rFonts w:cs="Times New Roman"/>
          <w:szCs w:val="24"/>
        </w:rPr>
        <w:t>Corporate legal departments have reclaimed from their law firms control of legal matters. As legal departments institute increasingly creative alternative fee arrangements to predict and control costs, they need objective data in order to negotiate rates. On the flip side of the coin, so too must law firms tap into actionable BI in order to assess factors such as trends in their historical billing rates, hours billed, etc. While legal departments may hold the reins in this relationship, firms must still engage in rational calculus to determine at which levels of service and compensation they can afford to be engaged, if at all.</w:t>
      </w:r>
    </w:p>
    <w:p>
      <w:pPr>
        <w:spacing w:line="360" w:lineRule="auto"/>
        <w:rPr>
          <w:rFonts w:cs="Times New Roman"/>
          <w:szCs w:val="24"/>
        </w:rPr>
      </w:pPr>
    </w:p>
    <w:p>
      <w:pPr>
        <w:spacing w:line="360" w:lineRule="auto"/>
        <w:rPr>
          <w:rFonts w:cs="Times New Roman"/>
          <w:szCs w:val="24"/>
        </w:rPr>
      </w:pPr>
      <w:r>
        <w:rPr>
          <w:rFonts w:cs="Times New Roman"/>
          <w:szCs w:val="24"/>
        </w:rPr>
        <w:t>Actionable BI leads to strategic decisions. Legal departments are better able to assess and manage risky matters. They can compare how effective individual attorneys are compared to colleagues in the same firm, as well as on an inter-firm basis. To the most effective go future spoils.</w:t>
      </w:r>
    </w:p>
    <w:p>
      <w:pPr>
        <w:spacing w:line="360" w:lineRule="auto"/>
        <w:rPr>
          <w:rFonts w:cs="Times New Roman"/>
          <w:szCs w:val="24"/>
        </w:rPr>
      </w:pPr>
    </w:p>
    <w:p>
      <w:pPr>
        <w:spacing w:line="360" w:lineRule="auto"/>
        <w:rPr>
          <w:rFonts w:cs="Times New Roman"/>
          <w:szCs w:val="24"/>
        </w:rPr>
      </w:pPr>
      <w:r>
        <w:rPr>
          <w:rFonts w:cs="Times New Roman"/>
          <w:szCs w:val="24"/>
        </w:rPr>
        <w:t>Legal departments have found that putting an e-billing and matter management system in place can save between five to 15 percent in legal fees solely by pre-screening invoices for accuracy and compliance with performance guidelines. As they learn to capitalize on the data-driven business intelligence solutions, legal departments have been able to drive savings of as much as 50 percent by making fully informed decisions data-driven outcomes.</w:t>
      </w:r>
    </w:p>
    <w:p>
      <w:pPr>
        <w:spacing w:line="360" w:lineRule="auto"/>
        <w:rPr>
          <w:rFonts w:cs="Times New Roman"/>
        </w:rPr>
      </w:pPr>
      <w:sdt>
        <w:sdtPr>
          <w:rPr>
            <w:rFonts w:cs="Times New Roman"/>
          </w:rPr>
          <w:id w:val="-1891574178"/>
        </w:sdtPr>
        <w:sdtEndPr>
          <w:rPr>
            <w:rFonts w:cs="Times New Roman"/>
          </w:rPr>
        </w:sdtEndPr>
        <w:sdtContent>
          <w:r>
            <w:rPr>
              <w:rFonts w:cs="Times New Roman"/>
            </w:rPr>
            <w:fldChar w:fldCharType="begin"/>
          </w:r>
          <w:r>
            <w:rPr>
              <w:rFonts w:cs="Times New Roman"/>
            </w:rPr>
            <w:instrText xml:space="preserve"> CITATION Ben11 \l 1033 </w:instrText>
          </w:r>
          <w:r>
            <w:rPr>
              <w:rFonts w:cs="Times New Roman"/>
            </w:rPr>
            <w:fldChar w:fldCharType="separate"/>
          </w:r>
          <w:r>
            <w:rPr>
              <w:rFonts w:cs="Times New Roman"/>
            </w:rPr>
            <w:t>(Kerschberg, 2011)</w:t>
          </w:r>
          <w:r>
            <w:rPr>
              <w:rFonts w:cs="Times New Roman"/>
            </w:rPr>
            <w:fldChar w:fldCharType="end"/>
          </w:r>
        </w:sdtContent>
      </w:sdt>
    </w:p>
    <w:p>
      <w:pPr>
        <w:spacing w:line="360" w:lineRule="auto"/>
        <w:rPr>
          <w:rFonts w:eastAsia="Times New Roman" w:cs="Times New Roman"/>
          <w:szCs w:val="24"/>
        </w:rPr>
      </w:pPr>
      <w:r>
        <w:rPr>
          <w:rFonts w:eastAsia="Times New Roman" w:cs="Times New Roman"/>
          <w:szCs w:val="24"/>
        </w:rPr>
        <w:t>General Counsel or chief legal officers increasingly play a strategic role in advising board decisions, proactively managing information governance and compliance, and managing legal risk. As in-house legal teams assume greater responsibility for their dockets and remove that authority from their outside counsel, they need to find faster ways to improve data transparency to support decisions. Just as their own corporations implement innovative IT solutions to manage business more effectively, many chief legal officers are taking on the role of change agent, innovating with technology solutions in legal operations.</w:t>
      </w:r>
    </w:p>
    <w:p>
      <w:pPr>
        <w:spacing w:line="360" w:lineRule="auto"/>
        <w:rPr>
          <w:rFonts w:eastAsia="Times New Roman" w:cs="Times New Roman"/>
          <w:szCs w:val="24"/>
        </w:rPr>
      </w:pPr>
      <w:r>
        <w:rPr>
          <w:rFonts w:eastAsia="Times New Roman" w:cs="Times New Roman"/>
          <w:szCs w:val="24"/>
        </w:rPr>
        <w:t xml:space="preserve">The flexible, high-performance legal operations they envision require a data-driven approach to decision-making, increasing demand for more complete solutions from law firms and other service providers. Corporate legal goals include greater use of technology tools, collection and analysis of management metrics, and project management training. </w:t>
      </w:r>
      <w:sdt>
        <w:sdtPr>
          <w:rPr>
            <w:rFonts w:eastAsia="Times New Roman" w:cs="Times New Roman"/>
            <w:szCs w:val="24"/>
          </w:rPr>
          <w:id w:val="-383558999"/>
        </w:sdtPr>
        <w:sdtEndPr>
          <w:rPr>
            <w:rFonts w:eastAsia="Times New Roman" w:cs="Times New Roman"/>
            <w:szCs w:val="24"/>
          </w:rPr>
        </w:sdtEndPr>
        <w:sdtContent>
          <w:r>
            <w:rPr>
              <w:rFonts w:eastAsia="Times New Roman" w:cs="Times New Roman"/>
              <w:szCs w:val="24"/>
            </w:rPr>
            <w:fldChar w:fldCharType="begin"/>
          </w:r>
          <w:r>
            <w:rPr>
              <w:rFonts w:eastAsia="Times New Roman" w:cs="Times New Roman"/>
              <w:szCs w:val="24"/>
            </w:rPr>
            <w:instrText xml:space="preserve"> CITATION SAM17 \l 1033 </w:instrText>
          </w:r>
          <w:r>
            <w:rPr>
              <w:rFonts w:eastAsia="Times New Roman" w:cs="Times New Roman"/>
              <w:szCs w:val="24"/>
            </w:rPr>
            <w:fldChar w:fldCharType="separate"/>
          </w:r>
          <w:r>
            <w:rPr>
              <w:rFonts w:eastAsia="Times New Roman" w:cs="Times New Roman"/>
              <w:szCs w:val="24"/>
            </w:rPr>
            <w:t>(CHI, 2017)</w:t>
          </w:r>
          <w:r>
            <w:rPr>
              <w:rFonts w:eastAsia="Times New Roman" w:cs="Times New Roman"/>
              <w:szCs w:val="24"/>
            </w:rPr>
            <w:fldChar w:fldCharType="end"/>
          </w:r>
        </w:sdtContent>
      </w:sdt>
    </w:p>
    <w:p>
      <w:pPr>
        <w:spacing w:line="360" w:lineRule="auto"/>
        <w:rPr>
          <w:rFonts w:eastAsia="Times New Roman" w:cs="Times New Roman"/>
          <w:szCs w:val="24"/>
        </w:rPr>
      </w:pPr>
    </w:p>
    <w:p>
      <w:pPr>
        <w:pStyle w:val="2"/>
        <w:numPr>
          <w:ilvl w:val="0"/>
          <w:numId w:val="1"/>
        </w:numPr>
        <w:ind w:left="1080" w:leftChars="0" w:hanging="720" w:firstLineChars="0"/>
      </w:pPr>
      <w:bookmarkStart w:id="9" w:name="_Toc60618120"/>
      <w:r>
        <w:t>Analysis Datasets_Design Dashboard</w:t>
      </w:r>
      <w:bookmarkEnd w:id="9"/>
    </w:p>
    <w:p>
      <w:pPr>
        <w:pStyle w:val="3"/>
        <w:numPr>
          <w:numId w:val="0"/>
        </w:numPr>
        <w:bidi w:val="0"/>
      </w:pPr>
      <w:bookmarkStart w:id="10" w:name="_Toc60618121"/>
      <w:r>
        <w:rPr>
          <w:rFonts w:hint="default"/>
          <w:lang w:val="en-US"/>
        </w:rPr>
        <w:t xml:space="preserve">3.1 </w:t>
      </w:r>
      <w:r>
        <w:t>Dashboard 1</w:t>
      </w:r>
      <w:bookmarkEnd w:id="10"/>
    </w:p>
    <w:p>
      <w:pPr>
        <w:pStyle w:val="4"/>
        <w:bidi w:val="0"/>
        <w:rPr>
          <w:rFonts w:hint="default"/>
          <w:lang w:val="en-US"/>
        </w:rPr>
      </w:pPr>
      <w:r>
        <w:rPr>
          <w:rFonts w:hint="default"/>
          <w:lang w:val="en-US"/>
        </w:rPr>
        <w:t>3.1.1 Customer personal information.</w:t>
      </w:r>
    </w:p>
    <w:p>
      <w:pPr>
        <w:spacing w:line="360" w:lineRule="auto"/>
        <w:rPr>
          <w:rFonts w:hint="default"/>
        </w:rPr>
      </w:pPr>
      <w:r>
        <w:rPr>
          <w:rFonts w:hint="default"/>
        </w:rPr>
        <w:t>This chart shows personal information for both men and women at all on the list. In the chart:</w:t>
      </w:r>
    </w:p>
    <w:p>
      <w:pPr>
        <w:numPr>
          <w:ilvl w:val="0"/>
          <w:numId w:val="2"/>
        </w:numPr>
        <w:spacing w:line="360" w:lineRule="auto"/>
        <w:ind w:left="420" w:leftChars="0" w:hanging="420" w:firstLineChars="0"/>
        <w:rPr>
          <w:rFonts w:hint="default"/>
        </w:rPr>
      </w:pPr>
      <w:r>
        <w:rPr>
          <w:rFonts w:hint="default"/>
        </w:rPr>
        <w:t>Blue color represents the female gender</w:t>
      </w:r>
    </w:p>
    <w:p>
      <w:pPr>
        <w:numPr>
          <w:ilvl w:val="0"/>
          <w:numId w:val="2"/>
        </w:numPr>
        <w:spacing w:line="360" w:lineRule="auto"/>
        <w:ind w:left="420" w:leftChars="0" w:hanging="420" w:firstLineChars="0"/>
        <w:rPr>
          <w:rFonts w:hint="default"/>
        </w:rPr>
      </w:pPr>
      <w:r>
        <w:rPr>
          <w:rFonts w:hint="default"/>
        </w:rPr>
        <w:t>Orange represents the male gender</w:t>
      </w:r>
    </w:p>
    <w:p>
      <w:pPr>
        <w:spacing w:line="360" w:lineRule="auto"/>
      </w:pPr>
      <w:r>
        <w:rPr>
          <w:rFonts w:hint="default"/>
        </w:rPr>
        <w:t>Through this chart, we can identify the client's name, gender, and age, besides we can also identify how that person participates in sports activities. From there, it is possible to filter and identify those who intend to go to the gym</w:t>
      </w:r>
    </w:p>
    <w:p/>
    <w:p>
      <w:pPr>
        <w:jc w:val="center"/>
      </w:pPr>
      <w:r>
        <w:drawing>
          <wp:inline distT="0" distB="0" distL="114300" distR="114300">
            <wp:extent cx="6511290" cy="3225800"/>
            <wp:effectExtent l="0" t="0" r="1143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6511290" cy="3225800"/>
                    </a:xfrm>
                    <a:prstGeom prst="rect">
                      <a:avLst/>
                    </a:prstGeom>
                    <a:noFill/>
                    <a:ln>
                      <a:noFill/>
                    </a:ln>
                  </pic:spPr>
                </pic:pic>
              </a:graphicData>
            </a:graphic>
          </wp:inline>
        </w:drawing>
      </w:r>
    </w:p>
    <w:p>
      <w:pPr>
        <w:pStyle w:val="8"/>
        <w:jc w:val="center"/>
        <w:rPr>
          <w:lang w:val="en-US"/>
        </w:rPr>
      </w:pPr>
      <w:r>
        <w:t xml:space="preserve">Figure </w:t>
      </w:r>
      <w:r>
        <w:fldChar w:fldCharType="begin"/>
      </w:r>
      <w:r>
        <w:instrText xml:space="preserve"> SEQ Figure \* ARABIC </w:instrText>
      </w:r>
      <w:r>
        <w:fldChar w:fldCharType="separate"/>
      </w:r>
      <w:r>
        <w:t>7</w:t>
      </w:r>
      <w:r>
        <w:fldChar w:fldCharType="end"/>
      </w:r>
      <w:r>
        <w:rPr>
          <w:lang w:val="en-US"/>
        </w:rPr>
        <w:t xml:space="preserve">:  </w:t>
      </w:r>
      <w:r>
        <w:rPr>
          <w:rFonts w:hint="default"/>
          <w:lang w:val="en-US"/>
        </w:rPr>
        <w:t>C</w:t>
      </w:r>
      <w:r>
        <w:rPr>
          <w:lang w:val="en-US"/>
        </w:rPr>
        <w:t>ustomer personal information.</w:t>
      </w:r>
    </w:p>
    <w:p>
      <w:pPr>
        <w:rPr>
          <w:lang w:val="en-US"/>
        </w:rPr>
      </w:pPr>
    </w:p>
    <w:p>
      <w:pPr>
        <w:pStyle w:val="4"/>
        <w:bidi w:val="0"/>
        <w:rPr>
          <w:lang w:val="en-US"/>
        </w:rPr>
      </w:pPr>
      <w:r>
        <w:rPr>
          <w:rFonts w:hint="default"/>
          <w:lang w:val="en-US"/>
        </w:rPr>
        <w:t>3.1.2 Health status of customers</w:t>
      </w:r>
    </w:p>
    <w:p>
      <w:pPr>
        <w:jc w:val="both"/>
        <w:rPr>
          <w:rFonts w:hint="default"/>
          <w:lang w:val="en-US"/>
        </w:rPr>
      </w:pPr>
      <w:r>
        <w:rPr>
          <w:rFonts w:hint="default"/>
          <w:lang w:val="en-US"/>
        </w:rPr>
        <w:t>This chart shows the health status of clients including male and female.</w:t>
      </w:r>
    </w:p>
    <w:p>
      <w:pPr>
        <w:numPr>
          <w:ilvl w:val="0"/>
          <w:numId w:val="2"/>
        </w:numPr>
        <w:ind w:left="420" w:leftChars="0" w:hanging="420" w:firstLineChars="0"/>
        <w:jc w:val="both"/>
        <w:rPr>
          <w:rFonts w:hint="default"/>
          <w:lang w:val="en-US"/>
        </w:rPr>
      </w:pPr>
      <w:r>
        <w:rPr>
          <w:rFonts w:hint="default"/>
          <w:lang w:val="en-US"/>
        </w:rPr>
        <w:t>Blue  represents “No” answer to a healthy diet</w:t>
      </w:r>
    </w:p>
    <w:p>
      <w:pPr>
        <w:numPr>
          <w:ilvl w:val="0"/>
          <w:numId w:val="2"/>
        </w:numPr>
        <w:ind w:left="420" w:leftChars="0" w:hanging="420" w:firstLineChars="0"/>
        <w:jc w:val="both"/>
        <w:rPr>
          <w:rFonts w:hint="default"/>
          <w:lang w:val="en-US"/>
        </w:rPr>
      </w:pPr>
      <w:r>
        <w:rPr>
          <w:rFonts w:hint="default"/>
          <w:lang w:val="en-US"/>
        </w:rPr>
        <w:t>Orange represents the “Not always” answer to having a healthy diet</w:t>
      </w:r>
    </w:p>
    <w:p>
      <w:pPr>
        <w:numPr>
          <w:ilvl w:val="0"/>
          <w:numId w:val="2"/>
        </w:numPr>
        <w:ind w:left="420" w:leftChars="0" w:hanging="420" w:firstLineChars="0"/>
        <w:jc w:val="both"/>
        <w:rPr>
          <w:rFonts w:hint="default"/>
          <w:lang w:val="en-US"/>
        </w:rPr>
      </w:pPr>
      <w:r>
        <w:rPr>
          <w:rFonts w:hint="default"/>
          <w:lang w:val="en-US"/>
        </w:rPr>
        <w:t>Green represents the answer to “Yes” in having a healthy diet</w:t>
      </w:r>
    </w:p>
    <w:p>
      <w:pPr>
        <w:jc w:val="both"/>
        <w:rPr>
          <w:rFonts w:hint="default"/>
          <w:lang w:val="en-US"/>
        </w:rPr>
      </w:pPr>
      <w:r>
        <w:rPr>
          <w:rFonts w:hint="default"/>
          <w:lang w:val="en-US"/>
        </w:rPr>
        <w:t>Through this chart, we can determine the health status of the customer to see how much they are in addition to how they are physically able to show the information. news needed</w:t>
      </w:r>
    </w:p>
    <w:p/>
    <w:p>
      <w:pPr>
        <w:jc w:val="center"/>
      </w:pPr>
      <w:r>
        <w:drawing>
          <wp:inline distT="0" distB="0" distL="114300" distR="114300">
            <wp:extent cx="6513195" cy="3194685"/>
            <wp:effectExtent l="0" t="0" r="9525"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6513195" cy="3194685"/>
                    </a:xfrm>
                    <a:prstGeom prst="rect">
                      <a:avLst/>
                    </a:prstGeom>
                    <a:noFill/>
                    <a:ln>
                      <a:noFill/>
                    </a:ln>
                  </pic:spPr>
                </pic:pic>
              </a:graphicData>
            </a:graphic>
          </wp:inline>
        </w:drawing>
      </w:r>
    </w:p>
    <w:p>
      <w:pPr>
        <w:pStyle w:val="8"/>
        <w:jc w:val="center"/>
        <w:rPr>
          <w:rFonts w:hint="default"/>
          <w:lang w:val="en-US"/>
        </w:rPr>
      </w:pPr>
      <w:r>
        <w:t xml:space="preserve">Figure </w:t>
      </w:r>
      <w:r>
        <w:fldChar w:fldCharType="begin"/>
      </w:r>
      <w:r>
        <w:instrText xml:space="preserve"> SEQ Figure \* ARABIC </w:instrText>
      </w:r>
      <w:r>
        <w:fldChar w:fldCharType="separate"/>
      </w:r>
      <w:r>
        <w:t>8</w:t>
      </w:r>
      <w:r>
        <w:fldChar w:fldCharType="end"/>
      </w:r>
      <w:r>
        <w:rPr>
          <w:lang w:val="en-US"/>
        </w:rPr>
        <w:t>: Health status of customers</w:t>
      </w:r>
    </w:p>
    <w:p>
      <w:pPr>
        <w:pStyle w:val="4"/>
        <w:bidi w:val="0"/>
        <w:rPr>
          <w:rFonts w:hint="default"/>
        </w:rPr>
      </w:pPr>
      <w:r>
        <w:rPr>
          <w:rFonts w:hint="default"/>
          <w:lang w:val="en-US"/>
        </w:rPr>
        <w:t xml:space="preserve">3.1.3 </w:t>
      </w:r>
      <w:r>
        <w:rPr>
          <w:rFonts w:hint="default"/>
        </w:rPr>
        <w:t>Exercise habits of customers</w:t>
      </w:r>
    </w:p>
    <w:p>
      <w:pPr>
        <w:rPr>
          <w:rFonts w:hint="default"/>
          <w:lang w:val="en-US"/>
        </w:rPr>
      </w:pPr>
      <w:r>
        <w:rPr>
          <w:rFonts w:hint="default"/>
          <w:lang w:val="en-US"/>
        </w:rPr>
        <w:t>In this chart, it will be more complicated because it will show 2 diagrams as "how often do you exercise?" with bar chart and “How long do you spend exercising per day?” with line chart style.</w:t>
      </w:r>
    </w:p>
    <w:p>
      <w:pPr>
        <w:numPr>
          <w:ilvl w:val="0"/>
          <w:numId w:val="2"/>
        </w:numPr>
        <w:ind w:left="420" w:leftChars="0" w:hanging="420" w:firstLineChars="0"/>
        <w:rPr>
          <w:rFonts w:hint="default"/>
          <w:lang w:val="en-US"/>
        </w:rPr>
      </w:pPr>
      <w:r>
        <w:rPr>
          <w:rFonts w:hint="default"/>
          <w:lang w:val="en-US"/>
        </w:rPr>
        <w:t>The brown color represents those who have an afternoon workout routine</w:t>
      </w:r>
    </w:p>
    <w:p>
      <w:pPr>
        <w:numPr>
          <w:ilvl w:val="0"/>
          <w:numId w:val="2"/>
        </w:numPr>
        <w:ind w:left="420" w:leftChars="0" w:hanging="420" w:firstLineChars="0"/>
        <w:rPr>
          <w:rFonts w:hint="default"/>
          <w:lang w:val="en-US"/>
        </w:rPr>
      </w:pPr>
      <w:r>
        <w:rPr>
          <w:rFonts w:hint="default"/>
          <w:lang w:val="en-US"/>
        </w:rPr>
        <w:t>Orange represents those who have an early morning routine</w:t>
      </w:r>
    </w:p>
    <w:p>
      <w:pPr>
        <w:numPr>
          <w:ilvl w:val="0"/>
          <w:numId w:val="2"/>
        </w:numPr>
        <w:ind w:left="420" w:leftChars="0" w:hanging="420" w:firstLineChars="0"/>
        <w:rPr>
          <w:rFonts w:hint="default"/>
          <w:lang w:val="en-US"/>
        </w:rPr>
      </w:pPr>
      <w:r>
        <w:rPr>
          <w:rFonts w:hint="default"/>
          <w:lang w:val="en-US"/>
        </w:rPr>
        <w:t>Pink represents people who have a habit of practicing at night</w:t>
      </w:r>
    </w:p>
    <w:p>
      <w:pPr>
        <w:numPr>
          <w:ilvl w:val="0"/>
          <w:numId w:val="2"/>
        </w:numPr>
        <w:ind w:left="420" w:leftChars="0" w:hanging="420" w:firstLineChars="0"/>
        <w:rPr>
          <w:rFonts w:hint="default"/>
          <w:lang w:val="en-US"/>
        </w:rPr>
      </w:pPr>
      <w:r>
        <w:rPr>
          <w:rFonts w:hint="default"/>
          <w:lang w:val="en-US"/>
        </w:rPr>
        <w:t>The blue line represents how long each household practices</w:t>
      </w:r>
    </w:p>
    <w:p>
      <w:pPr>
        <w:rPr>
          <w:rFonts w:hint="default"/>
          <w:lang w:val="en-US"/>
        </w:rPr>
      </w:pPr>
      <w:r>
        <w:rPr>
          <w:rFonts w:hint="default"/>
          <w:lang w:val="en-US"/>
        </w:rPr>
        <w:t>Through this chart, one can look at their training history and how intense a client's exercise intensity will lead to many company-changing decisions.</w:t>
      </w:r>
    </w:p>
    <w:p>
      <w:pPr>
        <w:jc w:val="center"/>
      </w:pPr>
      <w:r>
        <w:drawing>
          <wp:inline distT="0" distB="0" distL="114300" distR="114300">
            <wp:extent cx="5614670" cy="2763520"/>
            <wp:effectExtent l="0" t="0" r="8890" b="1016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5614670" cy="2763520"/>
                    </a:xfrm>
                    <a:prstGeom prst="rect">
                      <a:avLst/>
                    </a:prstGeom>
                    <a:noFill/>
                    <a:ln>
                      <a:noFill/>
                    </a:ln>
                  </pic:spPr>
                </pic:pic>
              </a:graphicData>
            </a:graphic>
          </wp:inline>
        </w:drawing>
      </w:r>
    </w:p>
    <w:p>
      <w:pPr>
        <w:pStyle w:val="8"/>
        <w:jc w:val="center"/>
        <w:rPr>
          <w:lang w:val="en-US"/>
        </w:rPr>
      </w:pPr>
      <w:r>
        <w:t xml:space="preserve">Figure </w:t>
      </w:r>
      <w:r>
        <w:fldChar w:fldCharType="begin"/>
      </w:r>
      <w:r>
        <w:instrText xml:space="preserve"> SEQ Figure \* ARABIC </w:instrText>
      </w:r>
      <w:r>
        <w:fldChar w:fldCharType="separate"/>
      </w:r>
      <w:r>
        <w:t>9</w:t>
      </w:r>
      <w:r>
        <w:fldChar w:fldCharType="end"/>
      </w:r>
      <w:r>
        <w:rPr>
          <w:lang w:val="en-US"/>
        </w:rPr>
        <w:t>: Exercise habits of customers</w:t>
      </w:r>
    </w:p>
    <w:p>
      <w:pPr>
        <w:pStyle w:val="4"/>
        <w:bidi w:val="0"/>
        <w:rPr>
          <w:rFonts w:hint="default"/>
          <w:lang w:val="en-US"/>
        </w:rPr>
      </w:pPr>
      <w:r>
        <w:rPr>
          <w:rFonts w:hint="default"/>
          <w:lang w:val="en-US"/>
        </w:rPr>
        <w:t>3.1.4 Evaluation Dashboard</w:t>
      </w:r>
    </w:p>
    <w:p>
      <w:pPr>
        <w:spacing w:line="360" w:lineRule="auto"/>
        <w:rPr>
          <w:rFonts w:hint="default" w:eastAsia="Times New Roman"/>
          <w:szCs w:val="24"/>
        </w:rPr>
      </w:pPr>
      <w:r>
        <w:rPr>
          <w:rFonts w:hint="default" w:eastAsia="Times New Roman"/>
          <w:szCs w:val="24"/>
        </w:rPr>
        <w:t>The dashboard aggregates everyone's data related to sports training and focus on those who work out. Besides, it will show information about each person, how they are in health and their training progress. From there, it is possible to come up with business strategies for the company and it motivates our company to take measures for those in need.</w:t>
      </w:r>
    </w:p>
    <w:p>
      <w:pPr>
        <w:spacing w:line="360" w:lineRule="auto"/>
        <w:rPr>
          <w:rFonts w:eastAsia="Times New Roman" w:cs="Times New Roman"/>
          <w:szCs w:val="24"/>
        </w:rPr>
      </w:pPr>
      <w:r>
        <w:rPr>
          <w:rFonts w:hint="default" w:eastAsia="Times New Roman"/>
          <w:szCs w:val="24"/>
        </w:rPr>
        <w:t>From this information, we can filter those with the same gym format to the same table to be able to track and provide analysis that affects the company.</w:t>
      </w:r>
    </w:p>
    <w:p>
      <w:pPr>
        <w:jc w:val="center"/>
      </w:pPr>
      <w:bookmarkStart w:id="12" w:name="_GoBack"/>
      <w:r>
        <w:drawing>
          <wp:inline distT="0" distB="0" distL="114300" distR="114300">
            <wp:extent cx="5187315" cy="2524125"/>
            <wp:effectExtent l="0" t="0" r="952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187315" cy="2524125"/>
                    </a:xfrm>
                    <a:prstGeom prst="rect">
                      <a:avLst/>
                    </a:prstGeom>
                    <a:noFill/>
                    <a:ln>
                      <a:noFill/>
                    </a:ln>
                  </pic:spPr>
                </pic:pic>
              </a:graphicData>
            </a:graphic>
          </wp:inline>
        </w:drawing>
      </w:r>
      <w:bookmarkEnd w:id="12"/>
    </w:p>
    <w:p>
      <w:pPr>
        <w:pStyle w:val="8"/>
        <w:jc w:val="center"/>
        <w:rPr>
          <w:rFonts w:hint="default"/>
          <w:lang w:val="en-US"/>
        </w:rPr>
      </w:pPr>
      <w:r>
        <w:t xml:space="preserve">Figure </w:t>
      </w:r>
      <w:r>
        <w:fldChar w:fldCharType="begin"/>
      </w:r>
      <w:r>
        <w:instrText xml:space="preserve"> SEQ Figure \* ARABIC </w:instrText>
      </w:r>
      <w:r>
        <w:fldChar w:fldCharType="separate"/>
      </w:r>
      <w:r>
        <w:t>10</w:t>
      </w:r>
      <w:r>
        <w:fldChar w:fldCharType="end"/>
      </w:r>
      <w:r>
        <w:rPr>
          <w:lang w:val="en-US"/>
        </w:rPr>
        <w:t>: Dashboard 1</w:t>
      </w: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pStyle w:val="2"/>
        <w:numPr>
          <w:ilvl w:val="0"/>
          <w:numId w:val="1"/>
        </w:numPr>
      </w:pPr>
      <w:bookmarkStart w:id="11" w:name="_Toc60765176"/>
      <w:r>
        <w:t>References</w:t>
      </w:r>
      <w:bookmarkEnd w:id="11"/>
    </w:p>
    <w:sdt>
      <w:sdtPr>
        <w:id w:val="1403947615"/>
        <w:docPartObj>
          <w:docPartGallery w:val="autotext"/>
        </w:docPartObj>
      </w:sdtPr>
      <w:sdtEndPr>
        <w:rPr>
          <w:b w:val="0"/>
          <w:color w:val="auto"/>
          <w:sz w:val="24"/>
          <w:szCs w:val="22"/>
        </w:rPr>
      </w:sdtEndPr>
      <w:sdtContent>
        <w:p>
          <w:pPr>
            <w:pStyle w:val="2"/>
            <w:jc w:val="left"/>
          </w:pPr>
        </w:p>
        <w:sdt>
          <w:sdtPr>
            <w:id w:val="-573587230"/>
          </w:sdtPr>
          <w:sdtContent>
            <w:p>
              <w:pPr>
                <w:pStyle w:val="21"/>
                <w:jc w:val="left"/>
                <w:rPr>
                  <w:szCs w:val="24"/>
                </w:rPr>
              </w:pPr>
              <w:r>
                <w:fldChar w:fldCharType="begin"/>
              </w:r>
              <w:r>
                <w:instrText xml:space="preserve"> BIBLIOGRAPHY </w:instrText>
              </w:r>
              <w:r>
                <w:fldChar w:fldCharType="separate"/>
              </w:r>
              <w:r>
                <w:t xml:space="preserve">CHI, S., 2017. </w:t>
              </w:r>
              <w:r>
                <w:rPr>
                  <w:i/>
                  <w:iCs/>
                </w:rPr>
                <w:t xml:space="preserve">LawPay. </w:t>
              </w:r>
              <w:r>
                <w:t xml:space="preserve">[Online] </w:t>
              </w:r>
              <w:r>
                <w:br w:type="textWrapping"/>
              </w:r>
              <w:r>
                <w:t xml:space="preserve">Available at: </w:t>
              </w:r>
              <w:r>
                <w:rPr>
                  <w:u w:val="single"/>
                </w:rPr>
                <w:t>https://www.lawpracticetoday.org/article/business-intelligence-better-legal-business-model/</w:t>
              </w:r>
            </w:p>
            <w:p>
              <w:pPr>
                <w:pStyle w:val="21"/>
                <w:jc w:val="left"/>
              </w:pPr>
              <w:r>
                <w:t xml:space="preserve">Kerschberg, B., 2011. </w:t>
              </w:r>
              <w:r>
                <w:rPr>
                  <w:i/>
                  <w:iCs/>
                </w:rPr>
                <w:t xml:space="preserve">Forbes. </w:t>
              </w:r>
              <w:r>
                <w:t xml:space="preserve">[Online] </w:t>
              </w:r>
              <w:r>
                <w:br w:type="textWrapping"/>
              </w:r>
              <w:r>
                <w:t xml:space="preserve">Available at: </w:t>
              </w:r>
              <w:r>
                <w:rPr>
                  <w:u w:val="single"/>
                </w:rPr>
                <w:t>https://www.forbes.com/sites/benkerschberg/2011/04/26/business-intelligence-and-legal-matter-management/?sh=771cbec22d3c</w:t>
              </w:r>
            </w:p>
            <w:p>
              <w:pPr>
                <w:jc w:val="left"/>
              </w:pPr>
              <w:r>
                <w:rPr>
                  <w:b/>
                  <w:bCs/>
                </w:rPr>
                <w:fldChar w:fldCharType="end"/>
              </w:r>
            </w:p>
          </w:sdtContent>
        </w:sdt>
      </w:sdtContent>
    </w:sdt>
    <w:p/>
    <w:sectPr>
      <w:pgSz w:w="12240" w:h="15840"/>
      <w:pgMar w:top="1440" w:right="1170" w:bottom="1440" w:left="810" w:header="720" w:footer="72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drawing>
        <wp:anchor distT="0" distB="0" distL="114300" distR="114300" simplePos="0" relativeHeight="251658240" behindDoc="0" locked="0" layoutInCell="1" allowOverlap="1">
          <wp:simplePos x="0" y="0"/>
          <wp:positionH relativeFrom="column">
            <wp:posOffset>6953250</wp:posOffset>
          </wp:positionH>
          <wp:positionV relativeFrom="paragraph">
            <wp:posOffset>-170815</wp:posOffset>
          </wp:positionV>
          <wp:extent cx="1504950" cy="457200"/>
          <wp:effectExtent l="0" t="0" r="0" b="0"/>
          <wp:wrapSquare wrapText="bothSides"/>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2"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0</wp:posOffset>
          </wp:positionH>
          <wp:positionV relativeFrom="paragraph">
            <wp:posOffset>-256540</wp:posOffset>
          </wp:positionV>
          <wp:extent cx="1171575" cy="67627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721710"/>
    <w:multiLevelType w:val="singleLevel"/>
    <w:tmpl w:val="CA721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89C31B7"/>
    <w:multiLevelType w:val="multilevel"/>
    <w:tmpl w:val="289C31B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41"/>
    <w:rsid w:val="00025AE3"/>
    <w:rsid w:val="00036DD7"/>
    <w:rsid w:val="00057270"/>
    <w:rsid w:val="0030125F"/>
    <w:rsid w:val="00324D41"/>
    <w:rsid w:val="00420B9D"/>
    <w:rsid w:val="00552556"/>
    <w:rsid w:val="00566867"/>
    <w:rsid w:val="007C3410"/>
    <w:rsid w:val="008064A9"/>
    <w:rsid w:val="00854124"/>
    <w:rsid w:val="008D7EE7"/>
    <w:rsid w:val="009E340E"/>
    <w:rsid w:val="00A326CD"/>
    <w:rsid w:val="00B27630"/>
    <w:rsid w:val="00C857B3"/>
    <w:rsid w:val="00F0613F"/>
    <w:rsid w:val="0ED56E4C"/>
    <w:rsid w:val="10DA22A5"/>
    <w:rsid w:val="177F7144"/>
    <w:rsid w:val="314D3034"/>
    <w:rsid w:val="328D7025"/>
    <w:rsid w:val="445052D2"/>
    <w:rsid w:val="45D974D9"/>
    <w:rsid w:val="4C144F84"/>
    <w:rsid w:val="5E13234E"/>
    <w:rsid w:val="7D3C0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Calibri" w:cs="Calibri"/>
      <w:sz w:val="24"/>
      <w:szCs w:val="22"/>
      <w:lang w:val="en-US" w:eastAsia="en-US" w:bidi="ar-SA"/>
    </w:rPr>
  </w:style>
  <w:style w:type="paragraph" w:styleId="2">
    <w:name w:val="heading 1"/>
    <w:basedOn w:val="1"/>
    <w:next w:val="1"/>
    <w:link w:val="20"/>
    <w:qFormat/>
    <w:uiPriority w:val="9"/>
    <w:pPr>
      <w:keepNext/>
      <w:keepLines/>
      <w:spacing w:before="480" w:after="120"/>
      <w:outlineLvl w:val="0"/>
    </w:pPr>
    <w:rPr>
      <w:b/>
      <w:color w:val="000000" w:themeColor="text1"/>
      <w:sz w:val="28"/>
      <w:szCs w:val="48"/>
      <w14:textFill>
        <w14:solidFill>
          <w14:schemeClr w14:val="tx1"/>
        </w14:solidFill>
      </w14:textFill>
    </w:rPr>
  </w:style>
  <w:style w:type="paragraph" w:styleId="3">
    <w:name w:val="heading 2"/>
    <w:basedOn w:val="1"/>
    <w:next w:val="1"/>
    <w:unhideWhenUsed/>
    <w:qFormat/>
    <w:uiPriority w:val="9"/>
    <w:pPr>
      <w:keepNext/>
      <w:keepLines/>
      <w:spacing w:before="360" w:after="80"/>
      <w:outlineLvl w:val="1"/>
    </w:pPr>
    <w:rPr>
      <w:rFonts w:eastAsia="Calibri"/>
      <w:b/>
      <w:color w:val="000000" w:themeColor="text1"/>
      <w:sz w:val="26"/>
      <w:szCs w:val="36"/>
      <w14:textFill>
        <w14:solidFill>
          <w14:schemeClr w14:val="tx1"/>
        </w14:solidFill>
      </w14:textFill>
    </w:rPr>
  </w:style>
  <w:style w:type="paragraph" w:styleId="4">
    <w:name w:val="heading 3"/>
    <w:basedOn w:val="1"/>
    <w:next w:val="1"/>
    <w:unhideWhenUsed/>
    <w:qFormat/>
    <w:uiPriority w:val="9"/>
    <w:pPr>
      <w:keepNext/>
      <w:keepLines/>
      <w:spacing w:before="280" w:after="80"/>
      <w:outlineLvl w:val="2"/>
    </w:pPr>
    <w:rPr>
      <w:rFonts w:eastAsia="Calibri"/>
      <w:b/>
      <w:sz w:val="24"/>
      <w:szCs w:val="28"/>
    </w:rPr>
  </w:style>
  <w:style w:type="paragraph" w:styleId="5">
    <w:name w:val="heading 4"/>
    <w:basedOn w:val="1"/>
    <w:next w:val="1"/>
    <w:semiHidden/>
    <w:unhideWhenUsed/>
    <w:qFormat/>
    <w:uiPriority w:val="9"/>
    <w:pPr>
      <w:keepNext/>
      <w:keepLines/>
      <w:spacing w:before="240" w:after="40"/>
      <w:outlineLvl w:val="3"/>
    </w:pPr>
    <w:rPr>
      <w:b/>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3">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9">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0">
    <w:name w:val="table of figures"/>
    <w:basedOn w:val="1"/>
    <w:next w:val="1"/>
    <w:unhideWhenUsed/>
    <w:qFormat/>
    <w:uiPriority w:val="99"/>
    <w:pPr>
      <w:spacing w:after="0"/>
    </w:pPr>
  </w:style>
  <w:style w:type="paragraph" w:styleId="11">
    <w:name w:val="Title"/>
    <w:basedOn w:val="1"/>
    <w:next w:val="1"/>
    <w:qFormat/>
    <w:uiPriority w:val="10"/>
    <w:pPr>
      <w:keepNext/>
      <w:keepLines/>
      <w:spacing w:before="480" w:after="120"/>
    </w:pPr>
    <w:rPr>
      <w:b/>
      <w:sz w:val="72"/>
      <w:szCs w:val="72"/>
    </w:rPr>
  </w:style>
  <w:style w:type="paragraph" w:styleId="12">
    <w:name w:val="toc 1"/>
    <w:basedOn w:val="1"/>
    <w:next w:val="1"/>
    <w:unhideWhenUsed/>
    <w:uiPriority w:val="39"/>
    <w:pPr>
      <w:spacing w:after="100"/>
    </w:pPr>
  </w:style>
  <w:style w:type="character" w:styleId="14">
    <w:name w:val="Hyperlink"/>
    <w:basedOn w:val="13"/>
    <w:unhideWhenUsed/>
    <w:uiPriority w:val="99"/>
    <w:rPr>
      <w:color w:val="0000FF" w:themeColor="hyperlink"/>
      <w:u w:val="single"/>
      <w14:textFill>
        <w14:solidFill>
          <w14:schemeClr w14:val="hlink"/>
        </w14:solidFill>
      </w14:textFill>
    </w:rPr>
  </w:style>
  <w:style w:type="table" w:customStyle="1" w:styleId="16">
    <w:name w:val="_Style 11"/>
    <w:basedOn w:val="15"/>
    <w:uiPriority w:val="0"/>
    <w:tblPr>
      <w:tblCellMar>
        <w:left w:w="115" w:type="dxa"/>
        <w:right w:w="115" w:type="dxa"/>
      </w:tblCellMar>
    </w:tblPr>
  </w:style>
  <w:style w:type="table" w:customStyle="1" w:styleId="17">
    <w:name w:val="_Style 12"/>
    <w:basedOn w:val="15"/>
    <w:uiPriority w:val="0"/>
    <w:pPr>
      <w:spacing w:after="0" w:line="240" w:lineRule="auto"/>
    </w:pPr>
  </w:style>
  <w:style w:type="table" w:customStyle="1" w:styleId="18">
    <w:name w:val="_Style 13"/>
    <w:basedOn w:val="15"/>
    <w:uiPriority w:val="0"/>
    <w:tblPr>
      <w:tblCellMar>
        <w:left w:w="0" w:type="dxa"/>
        <w:right w:w="0" w:type="dxa"/>
      </w:tblCellMar>
    </w:tblPr>
  </w:style>
  <w:style w:type="paragraph" w:customStyle="1" w:styleId="19">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val="0"/>
      <w:color w:val="376092" w:themeColor="accent1" w:themeShade="BF"/>
      <w:sz w:val="32"/>
      <w:szCs w:val="32"/>
    </w:rPr>
  </w:style>
  <w:style w:type="character" w:customStyle="1" w:styleId="20">
    <w:name w:val="Heading 1 Char"/>
    <w:basedOn w:val="13"/>
    <w:link w:val="2"/>
    <w:uiPriority w:val="9"/>
    <w:rPr>
      <w:rFonts w:ascii="Times New Roman" w:hAnsi="Times New Roman"/>
      <w:b/>
      <w:color w:val="000000" w:themeColor="text1"/>
      <w:sz w:val="28"/>
      <w:szCs w:val="48"/>
      <w14:textFill>
        <w14:solidFill>
          <w14:schemeClr w14:val="tx1"/>
        </w14:solidFill>
      </w14:textFill>
    </w:rPr>
  </w:style>
  <w:style w:type="paragraph" w:customStyle="1" w:styleId="21">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Ben11</b:Tag>
    <b:SourceType>InternetSite</b:SourceType>
    <b:Guid>{5255CDF3-ED99-4507-9E9D-B40B06AEF886}</b:Guid>
    <b:Title>Forbes</b:Title>
    <b:Year>2011</b:Year>
    <b:Author>
      <b:Author>
        <b:NameList>
          <b:Person>
            <b:Last>Kerschberg</b:Last>
            <b:First>Ben</b:First>
          </b:Person>
        </b:NameList>
      </b:Author>
    </b:Author>
    <b:URL>https://www.forbes.com/sites/benkerschberg/2011/04/26/business-intelligence-and-legal-matter-management/?sh=771cbec22d3c</b:URL>
    <b:RefOrder>1</b:RefOrder>
  </b:Source>
  <b:Source>
    <b:Tag>SAM17</b:Tag>
    <b:SourceType>InternetSite</b:SourceType>
    <b:Guid>{A9807399-9171-4D43-BE79-274749990D79}</b:Guid>
    <b:Author>
      <b:Author>
        <b:NameList>
          <b:Person>
            <b:Last>CHI</b:Last>
            <b:First>SAM</b:First>
          </b:Person>
        </b:NameList>
      </b:Author>
    </b:Author>
    <b:Title>LawPay</b:Title>
    <b:Year>2017</b:Year>
    <b:URL>https://www.lawpracticetoday.org/article/business-intelligence-better-legal-business-model/</b:URL>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A9BF3-53B5-4E1E-AC47-83E4589491F6}">
  <ds:schemaRefs/>
</ds:datastoreItem>
</file>

<file path=docProps/app.xml><?xml version="1.0" encoding="utf-8"?>
<Properties xmlns="http://schemas.openxmlformats.org/officeDocument/2006/extended-properties" xmlns:vt="http://schemas.openxmlformats.org/officeDocument/2006/docPropsVTypes">
  <Template>Normal</Template>
  <Pages>9</Pages>
  <Words>945</Words>
  <Characters>5393</Characters>
  <Lines>44</Lines>
  <Paragraphs>12</Paragraphs>
  <TotalTime>1</TotalTime>
  <ScaleCrop>false</ScaleCrop>
  <LinksUpToDate>false</LinksUpToDate>
  <CharactersWithSpaces>6326</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2019-08-15T04:44:00Z</dcterms:created>
  <dc:creator>Dungtam</dc:creator>
  <cp:lastModifiedBy>Sơn Dương Đức</cp:lastModifiedBy>
  <dcterms:modified xsi:type="dcterms:W3CDTF">2021-01-08T15:52:33Z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