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Rule="auto" w:line="312"/>
        <w:ind w:firstLine="0"/>
        <w:jc w:val="center"/>
      </w:pPr>
      <w:r>
        <w:rPr>
          <w:rFonts w:ascii="Times New Roman" w:hAnsi="Times New Roman" w:cs="Times New Roman" w:eastAsia="Times New Roman"/>
          <w:b/>
          <w:i w:val="0"/>
          <w:sz w:val="32"/>
        </w:rPr>
        <w:t>CÁC ĐỘ ĐO ĐÁNH GIÁ SỬ DỤNG TRONG ĐỀ TÀI</w:t>
      </w:r>
    </w:p>
    <w:p>
      <w:pPr>
        <w:spacing w:before="0" w:after="120" w:lineRule="auto" w:line="360"/>
        <w:ind w:firstLine="0"/>
        <w:jc w:val="center"/>
      </w:pPr>
      <w:r>
        <w:rPr>
          <w:rFonts w:ascii="Times New Roman" w:hAnsi="Times New Roman" w:cs="Times New Roman" w:eastAsia="Times New Roman"/>
          <w:b w:val="0"/>
          <w:i w:val="0"/>
          <w:sz w:val="26"/>
        </w:rPr>
        <w:t>Mô tả độ đo, cách tính và lý do lựa chọn cho hai giai đoạn của pipeline META-CXR</w:t>
      </w:r>
    </w:p>
    <w:p>
      <w:pPr>
        <w:spacing w:before="120" w:after="240" w:lineRule="auto" w:line="312"/>
        <w:ind w:firstLine="0"/>
        <w:jc w:val="center"/>
      </w:pPr>
      <w:r>
        <w:rPr>
          <w:rFonts w:ascii="Times New Roman" w:hAnsi="Times New Roman" w:cs="Times New Roman" w:eastAsia="Times New Roman"/>
          <w:b/>
          <w:i w:val="0"/>
          <w:sz w:val="28"/>
        </w:rPr>
        <w:t>PHẠM VI TÀI LIỆU</w:t>
      </w:r>
    </w:p>
    <w:p>
      <w:pPr>
        <w:spacing w:before="0" w:after="120" w:lineRule="auto" w:line="360"/>
        <w:ind w:firstLine="567"/>
        <w:jc w:val="both"/>
      </w:pPr>
      <w:r>
        <w:rPr>
          <w:rFonts w:ascii="Times New Roman" w:hAnsi="Times New Roman" w:cs="Times New Roman" w:eastAsia="Times New Roman"/>
          <w:b w:val="0"/>
          <w:i w:val="0"/>
          <w:sz w:val="26"/>
        </w:rPr>
        <w:t>Tài liệu này chỉ mô tả các độ đo mà đề tài dùng để đánh giá hai giai đoạn của pipeline: Giai đoạn 1 phân loại 14 bất thường trên ảnh X-quang ngực, và Giai đoạn 2 sinh phần FINDINGS của báo cáo. Với mỗi độ đo, tài liệu nêu đại lượng mà độ đo phản ánh, cách tính trong đề tài, lý do lựa chọn, và đối chiếu với bài báo META-CXR gốc [1]. Kết quả số chỉ được dùng khi cần minh họa lý do lựa chọn; kết quả đầy đủ nằm trong tài liệu đánh giá thực nghiệm riêng.</w:t>
      </w:r>
    </w:p>
    <w:p>
      <w:pPr>
        <w:spacing w:before="120" w:after="360" w:lineRule="auto" w:line="312"/>
        <w:ind w:firstLine="0"/>
        <w:jc w:val="center"/>
      </w:pPr>
      <w:r>
        <w:rPr>
          <w:rFonts w:ascii="Times New Roman" w:hAnsi="Times New Roman" w:cs="Times New Roman" w:eastAsia="Times New Roman"/>
          <w:b/>
          <w:i w:val="0"/>
          <w:sz w:val="28"/>
        </w:rPr>
        <w:t>CHƯƠNG 1. ĐỘ ĐO CHO GIAI ĐOẠN 1: PHÂN LOẠI BẤT THƯỜNG</w:t>
      </w:r>
    </w:p>
    <w:p>
      <w:pPr>
        <w:keepNext/>
        <w:spacing w:before="240" w:after="120" w:lineRule="auto" w:line="360"/>
        <w:ind w:firstLine="0"/>
        <w:jc w:val="left"/>
      </w:pPr>
      <w:r>
        <w:rPr>
          <w:rFonts w:ascii="Times New Roman" w:hAnsi="Times New Roman" w:cs="Times New Roman" w:eastAsia="Times New Roman"/>
          <w:b/>
          <w:i w:val="0"/>
          <w:sz w:val="26"/>
        </w:rPr>
        <w:t>1.1. Cách diễn giải nhãn trước khi tính độ đo</w:t>
      </w:r>
    </w:p>
    <w:p>
      <w:pPr>
        <w:spacing w:before="0" w:after="120" w:lineRule="auto" w:line="360"/>
        <w:ind w:firstLine="567"/>
        <w:jc w:val="both"/>
      </w:pPr>
      <w:r>
        <w:rPr>
          <w:rFonts w:ascii="Times New Roman" w:hAnsi="Times New Roman" w:cs="Times New Roman" w:eastAsia="Times New Roman"/>
          <w:b w:val="0"/>
          <w:i w:val="0"/>
          <w:sz w:val="26"/>
        </w:rPr>
        <w:t>Mỗi ô nhãn CheXpert có bốn trạng thái: dương tính, âm tính, không chắc chắn, và để trống khi báo cáo không nhắc tới bất thường đó [2]. Trên MIMIC-CXR-JPG, 79,4% số ô để trống. Vì vậy trước khi tính bất kỳ độ đo nào phải chọn câu hỏi mà độ đo trả lời, và đề tài ghi rõ lựa chọn này trong mọi tệp kết quả.</w:t>
      </w:r>
    </w:p>
    <w:p>
      <w:pPr>
        <w:spacing w:before="0" w:after="120" w:lineRule="auto" w:line="360"/>
        <w:ind w:firstLine="567"/>
        <w:jc w:val="both"/>
      </w:pPr>
      <w:r>
        <w:rPr>
          <w:rFonts w:ascii="Times New Roman" w:hAnsi="Times New Roman" w:cs="Times New Roman" w:eastAsia="Times New Roman"/>
          <w:b w:val="0"/>
          <w:i w:val="0"/>
          <w:sz w:val="26"/>
        </w:rPr>
        <w:t>Cách thứ nhất, gọi là phân cực có che (masked polarity), bỏ qua ô trống và chỉ hỏi phân cực của bất thường khi báo cáo đã nhắc tới nó. Đây là mẫu số đúng cho hàm mất mát phân loại ba lớp, nhưng là mẫu số sai cho F1: khi chỉ xét các ô được nhắc tới, dương tính chiếm đa số ở phần lớn bất thường, nên một bộ phân loại hằng số cũng đạt F1 cao. Cách thứ hai, gọi là hiện diện trong nghiên cứu (study presence), hỏi câu hỏi lâm sàng: nghiên cứu này có bất thường X hay không; ô trống, âm tính và không chắc chắn đều được coi là không có. Cách này trùng với chính sách U-Zeros của CheXpert [2] và với cách CheXclusion dùng khi đánh giá trên MIMIC-CXR [3].</w:t>
      </w:r>
    </w:p>
    <w:p>
      <w:pPr>
        <w:keepNext/>
        <w:spacing w:before="200" w:after="80" w:lineRule="auto" w:line="276"/>
        <w:ind w:firstLine="0"/>
        <w:jc w:val="center"/>
      </w:pPr>
      <w:r>
        <w:rPr>
          <w:rFonts w:ascii="Times New Roman" w:hAnsi="Times New Roman" w:cs="Times New Roman" w:eastAsia="Times New Roman"/>
          <w:b/>
          <w:i w:val="0"/>
          <w:sz w:val="24"/>
        </w:rPr>
        <w:t xml:space="preserve">Bảng 1.1. </w:t>
      </w:r>
      <w:r>
        <w:rPr>
          <w:rFonts w:ascii="Times New Roman" w:hAnsi="Times New Roman" w:cs="Times New Roman" w:eastAsia="Times New Roman"/>
          <w:b w:val="0"/>
          <w:i/>
          <w:sz w:val="24"/>
        </w:rPr>
        <w:t>F1 dương tính macro của mô hình và của các bộ phân loại hằng số dưới hai cách diễn giải (tập kiểm tra, 3.269 nghiên cứu)</w:t>
      </w:r>
    </w:p>
    <w:tbl>
      <w:tblPr>
        <w:tblStyle w:val="TableGrid"/>
        <w:tblW w:type="auto" w:w="0"/>
        <w:jc w:val="center"/>
        <w:tblLayout w:type="fixed"/>
        <w:tblLook w:firstColumn="1" w:firstRow="1" w:lastColumn="0" w:lastRow="0" w:noHBand="0" w:noVBand="1" w:val="04A0"/>
        <w:tblLayout w:type="fixed"/>
      </w:tblPr>
      <w:tblGrid>
        <w:gridCol w:w="4195"/>
        <w:gridCol w:w="2551"/>
        <w:gridCol w:w="2551"/>
      </w:tblGrid>
      <w:tr>
        <w:trPr>
          <w:cantSplit/>
          <w:tblHeader/>
        </w:trPr>
        <w:tc>
          <w:tcPr>
            <w:tcW w:type="dxa" w:w="4195"/>
            <w:shd w:val="clear" w:color="auto" w:fill="E7E6E6"/>
          </w:tcPr>
          <w:p>
            <w:pPr>
              <w:spacing w:before="20" w:after="20" w:lineRule="auto" w:line="240"/>
              <w:ind w:firstLine="0"/>
              <w:jc w:val="center"/>
            </w:pPr>
            <w:r/>
            <w:r>
              <w:rPr>
                <w:rFonts w:ascii="Times New Roman" w:hAnsi="Times New Roman" w:cs="Times New Roman" w:eastAsia="Times New Roman"/>
                <w:b/>
                <w:i w:val="0"/>
                <w:sz w:val="21"/>
              </w:rPr>
              <w:t>Bộ phân loại</w:t>
            </w:r>
          </w:p>
        </w:tc>
        <w:tc>
          <w:tcPr>
            <w:tcW w:type="dxa" w:w="2551"/>
            <w:shd w:val="clear" w:color="auto" w:fill="E7E6E6"/>
          </w:tcPr>
          <w:p>
            <w:pPr>
              <w:spacing w:before="20" w:after="20" w:lineRule="auto" w:line="240"/>
              <w:ind w:firstLine="0"/>
              <w:jc w:val="center"/>
            </w:pPr>
            <w:r/>
            <w:r>
              <w:rPr>
                <w:rFonts w:ascii="Times New Roman" w:hAnsi="Times New Roman" w:cs="Times New Roman" w:eastAsia="Times New Roman"/>
                <w:b/>
                <w:i w:val="0"/>
                <w:sz w:val="21"/>
              </w:rPr>
              <w:t>Phân cực có che</w:t>
            </w:r>
          </w:p>
        </w:tc>
        <w:tc>
          <w:tcPr>
            <w:tcW w:type="dxa" w:w="2551"/>
            <w:shd w:val="clear" w:color="auto" w:fill="E7E6E6"/>
          </w:tcPr>
          <w:p>
            <w:pPr>
              <w:spacing w:before="20" w:after="20" w:lineRule="auto" w:line="240"/>
              <w:ind w:firstLine="0"/>
              <w:jc w:val="center"/>
            </w:pPr>
            <w:r/>
            <w:r>
              <w:rPr>
                <w:rFonts w:ascii="Times New Roman" w:hAnsi="Times New Roman" w:cs="Times New Roman" w:eastAsia="Times New Roman"/>
                <w:b/>
                <w:i w:val="0"/>
                <w:sz w:val="21"/>
              </w:rPr>
              <w:t>Hiện diện trong nghiên cứu</w:t>
            </w:r>
          </w:p>
        </w:tc>
      </w:tr>
      <w:tr>
        <w:trPr>
          <w:cantSplit/>
        </w:trPr>
        <w:tc>
          <w:tcPr>
            <w:tcW w:type="dxa" w:w="4195"/>
          </w:tcPr>
          <w:p>
            <w:pPr>
              <w:spacing w:before="20" w:after="20" w:lineRule="auto" w:line="240"/>
              <w:ind w:firstLine="0"/>
              <w:jc w:val="left"/>
            </w:pPr>
            <w:r/>
            <w:r>
              <w:rPr>
                <w:rFonts w:ascii="Times New Roman" w:hAnsi="Times New Roman" w:cs="Times New Roman" w:eastAsia="Times New Roman"/>
                <w:b w:val="0"/>
                <w:i w:val="0"/>
                <w:sz w:val="21"/>
              </w:rPr>
              <w:t>Mô hình của đề tài</w:t>
            </w:r>
          </w:p>
        </w:tc>
        <w:tc>
          <w:tcPr>
            <w:tcW w:type="dxa" w:w="2551"/>
          </w:tcPr>
          <w:p>
            <w:pPr>
              <w:spacing w:before="20" w:after="20" w:lineRule="auto" w:line="240"/>
              <w:ind w:firstLine="0"/>
              <w:jc w:val="center"/>
            </w:pPr>
            <w:r/>
            <w:r>
              <w:rPr>
                <w:rFonts w:ascii="Times New Roman" w:hAnsi="Times New Roman" w:cs="Times New Roman" w:eastAsia="Times New Roman"/>
                <w:b w:val="0"/>
                <w:i w:val="0"/>
                <w:sz w:val="21"/>
              </w:rPr>
              <w:t>0,8864</w:t>
            </w:r>
          </w:p>
        </w:tc>
        <w:tc>
          <w:tcPr>
            <w:tcW w:type="dxa" w:w="2551"/>
          </w:tcPr>
          <w:p>
            <w:pPr>
              <w:spacing w:before="20" w:after="20" w:lineRule="auto" w:line="240"/>
              <w:ind w:firstLine="0"/>
              <w:jc w:val="center"/>
            </w:pPr>
            <w:r/>
            <w:r>
              <w:rPr>
                <w:rFonts w:ascii="Times New Roman" w:hAnsi="Times New Roman" w:cs="Times New Roman" w:eastAsia="Times New Roman"/>
                <w:b w:val="0"/>
                <w:i w:val="0"/>
                <w:sz w:val="21"/>
              </w:rPr>
              <w:t>0,3542</w:t>
            </w:r>
          </w:p>
        </w:tc>
      </w:tr>
      <w:tr>
        <w:trPr>
          <w:cantSplit/>
        </w:trPr>
        <w:tc>
          <w:tcPr>
            <w:tcW w:type="dxa" w:w="4195"/>
          </w:tcPr>
          <w:p>
            <w:pPr>
              <w:spacing w:before="20" w:after="20" w:lineRule="auto" w:line="240"/>
              <w:ind w:firstLine="0"/>
              <w:jc w:val="left"/>
            </w:pPr>
            <w:r/>
            <w:r>
              <w:rPr>
                <w:rFonts w:ascii="Times New Roman" w:hAnsi="Times New Roman" w:cs="Times New Roman" w:eastAsia="Times New Roman"/>
                <w:b w:val="0"/>
                <w:i w:val="0"/>
                <w:sz w:val="21"/>
              </w:rPr>
              <w:t>Luôn dự đoán dương tính</w:t>
            </w:r>
          </w:p>
        </w:tc>
        <w:tc>
          <w:tcPr>
            <w:tcW w:type="dxa" w:w="2551"/>
          </w:tcPr>
          <w:p>
            <w:pPr>
              <w:spacing w:before="20" w:after="20" w:lineRule="auto" w:line="240"/>
              <w:ind w:firstLine="0"/>
              <w:jc w:val="center"/>
            </w:pPr>
            <w:r/>
            <w:r>
              <w:rPr>
                <w:rFonts w:ascii="Times New Roman" w:hAnsi="Times New Roman" w:cs="Times New Roman" w:eastAsia="Times New Roman"/>
                <w:b w:val="0"/>
                <w:i w:val="0"/>
                <w:sz w:val="21"/>
              </w:rPr>
              <w:t>0,8397</w:t>
            </w:r>
          </w:p>
        </w:tc>
        <w:tc>
          <w:tcPr>
            <w:tcW w:type="dxa" w:w="2551"/>
          </w:tcPr>
          <w:p>
            <w:pPr>
              <w:spacing w:before="20" w:after="20" w:lineRule="auto" w:line="240"/>
              <w:ind w:firstLine="0"/>
              <w:jc w:val="center"/>
            </w:pPr>
            <w:r/>
            <w:r>
              <w:rPr>
                <w:rFonts w:ascii="Times New Roman" w:hAnsi="Times New Roman" w:cs="Times New Roman" w:eastAsia="Times New Roman"/>
                <w:b w:val="0"/>
                <w:i w:val="0"/>
                <w:sz w:val="21"/>
              </w:rPr>
              <w:t>0,2280</w:t>
            </w:r>
          </w:p>
        </w:tc>
      </w:tr>
      <w:tr>
        <w:trPr>
          <w:cantSplit/>
        </w:trPr>
        <w:tc>
          <w:tcPr>
            <w:tcW w:type="dxa" w:w="4195"/>
          </w:tcPr>
          <w:p>
            <w:pPr>
              <w:spacing w:before="20" w:after="20" w:lineRule="auto" w:line="240"/>
              <w:ind w:firstLine="0"/>
              <w:jc w:val="left"/>
            </w:pPr>
            <w:r/>
            <w:r>
              <w:rPr>
                <w:rFonts w:ascii="Times New Roman" w:hAnsi="Times New Roman" w:cs="Times New Roman" w:eastAsia="Times New Roman"/>
                <w:b w:val="0"/>
                <w:i w:val="0"/>
                <w:sz w:val="21"/>
              </w:rPr>
              <w:t>Dự đoán lớp đa số của từng nhãn</w:t>
            </w:r>
          </w:p>
        </w:tc>
        <w:tc>
          <w:tcPr>
            <w:tcW w:type="dxa" w:w="2551"/>
          </w:tcPr>
          <w:p>
            <w:pPr>
              <w:spacing w:before="20" w:after="20" w:lineRule="auto" w:line="240"/>
              <w:ind w:firstLine="0"/>
              <w:jc w:val="center"/>
            </w:pPr>
            <w:r/>
            <w:r>
              <w:rPr>
                <w:rFonts w:ascii="Times New Roman" w:hAnsi="Times New Roman" w:cs="Times New Roman" w:eastAsia="Times New Roman"/>
                <w:b w:val="0"/>
                <w:i w:val="0"/>
                <w:sz w:val="21"/>
              </w:rPr>
              <w:t>0,8200</w:t>
            </w:r>
          </w:p>
        </w:tc>
        <w:tc>
          <w:tcPr>
            <w:tcW w:type="dxa" w:w="2551"/>
          </w:tcPr>
          <w:p>
            <w:pPr>
              <w:spacing w:before="20" w:after="20" w:lineRule="auto" w:line="240"/>
              <w:ind w:firstLine="0"/>
              <w:jc w:val="center"/>
            </w:pPr>
            <w:r/>
            <w:r>
              <w:rPr>
                <w:rFonts w:ascii="Times New Roman" w:hAnsi="Times New Roman" w:cs="Times New Roman" w:eastAsia="Times New Roman"/>
                <w:b w:val="0"/>
                <w:i w:val="0"/>
                <w:sz w:val="21"/>
              </w:rPr>
              <w:t>0,0000</w:t>
            </w:r>
          </w:p>
        </w:tc>
      </w:tr>
    </w:tbl>
    <w:p>
      <w:pPr>
        <w:spacing w:before="40" w:after="200" w:lineRule="auto" w:line="276"/>
        <w:ind w:firstLine="0"/>
        <w:jc w:val="both"/>
      </w:pPr>
      <w:r>
        <w:rPr>
          <w:rFonts w:ascii="Times New Roman" w:hAnsi="Times New Roman" w:cs="Times New Roman" w:eastAsia="Times New Roman"/>
          <w:b w:val="0"/>
          <w:i/>
          <w:sz w:val="22"/>
        </w:rPr>
        <w:t>Cùng một tệp dự đoán, chỉ khác cách diễn giải nhãn. Ngưỡng được hiệu chuẩn trên tập kiểm định với cùng cách diễn giải.</w:t>
      </w:r>
    </w:p>
    <w:p>
      <w:pPr>
        <w:spacing w:before="0" w:after="120" w:lineRule="auto" w:line="360"/>
        <w:ind w:firstLine="567"/>
        <w:jc w:val="both"/>
      </w:pPr>
      <w:r>
        <w:rPr>
          <w:rFonts w:ascii="Times New Roman" w:hAnsi="Times New Roman" w:cs="Times New Roman" w:eastAsia="Times New Roman"/>
          <w:b w:val="0"/>
          <w:i w:val="0"/>
          <w:sz w:val="26"/>
        </w:rPr>
        <w:t>Dưới phân cực có che, bộ phân loại luôn dự đoán dương tính đạt 0,8397, chỉ thấp hơn mô hình 0,0468. Dưới hiện diện trong nghiên cứu, cả hai bộ phân loại hằng số rơi xuống mức thấp và khoảng cách với mô hình phản ánh đúng năng lực của mô hình. Đề tài vì vậy chỉ báo cáo F1, độ chính xác, độ nhạy và độ đặc hiệu dưới cách diễn giải hiện diện trong nghiên cứu.</w:t>
      </w:r>
    </w:p>
    <w:p>
      <w:pPr>
        <w:spacing w:before="0" w:after="120" w:lineRule="auto" w:line="360"/>
        <w:ind w:firstLine="567"/>
        <w:jc w:val="both"/>
      </w:pPr>
      <w:r>
        <w:rPr>
          <w:rFonts w:ascii="Times New Roman" w:hAnsi="Times New Roman" w:cs="Times New Roman" w:eastAsia="Times New Roman"/>
          <w:b w:val="0"/>
          <w:i w:val="0"/>
          <w:sz w:val="26"/>
        </w:rPr>
        <w:t>Bài báo gốc coi ô trống là âm tính (mục III-A của [1]) và báo cáo độ chính xác, độ nhạy, F1 trung bình cho bài toán ba lớp dương tính, âm tính, không chắc chắn. Bài báo không nêu kiểu trung bình trong bảng kết quả chính, còn nghiên cứu cắt bỏ số token chuyên gia ghi là trung bình có trọng số (mục IV-D.4 của [1]). Vì cách diễn giải nhãn và cách lấy trung bình khác nhau, các con số F1 của hai công trình không so sánh trực tiếp được.</w:t>
      </w:r>
    </w:p>
    <w:p>
      <w:pPr>
        <w:keepNext/>
        <w:spacing w:before="240" w:after="120" w:lineRule="auto" w:line="360"/>
        <w:ind w:firstLine="0"/>
        <w:jc w:val="left"/>
      </w:pPr>
      <w:r>
        <w:rPr>
          <w:rFonts w:ascii="Times New Roman" w:hAnsi="Times New Roman" w:cs="Times New Roman" w:eastAsia="Times New Roman"/>
          <w:b/>
          <w:i w:val="0"/>
          <w:sz w:val="26"/>
        </w:rPr>
        <w:t>1.2. Diện tích dưới đường cong ROC</w:t>
      </w:r>
    </w:p>
    <w:p>
      <w:pPr>
        <w:spacing w:before="0" w:after="120" w:lineRule="auto" w:line="360"/>
        <w:ind w:firstLine="567"/>
        <w:jc w:val="both"/>
      </w:pPr>
      <w:r>
        <w:rPr>
          <w:rFonts w:ascii="Times New Roman" w:hAnsi="Times New Roman" w:cs="Times New Roman" w:eastAsia="Times New Roman"/>
          <w:b w:val="0"/>
          <w:i w:val="0"/>
          <w:sz w:val="26"/>
        </w:rPr>
        <w:t>AUROC đo xác suất mô hình xếp một nghiên cứu có bất thường cao hơn một nghiên cứu không có bất thường, trên mọi ngưỡng quyết định [4], [5]. Đề tài tính AUROC riêng cho từng nhãn rồi báo cáo hai dạng tổng hợp. AUROC macro là trung bình AUROC của các nhãn, mỗi nhãn một trọng số như nhau, nên phản ánh khả năng phân biệt của từng bất thường kể cả bất thường hiếm. AUROC micro gộp mọi cặp nghiên cứu và nhãn vào một bảng xếp hạng chung, nên nhạy với việc điểm số của các nhãn khác nhau có cùng thang đo hay không.</w:t>
      </w:r>
    </w:p>
    <w:p>
      <w:pPr>
        <w:spacing w:before="0" w:after="120" w:lineRule="auto" w:line="360"/>
        <w:ind w:firstLine="567"/>
        <w:jc w:val="both"/>
      </w:pPr>
      <w:r>
        <w:rPr>
          <w:rFonts w:ascii="Times New Roman" w:hAnsi="Times New Roman" w:cs="Times New Roman" w:eastAsia="Times New Roman"/>
          <w:b w:val="0"/>
          <w:i w:val="0"/>
          <w:sz w:val="26"/>
        </w:rPr>
        <w:t>Lý do chọn AUROC làm độ đo chính của Giai đoạn 1 là nó không phụ thuộc ngưỡng và không đổi khi tỉ lệ bệnh thay đổi, nên tách được năng lực phân biệt khỏi cách chọn điểm hoạt động. Việc báo cáo cả hai dạng là có chủ đích: trong thực nghiệm của đề tài, hàm mất mát phân cấp làm AUROC micro tăng có ý nghĩa thống kê (+0,0273) trong khi AUROC macro không tăng có ý nghĩa (+0,0047). Chỉ nhìn AUROC micro sẽ nhầm một cải thiện về hiệu chuẩn giữa các nhãn thành một cải thiện về khả năng phân biệt. Bài báo gốc có vẽ đường cong ROC cho từng lớp nhưng không báo cáo AUROC tổng hợp trên MIMIC-CXR.</w:t>
      </w:r>
    </w:p>
    <w:p>
      <w:pPr>
        <w:keepNext/>
        <w:spacing w:before="240" w:after="120" w:lineRule="auto" w:line="360"/>
        <w:ind w:firstLine="0"/>
        <w:jc w:val="left"/>
      </w:pPr>
      <w:r>
        <w:rPr>
          <w:rFonts w:ascii="Times New Roman" w:hAnsi="Times New Roman" w:cs="Times New Roman" w:eastAsia="Times New Roman"/>
          <w:b/>
          <w:i w:val="0"/>
          <w:sz w:val="26"/>
        </w:rPr>
        <w:t>1.3. Diện tích dưới đường cong độ chính xác và độ nhạy</w:t>
      </w:r>
    </w:p>
    <w:p>
      <w:pPr>
        <w:spacing w:before="0" w:after="120" w:lineRule="auto" w:line="360"/>
        <w:ind w:firstLine="567"/>
        <w:jc w:val="both"/>
      </w:pPr>
      <w:r>
        <w:rPr>
          <w:rFonts w:ascii="Times New Roman" w:hAnsi="Times New Roman" w:cs="Times New Roman" w:eastAsia="Times New Roman"/>
          <w:b w:val="0"/>
          <w:i w:val="0"/>
          <w:sz w:val="26"/>
        </w:rPr>
        <w:t>AUPRC macro là trung bình diện tích dưới đường cong độ chính xác theo độ nhạy của các nhãn. Khi lớp dương tính hiếm, AUROC có thể cao dù phần lớn các dự đoán dương tính là sai, còn đường cong độ chính xác và độ nhạy phản ánh trực tiếp chi phí của các báo động giả [6]. Dưới cách diễn giải hiện diện trong nghiên cứu, tỉ lệ dương tính của các nhãn chỉ khoảng 2% đến 34%, nên AUPRC là độ đo bổ sung cần thiết cho AUROC. Giá trị tham chiếu của AUPRC với một bộ phân loại ngẫu nhiên bằng tỉ lệ dương tính của nhãn, nên AUPRC luôn được đọc cùng tỉ lệ này.</w:t>
      </w:r>
    </w:p>
    <w:p>
      <w:pPr>
        <w:keepNext/>
        <w:spacing w:before="240" w:after="120" w:lineRule="auto" w:line="360"/>
        <w:ind w:firstLine="0"/>
        <w:jc w:val="left"/>
      </w:pPr>
      <w:r>
        <w:rPr>
          <w:rFonts w:ascii="Times New Roman" w:hAnsi="Times New Roman" w:cs="Times New Roman" w:eastAsia="Times New Roman"/>
          <w:b/>
          <w:i w:val="0"/>
          <w:sz w:val="26"/>
        </w:rPr>
        <w:t>1.4. Độ chính xác, độ nhạy, F1 và độ đặc hiệu tại ngưỡng đã hiệu chuẩn</w:t>
      </w:r>
    </w:p>
    <w:p>
      <w:pPr>
        <w:spacing w:before="0" w:after="120" w:lineRule="auto" w:line="360"/>
        <w:ind w:firstLine="567"/>
        <w:jc w:val="both"/>
      </w:pPr>
      <w:r>
        <w:rPr>
          <w:rFonts w:ascii="Times New Roman" w:hAnsi="Times New Roman" w:cs="Times New Roman" w:eastAsia="Times New Roman"/>
          <w:b w:val="0"/>
          <w:i w:val="0"/>
          <w:sz w:val="26"/>
        </w:rPr>
        <w:t>Các độ đo phụ thuộc ngưỡng mô tả điểm hoạt động thực tế khi mô hình phải đưa ra quyết định có hoặc không. Đề tài báo cáo F1 dương tính macro cùng độ chính xác và độ nhạy tương ứng, và độ đặc hiệu macro để thấy mô hình có đang đổi độ đặc hiệu lấy độ nhạy hay không. Hai điểm trong cách tính quyết định giá trị các độ đo này.</w:t>
      </w:r>
    </w:p>
    <w:p>
      <w:pPr>
        <w:spacing w:before="0" w:after="120" w:lineRule="auto" w:line="360"/>
        <w:ind w:firstLine="567"/>
        <w:jc w:val="both"/>
      </w:pPr>
      <w:r>
        <w:rPr>
          <w:rFonts w:ascii="Times New Roman" w:hAnsi="Times New Roman" w:cs="Times New Roman" w:eastAsia="Times New Roman"/>
          <w:b w:val="0"/>
          <w:i w:val="0"/>
          <w:sz w:val="26"/>
        </w:rPr>
        <w:t>Thứ nhất, ngưỡng của từng nhãn chỉ được chọn trên tập kiểm định rồi áp dụng một lần lên tập kiểm tra. Đề tài chọn ngưỡng tối đa hóa F1 theo hướng dẫn của Lipton và cộng sự [7], nhưng thay vì đứng tại đỉnh, ngưỡng được đặt ở trung vị của vùng các ngưỡng đạt ít nhất 95% F1 cực đại, vì đỉnh trên 1.808 nghiên cứu kiểm định chịu ảnh hưởng của vài nghiên cứu tình cờ nằm quanh nó. Nhãn cần ít nhất 5 mẫu dương tính trong tập kiểm định để được hiệu chuẩn; với ngưỡng tối thiểu 20, hai nhãn hiếm bị gán ngưỡng cố định 0,5, và việc hạ ngưỡng tối thiểu xuống 5 làm F1 macro thay đổi +0,0181, khoảng tin cậy [+0,0140; +0,0227].</w:t>
      </w:r>
    </w:p>
    <w:p>
      <w:pPr>
        <w:spacing w:before="0" w:after="120" w:lineRule="auto" w:line="360"/>
        <w:ind w:firstLine="567"/>
        <w:jc w:val="both"/>
      </w:pPr>
      <w:r>
        <w:rPr>
          <w:rFonts w:ascii="Times New Roman" w:hAnsi="Times New Roman" w:cs="Times New Roman" w:eastAsia="Times New Roman"/>
          <w:b w:val="0"/>
          <w:i w:val="0"/>
          <w:sz w:val="26"/>
        </w:rPr>
        <w:t>Thứ hai, điểm số dùng để so với ngưỡng là xác suất hiện diện, bằng xác suất bất thường được nhắc tới nhân với xác suất dương tính khi được nhắc tới. Cách chấm này tương ứng đúng với câu hỏi hiện diện trong nghiên cứu. Bài báo gốc chọn ngưỡng tại điểm trên đường cong ROC gần góc trên bên trái nhất (mục V-C của [1]), một biến thể của chỉ số Youden [8], và không nêu ngưỡng được chọn trên tập nào.</w:t>
      </w:r>
    </w:p>
    <w:p>
      <w:pPr>
        <w:keepNext/>
        <w:spacing w:before="240" w:after="120" w:lineRule="auto" w:line="360"/>
        <w:ind w:firstLine="0"/>
        <w:jc w:val="left"/>
      </w:pPr>
      <w:r>
        <w:rPr>
          <w:rFonts w:ascii="Times New Roman" w:hAnsi="Times New Roman" w:cs="Times New Roman" w:eastAsia="Times New Roman"/>
          <w:b/>
          <w:i w:val="0"/>
          <w:sz w:val="26"/>
        </w:rPr>
        <w:t>1.5. Khoảng tin cậy bootstrap ghép cặp</w:t>
      </w:r>
    </w:p>
    <w:p>
      <w:pPr>
        <w:spacing w:before="0" w:after="120" w:lineRule="auto" w:line="360"/>
        <w:ind w:firstLine="567"/>
        <w:jc w:val="both"/>
      </w:pPr>
      <w:r>
        <w:rPr>
          <w:rFonts w:ascii="Times New Roman" w:hAnsi="Times New Roman" w:cs="Times New Roman" w:eastAsia="Times New Roman"/>
          <w:b w:val="0"/>
          <w:i w:val="0"/>
          <w:sz w:val="26"/>
        </w:rPr>
        <w:t>Mọi so sánh giữa hai cấu hình được thực hiện trên cùng một tập nghiên cứu và báo cáo kèm khoảng tin cậy 95% bằng bootstrap theo nghiên cứu [9]: mỗi lần lặp lấy mẫu có hoàn lại các nghiên cứu, tính độ đo cho cả hai cấu hình trên đúng mẫu đó, rồi lấy hiệu. Đề tài dùng 2.000 lần lặp với hạt giống 16. Lấy mẫu ghép cặp loại bỏ phần biến thiên do độ khó của từng nghiên cứu, nên nhạy hơn nhiều so với việc so hai khoảng tin cậy độc lập. Một khác biệt chỉ được coi là có ý nghĩa khi khoảng tin cậy không chứa 0 và cận gần 0 nhất cách 0 ít nhất 0,0005; cận nằm sát 0 hơn mức này có thể đổi dấu chỉ vì nhiễu Monte Carlo. Bài báo gốc báo cáo giá trị điểm mà không kèm khoảng tin cậy.</w:t>
      </w:r>
    </w:p>
    <w:p>
      <w:pPr>
        <w:keepNext/>
        <w:spacing w:before="240" w:after="120" w:lineRule="auto" w:line="360"/>
        <w:ind w:firstLine="0"/>
        <w:jc w:val="left"/>
      </w:pPr>
      <w:r>
        <w:rPr>
          <w:rFonts w:ascii="Times New Roman" w:hAnsi="Times New Roman" w:cs="Times New Roman" w:eastAsia="Times New Roman"/>
          <w:b/>
          <w:i w:val="0"/>
          <w:sz w:val="26"/>
        </w:rPr>
        <w:t>1.6. Tóm tắt độ đo Giai đoạn 1</w:t>
      </w:r>
    </w:p>
    <w:p>
      <w:pPr>
        <w:keepNext/>
        <w:spacing w:before="200" w:after="80" w:lineRule="auto" w:line="276"/>
        <w:ind w:firstLine="0"/>
        <w:jc w:val="center"/>
      </w:pPr>
      <w:r>
        <w:rPr>
          <w:rFonts w:ascii="Times New Roman" w:hAnsi="Times New Roman" w:cs="Times New Roman" w:eastAsia="Times New Roman"/>
          <w:b/>
          <w:i w:val="0"/>
          <w:sz w:val="24"/>
        </w:rPr>
        <w:t xml:space="preserve">Bảng 1.2. </w:t>
      </w:r>
      <w:r>
        <w:rPr>
          <w:rFonts w:ascii="Times New Roman" w:hAnsi="Times New Roman" w:cs="Times New Roman" w:eastAsia="Times New Roman"/>
          <w:b w:val="0"/>
          <w:i/>
          <w:sz w:val="24"/>
        </w:rPr>
        <w:t>Các độ đo phân loại và đối chiếu với bài báo gốc</w:t>
      </w:r>
    </w:p>
    <w:tbl>
      <w:tblPr>
        <w:tblStyle w:val="TableGrid"/>
        <w:tblW w:type="auto" w:w="0"/>
        <w:jc w:val="center"/>
        <w:tblLayout w:type="fixed"/>
        <w:tblLook w:firstColumn="1" w:firstRow="1" w:lastColumn="0" w:lastRow="0" w:noHBand="0" w:noVBand="1" w:val="04A0"/>
        <w:tblLayout w:type="fixed"/>
      </w:tblPr>
      <w:tblGrid>
        <w:gridCol w:w="2041"/>
        <w:gridCol w:w="3175"/>
        <w:gridCol w:w="2211"/>
        <w:gridCol w:w="1928"/>
      </w:tblGrid>
      <w:tr>
        <w:trPr>
          <w:cantSplit/>
          <w:tblHeader/>
        </w:trPr>
        <w:tc>
          <w:tcPr>
            <w:tcW w:type="dxa" w:w="2041"/>
            <w:shd w:val="clear" w:color="auto" w:fill="E7E6E6"/>
          </w:tcPr>
          <w:p>
            <w:pPr>
              <w:spacing w:before="20" w:after="20" w:lineRule="auto" w:line="240"/>
              <w:ind w:firstLine="0"/>
              <w:jc w:val="center"/>
            </w:pPr>
            <w:r/>
            <w:r>
              <w:rPr>
                <w:rFonts w:ascii="Times New Roman" w:hAnsi="Times New Roman" w:cs="Times New Roman" w:eastAsia="Times New Roman"/>
                <w:b/>
                <w:i w:val="0"/>
                <w:sz w:val="20"/>
              </w:rPr>
              <w:t>Độ đo</w:t>
            </w:r>
          </w:p>
        </w:tc>
        <w:tc>
          <w:tcPr>
            <w:tcW w:type="dxa" w:w="3175"/>
            <w:shd w:val="clear" w:color="auto" w:fill="E7E6E6"/>
          </w:tcPr>
          <w:p>
            <w:pPr>
              <w:spacing w:before="20" w:after="20" w:lineRule="auto" w:line="240"/>
              <w:ind w:firstLine="0"/>
              <w:jc w:val="center"/>
            </w:pPr>
            <w:r/>
            <w:r>
              <w:rPr>
                <w:rFonts w:ascii="Times New Roman" w:hAnsi="Times New Roman" w:cs="Times New Roman" w:eastAsia="Times New Roman"/>
                <w:b/>
                <w:i w:val="0"/>
                <w:sz w:val="20"/>
              </w:rPr>
              <w:t>Phản ánh</w:t>
            </w:r>
          </w:p>
        </w:tc>
        <w:tc>
          <w:tcPr>
            <w:tcW w:type="dxa" w:w="2211"/>
            <w:shd w:val="clear" w:color="auto" w:fill="E7E6E6"/>
          </w:tcPr>
          <w:p>
            <w:pPr>
              <w:spacing w:before="20" w:after="20" w:lineRule="auto" w:line="240"/>
              <w:ind w:firstLine="0"/>
              <w:jc w:val="center"/>
            </w:pPr>
            <w:r/>
            <w:r>
              <w:rPr>
                <w:rFonts w:ascii="Times New Roman" w:hAnsi="Times New Roman" w:cs="Times New Roman" w:eastAsia="Times New Roman"/>
                <w:b/>
                <w:i w:val="0"/>
                <w:sz w:val="20"/>
              </w:rPr>
              <w:t>Cách tính trong đề tài</w:t>
            </w:r>
          </w:p>
        </w:tc>
        <w:tc>
          <w:tcPr>
            <w:tcW w:type="dxa" w:w="1928"/>
            <w:shd w:val="clear" w:color="auto" w:fill="E7E6E6"/>
          </w:tcPr>
          <w:p>
            <w:pPr>
              <w:spacing w:before="20" w:after="20" w:lineRule="auto" w:line="240"/>
              <w:ind w:firstLine="0"/>
              <w:jc w:val="center"/>
            </w:pPr>
            <w:r/>
            <w:r>
              <w:rPr>
                <w:rFonts w:ascii="Times New Roman" w:hAnsi="Times New Roman" w:cs="Times New Roman" w:eastAsia="Times New Roman"/>
                <w:b/>
                <w:i w:val="0"/>
                <w:sz w:val="20"/>
              </w:rPr>
              <w:t>Bài báo gốc</w:t>
            </w:r>
          </w:p>
        </w:tc>
      </w:tr>
      <w:tr>
        <w:trPr>
          <w:cantSplit/>
        </w:trPr>
        <w:tc>
          <w:tcPr>
            <w:tcW w:type="dxa" w:w="2041"/>
          </w:tcPr>
          <w:p>
            <w:pPr>
              <w:spacing w:before="20" w:after="20" w:lineRule="auto" w:line="240"/>
              <w:ind w:firstLine="0"/>
              <w:jc w:val="left"/>
            </w:pPr>
            <w:r/>
            <w:r>
              <w:rPr>
                <w:rFonts w:ascii="Times New Roman" w:hAnsi="Times New Roman" w:cs="Times New Roman" w:eastAsia="Times New Roman"/>
                <w:b w:val="0"/>
                <w:i w:val="0"/>
                <w:sz w:val="20"/>
              </w:rPr>
              <w:t>AUROC macro</w:t>
            </w:r>
          </w:p>
        </w:tc>
        <w:tc>
          <w:tcPr>
            <w:tcW w:type="dxa" w:w="3175"/>
          </w:tcPr>
          <w:p>
            <w:pPr>
              <w:spacing w:before="20" w:after="20" w:lineRule="auto" w:line="240"/>
              <w:ind w:firstLine="0"/>
              <w:jc w:val="center"/>
            </w:pPr>
            <w:r/>
            <w:r>
              <w:rPr>
                <w:rFonts w:ascii="Times New Roman" w:hAnsi="Times New Roman" w:cs="Times New Roman" w:eastAsia="Times New Roman"/>
                <w:b w:val="0"/>
                <w:i w:val="0"/>
                <w:sz w:val="20"/>
              </w:rPr>
              <w:t>Khả năng phân biệt của từng bất thường</w:t>
            </w:r>
          </w:p>
        </w:tc>
        <w:tc>
          <w:tcPr>
            <w:tcW w:type="dxa" w:w="2211"/>
          </w:tcPr>
          <w:p>
            <w:pPr>
              <w:spacing w:before="20" w:after="20" w:lineRule="auto" w:line="240"/>
              <w:ind w:firstLine="0"/>
              <w:jc w:val="center"/>
            </w:pPr>
            <w:r/>
            <w:r>
              <w:rPr>
                <w:rFonts w:ascii="Times New Roman" w:hAnsi="Times New Roman" w:cs="Times New Roman" w:eastAsia="Times New Roman"/>
                <w:b w:val="0"/>
                <w:i w:val="0"/>
                <w:sz w:val="20"/>
              </w:rPr>
              <w:t>Hiện diện trong nghiên cứu, không cần ngưỡng</w:t>
            </w:r>
          </w:p>
        </w:tc>
        <w:tc>
          <w:tcPr>
            <w:tcW w:type="dxa" w:w="1928"/>
          </w:tcPr>
          <w:p>
            <w:pPr>
              <w:spacing w:before="20" w:after="20" w:lineRule="auto" w:line="240"/>
              <w:ind w:firstLine="0"/>
              <w:jc w:val="center"/>
            </w:pPr>
            <w:r/>
            <w:r>
              <w:rPr>
                <w:rFonts w:ascii="Times New Roman" w:hAnsi="Times New Roman" w:cs="Times New Roman" w:eastAsia="Times New Roman"/>
                <w:b w:val="0"/>
                <w:i w:val="0"/>
                <w:sz w:val="20"/>
              </w:rPr>
              <w:t>Chỉ vẽ đường cong</w:t>
            </w:r>
          </w:p>
        </w:tc>
      </w:tr>
      <w:tr>
        <w:trPr>
          <w:cantSplit/>
        </w:trPr>
        <w:tc>
          <w:tcPr>
            <w:tcW w:type="dxa" w:w="2041"/>
          </w:tcPr>
          <w:p>
            <w:pPr>
              <w:spacing w:before="20" w:after="20" w:lineRule="auto" w:line="240"/>
              <w:ind w:firstLine="0"/>
              <w:jc w:val="left"/>
            </w:pPr>
            <w:r/>
            <w:r>
              <w:rPr>
                <w:rFonts w:ascii="Times New Roman" w:hAnsi="Times New Roman" w:cs="Times New Roman" w:eastAsia="Times New Roman"/>
                <w:b w:val="0"/>
                <w:i w:val="0"/>
                <w:sz w:val="20"/>
              </w:rPr>
              <w:t>AUROC micro</w:t>
            </w:r>
          </w:p>
        </w:tc>
        <w:tc>
          <w:tcPr>
            <w:tcW w:type="dxa" w:w="3175"/>
          </w:tcPr>
          <w:p>
            <w:pPr>
              <w:spacing w:before="20" w:after="20" w:lineRule="auto" w:line="240"/>
              <w:ind w:firstLine="0"/>
              <w:jc w:val="center"/>
            </w:pPr>
            <w:r/>
            <w:r>
              <w:rPr>
                <w:rFonts w:ascii="Times New Roman" w:hAnsi="Times New Roman" w:cs="Times New Roman" w:eastAsia="Times New Roman"/>
                <w:b w:val="0"/>
                <w:i w:val="0"/>
                <w:sz w:val="20"/>
              </w:rPr>
              <w:t>Tính nhất quán thang điểm giữa các nhãn</w:t>
            </w:r>
          </w:p>
        </w:tc>
        <w:tc>
          <w:tcPr>
            <w:tcW w:type="dxa" w:w="2211"/>
          </w:tcPr>
          <w:p>
            <w:pPr>
              <w:spacing w:before="20" w:after="20" w:lineRule="auto" w:line="240"/>
              <w:ind w:firstLine="0"/>
              <w:jc w:val="center"/>
            </w:pPr>
            <w:r/>
            <w:r>
              <w:rPr>
                <w:rFonts w:ascii="Times New Roman" w:hAnsi="Times New Roman" w:cs="Times New Roman" w:eastAsia="Times New Roman"/>
                <w:b w:val="0"/>
                <w:i w:val="0"/>
                <w:sz w:val="20"/>
              </w:rPr>
              <w:t>Gộp mọi ô nghiên cứu và nhãn</w:t>
            </w:r>
          </w:p>
        </w:tc>
        <w:tc>
          <w:tcPr>
            <w:tcW w:type="dxa" w:w="1928"/>
          </w:tcPr>
          <w:p>
            <w:pPr>
              <w:spacing w:before="20" w:after="20" w:lineRule="auto" w:line="240"/>
              <w:ind w:firstLine="0"/>
              <w:jc w:val="center"/>
            </w:pPr>
            <w:r/>
            <w:r>
              <w:rPr>
                <w:rFonts w:ascii="Times New Roman" w:hAnsi="Times New Roman" w:cs="Times New Roman" w:eastAsia="Times New Roman"/>
                <w:b w:val="0"/>
                <w:i w:val="0"/>
                <w:sz w:val="20"/>
              </w:rPr>
              <w:t>Không báo cáo</w:t>
            </w:r>
          </w:p>
        </w:tc>
      </w:tr>
      <w:tr>
        <w:trPr>
          <w:cantSplit/>
        </w:trPr>
        <w:tc>
          <w:tcPr>
            <w:tcW w:type="dxa" w:w="2041"/>
          </w:tcPr>
          <w:p>
            <w:pPr>
              <w:spacing w:before="20" w:after="20" w:lineRule="auto" w:line="240"/>
              <w:ind w:firstLine="0"/>
              <w:jc w:val="left"/>
            </w:pPr>
            <w:r/>
            <w:r>
              <w:rPr>
                <w:rFonts w:ascii="Times New Roman" w:hAnsi="Times New Roman" w:cs="Times New Roman" w:eastAsia="Times New Roman"/>
                <w:b w:val="0"/>
                <w:i w:val="0"/>
                <w:sz w:val="20"/>
              </w:rPr>
              <w:t>AUPRC macro</w:t>
            </w:r>
          </w:p>
        </w:tc>
        <w:tc>
          <w:tcPr>
            <w:tcW w:type="dxa" w:w="3175"/>
          </w:tcPr>
          <w:p>
            <w:pPr>
              <w:spacing w:before="20" w:after="20" w:lineRule="auto" w:line="240"/>
              <w:ind w:firstLine="0"/>
              <w:jc w:val="center"/>
            </w:pPr>
            <w:r/>
            <w:r>
              <w:rPr>
                <w:rFonts w:ascii="Times New Roman" w:hAnsi="Times New Roman" w:cs="Times New Roman" w:eastAsia="Times New Roman"/>
                <w:b w:val="0"/>
                <w:i w:val="0"/>
                <w:sz w:val="20"/>
              </w:rPr>
              <w:t>Chi phí báo động giả khi lớp hiếm</w:t>
            </w:r>
          </w:p>
        </w:tc>
        <w:tc>
          <w:tcPr>
            <w:tcW w:type="dxa" w:w="2211"/>
          </w:tcPr>
          <w:p>
            <w:pPr>
              <w:spacing w:before="20" w:after="20" w:lineRule="auto" w:line="240"/>
              <w:ind w:firstLine="0"/>
              <w:jc w:val="center"/>
            </w:pPr>
            <w:r/>
            <w:r>
              <w:rPr>
                <w:rFonts w:ascii="Times New Roman" w:hAnsi="Times New Roman" w:cs="Times New Roman" w:eastAsia="Times New Roman"/>
                <w:b w:val="0"/>
                <w:i w:val="0"/>
                <w:sz w:val="20"/>
              </w:rPr>
              <w:t>Hiện diện trong nghiên cứu</w:t>
            </w:r>
          </w:p>
        </w:tc>
        <w:tc>
          <w:tcPr>
            <w:tcW w:type="dxa" w:w="1928"/>
          </w:tcPr>
          <w:p>
            <w:pPr>
              <w:spacing w:before="20" w:after="20" w:lineRule="auto" w:line="240"/>
              <w:ind w:firstLine="0"/>
              <w:jc w:val="center"/>
            </w:pPr>
            <w:r/>
            <w:r>
              <w:rPr>
                <w:rFonts w:ascii="Times New Roman" w:hAnsi="Times New Roman" w:cs="Times New Roman" w:eastAsia="Times New Roman"/>
                <w:b w:val="0"/>
                <w:i w:val="0"/>
                <w:sz w:val="20"/>
              </w:rPr>
              <w:t>Không báo cáo</w:t>
            </w:r>
          </w:p>
        </w:tc>
      </w:tr>
      <w:tr>
        <w:trPr>
          <w:cantSplit/>
        </w:trPr>
        <w:tc>
          <w:tcPr>
            <w:tcW w:type="dxa" w:w="2041"/>
          </w:tcPr>
          <w:p>
            <w:pPr>
              <w:spacing w:before="20" w:after="20" w:lineRule="auto" w:line="240"/>
              <w:ind w:firstLine="0"/>
              <w:jc w:val="left"/>
            </w:pPr>
            <w:r/>
            <w:r>
              <w:rPr>
                <w:rFonts w:ascii="Times New Roman" w:hAnsi="Times New Roman" w:cs="Times New Roman" w:eastAsia="Times New Roman"/>
                <w:b w:val="0"/>
                <w:i w:val="0"/>
                <w:sz w:val="20"/>
              </w:rPr>
              <w:t>F1, độ chính xác, độ nhạy dương tính macro</w:t>
            </w:r>
          </w:p>
        </w:tc>
        <w:tc>
          <w:tcPr>
            <w:tcW w:type="dxa" w:w="3175"/>
          </w:tcPr>
          <w:p>
            <w:pPr>
              <w:spacing w:before="20" w:after="20" w:lineRule="auto" w:line="240"/>
              <w:ind w:firstLine="0"/>
              <w:jc w:val="center"/>
            </w:pPr>
            <w:r/>
            <w:r>
              <w:rPr>
                <w:rFonts w:ascii="Times New Roman" w:hAnsi="Times New Roman" w:cs="Times New Roman" w:eastAsia="Times New Roman"/>
                <w:b w:val="0"/>
                <w:i w:val="0"/>
                <w:sz w:val="20"/>
              </w:rPr>
              <w:t>Điểm hoạt động thực tế</w:t>
            </w:r>
          </w:p>
        </w:tc>
        <w:tc>
          <w:tcPr>
            <w:tcW w:type="dxa" w:w="2211"/>
          </w:tcPr>
          <w:p>
            <w:pPr>
              <w:spacing w:before="20" w:after="20" w:lineRule="auto" w:line="240"/>
              <w:ind w:firstLine="0"/>
              <w:jc w:val="center"/>
            </w:pPr>
            <w:r/>
            <w:r>
              <w:rPr>
                <w:rFonts w:ascii="Times New Roman" w:hAnsi="Times New Roman" w:cs="Times New Roman" w:eastAsia="Times New Roman"/>
                <w:b w:val="0"/>
                <w:i w:val="0"/>
                <w:sz w:val="20"/>
              </w:rPr>
              <w:t>Ngưỡng hiệu chuẩn trên tập kiểm định</w:t>
            </w:r>
          </w:p>
        </w:tc>
        <w:tc>
          <w:tcPr>
            <w:tcW w:type="dxa" w:w="1928"/>
          </w:tcPr>
          <w:p>
            <w:pPr>
              <w:spacing w:before="20" w:after="20" w:lineRule="auto" w:line="240"/>
              <w:ind w:firstLine="0"/>
              <w:jc w:val="center"/>
            </w:pPr>
            <w:r/>
            <w:r>
              <w:rPr>
                <w:rFonts w:ascii="Times New Roman" w:hAnsi="Times New Roman" w:cs="Times New Roman" w:eastAsia="Times New Roman"/>
                <w:b w:val="0"/>
                <w:i w:val="0"/>
                <w:sz w:val="20"/>
              </w:rPr>
              <w:t>Có, cho ba lớp, ô trống là âm tính</w:t>
            </w:r>
          </w:p>
        </w:tc>
      </w:tr>
      <w:tr>
        <w:trPr>
          <w:cantSplit/>
        </w:trPr>
        <w:tc>
          <w:tcPr>
            <w:tcW w:type="dxa" w:w="2041"/>
          </w:tcPr>
          <w:p>
            <w:pPr>
              <w:spacing w:before="20" w:after="20" w:lineRule="auto" w:line="240"/>
              <w:ind w:firstLine="0"/>
              <w:jc w:val="left"/>
            </w:pPr>
            <w:r/>
            <w:r>
              <w:rPr>
                <w:rFonts w:ascii="Times New Roman" w:hAnsi="Times New Roman" w:cs="Times New Roman" w:eastAsia="Times New Roman"/>
                <w:b w:val="0"/>
                <w:i w:val="0"/>
                <w:sz w:val="20"/>
              </w:rPr>
              <w:t>Độ đặc hiệu macro</w:t>
            </w:r>
          </w:p>
        </w:tc>
        <w:tc>
          <w:tcPr>
            <w:tcW w:type="dxa" w:w="3175"/>
          </w:tcPr>
          <w:p>
            <w:pPr>
              <w:spacing w:before="20" w:after="20" w:lineRule="auto" w:line="240"/>
              <w:ind w:firstLine="0"/>
              <w:jc w:val="center"/>
            </w:pPr>
            <w:r/>
            <w:r>
              <w:rPr>
                <w:rFonts w:ascii="Times New Roman" w:hAnsi="Times New Roman" w:cs="Times New Roman" w:eastAsia="Times New Roman"/>
                <w:b w:val="0"/>
                <w:i w:val="0"/>
                <w:sz w:val="20"/>
              </w:rPr>
              <w:t>Cái giá của độ nhạy</w:t>
            </w:r>
          </w:p>
        </w:tc>
        <w:tc>
          <w:tcPr>
            <w:tcW w:type="dxa" w:w="2211"/>
          </w:tcPr>
          <w:p>
            <w:pPr>
              <w:spacing w:before="20" w:after="20" w:lineRule="auto" w:line="240"/>
              <w:ind w:firstLine="0"/>
              <w:jc w:val="center"/>
            </w:pPr>
            <w:r/>
            <w:r>
              <w:rPr>
                <w:rFonts w:ascii="Times New Roman" w:hAnsi="Times New Roman" w:cs="Times New Roman" w:eastAsia="Times New Roman"/>
                <w:b w:val="0"/>
                <w:i w:val="0"/>
                <w:sz w:val="20"/>
              </w:rPr>
              <w:t>Cùng ngưỡng như trên</w:t>
            </w:r>
          </w:p>
        </w:tc>
        <w:tc>
          <w:tcPr>
            <w:tcW w:type="dxa" w:w="1928"/>
          </w:tcPr>
          <w:p>
            <w:pPr>
              <w:spacing w:before="20" w:after="20" w:lineRule="auto" w:line="240"/>
              <w:ind w:firstLine="0"/>
              <w:jc w:val="center"/>
            </w:pPr>
            <w:r/>
            <w:r>
              <w:rPr>
                <w:rFonts w:ascii="Times New Roman" w:hAnsi="Times New Roman" w:cs="Times New Roman" w:eastAsia="Times New Roman"/>
                <w:b w:val="0"/>
                <w:i w:val="0"/>
                <w:sz w:val="20"/>
              </w:rPr>
              <w:t>Không báo cáo</w:t>
            </w:r>
          </w:p>
        </w:tc>
      </w:tr>
      <w:tr>
        <w:trPr>
          <w:cantSplit/>
        </w:trPr>
        <w:tc>
          <w:tcPr>
            <w:tcW w:type="dxa" w:w="2041"/>
          </w:tcPr>
          <w:p>
            <w:pPr>
              <w:spacing w:before="20" w:after="20" w:lineRule="auto" w:line="240"/>
              <w:ind w:firstLine="0"/>
              <w:jc w:val="left"/>
            </w:pPr>
            <w:r/>
            <w:r>
              <w:rPr>
                <w:rFonts w:ascii="Times New Roman" w:hAnsi="Times New Roman" w:cs="Times New Roman" w:eastAsia="Times New Roman"/>
                <w:b w:val="0"/>
                <w:i w:val="0"/>
                <w:sz w:val="20"/>
              </w:rPr>
              <w:t>Khoảng tin cậy ghép cặp</w:t>
            </w:r>
          </w:p>
        </w:tc>
        <w:tc>
          <w:tcPr>
            <w:tcW w:type="dxa" w:w="3175"/>
          </w:tcPr>
          <w:p>
            <w:pPr>
              <w:spacing w:before="20" w:after="20" w:lineRule="auto" w:line="240"/>
              <w:ind w:firstLine="0"/>
              <w:jc w:val="center"/>
            </w:pPr>
            <w:r/>
            <w:r>
              <w:rPr>
                <w:rFonts w:ascii="Times New Roman" w:hAnsi="Times New Roman" w:cs="Times New Roman" w:eastAsia="Times New Roman"/>
                <w:b w:val="0"/>
                <w:i w:val="0"/>
                <w:sz w:val="20"/>
              </w:rPr>
              <w:t>Mức chắc chắn của một khác biệt</w:t>
            </w:r>
          </w:p>
        </w:tc>
        <w:tc>
          <w:tcPr>
            <w:tcW w:type="dxa" w:w="2211"/>
          </w:tcPr>
          <w:p>
            <w:pPr>
              <w:spacing w:before="20" w:after="20" w:lineRule="auto" w:line="240"/>
              <w:ind w:firstLine="0"/>
              <w:jc w:val="center"/>
            </w:pPr>
            <w:r/>
            <w:r>
              <w:rPr>
                <w:rFonts w:ascii="Times New Roman" w:hAnsi="Times New Roman" w:cs="Times New Roman" w:eastAsia="Times New Roman"/>
                <w:b w:val="0"/>
                <w:i w:val="0"/>
                <w:sz w:val="20"/>
              </w:rPr>
              <w:t>Bootstrap 2.000 lần theo nghiên cứu</w:t>
            </w:r>
          </w:p>
        </w:tc>
        <w:tc>
          <w:tcPr>
            <w:tcW w:type="dxa" w:w="1928"/>
          </w:tcPr>
          <w:p>
            <w:pPr>
              <w:spacing w:before="20" w:after="20" w:lineRule="auto" w:line="240"/>
              <w:ind w:firstLine="0"/>
              <w:jc w:val="center"/>
            </w:pPr>
            <w:r/>
            <w:r>
              <w:rPr>
                <w:rFonts w:ascii="Times New Roman" w:hAnsi="Times New Roman" w:cs="Times New Roman" w:eastAsia="Times New Roman"/>
                <w:b w:val="0"/>
                <w:i w:val="0"/>
                <w:sz w:val="20"/>
              </w:rPr>
              <w:t>Không báo cáo</w:t>
            </w:r>
          </w:p>
        </w:tc>
      </w:tr>
    </w:tbl>
    <w:p>
      <w:pPr>
        <w:spacing w:before="0" w:after="80" w:lineRule="auto" w:line="360"/>
        <w:ind w:firstLine="0"/>
        <w:jc w:val="both"/>
      </w:pPr>
    </w:p>
    <w:p>
      <w:pPr>
        <w:spacing w:before="120" w:after="360" w:lineRule="auto" w:line="312"/>
        <w:ind w:firstLine="0"/>
        <w:jc w:val="center"/>
      </w:pPr>
      <w:r>
        <w:rPr>
          <w:rFonts w:ascii="Times New Roman" w:hAnsi="Times New Roman" w:cs="Times New Roman" w:eastAsia="Times New Roman"/>
          <w:b/>
          <w:i w:val="0"/>
          <w:sz w:val="28"/>
        </w:rPr>
        <w:t>CHƯƠNG 2. ĐỘ ĐO CHO GIAI ĐOẠN 2: SINH BÁO CÁO</w:t>
      </w:r>
    </w:p>
    <w:p>
      <w:pPr>
        <w:keepNext/>
        <w:spacing w:before="240" w:after="120" w:lineRule="auto" w:line="360"/>
        <w:ind w:firstLine="0"/>
        <w:jc w:val="left"/>
      </w:pPr>
      <w:r>
        <w:rPr>
          <w:rFonts w:ascii="Times New Roman" w:hAnsi="Times New Roman" w:cs="Times New Roman" w:eastAsia="Times New Roman"/>
          <w:b/>
          <w:i w:val="0"/>
          <w:sz w:val="26"/>
        </w:rPr>
        <w:t>2.1. Giao thức chấm điểm</w:t>
      </w:r>
    </w:p>
    <w:p>
      <w:pPr>
        <w:spacing w:before="0" w:after="120" w:lineRule="auto" w:line="360"/>
        <w:ind w:firstLine="567"/>
        <w:jc w:val="both"/>
      </w:pPr>
      <w:r>
        <w:rPr>
          <w:rFonts w:ascii="Times New Roman" w:hAnsi="Times New Roman" w:cs="Times New Roman" w:eastAsia="Times New Roman"/>
          <w:b w:val="0"/>
          <w:i w:val="0"/>
          <w:sz w:val="26"/>
        </w:rPr>
        <w:t>Các độ đo sinh văn bản rất nhạy với cách tách từ và với cài đặt cụ thể, nên hai con số chỉ so được khi cùng giao thức. Đề tài chấm theo giao thức chuẩn của lĩnh vực sinh báo cáo X-quang: tách từ bằng PTBTokenizer và tính BLEU, METEOR, ROUGE-L, CIDEr bằng thư viện pycocoevalcap [10], là bộ công cụ mà R2Gen [11] và nhiều công trình sau dùng để báo cáo trên tập kiểm tra chính thức của MIMIC-CXR. BERTScore được tính bằng thư viện bert_score với mô hình RoBERTa-large. Bộ chấm nội bộ của mã nguồn dùng METEOR của nltk và BERTScore với DistilBERT, cho giá trị khác hẳn giao thức chuẩn, nên chỉ được dùng cho so sánh nội bộ. Bài báo gốc không nêu bộ công cụ chấm điểm.</w:t>
      </w:r>
    </w:p>
    <w:p>
      <w:pPr>
        <w:keepNext/>
        <w:spacing w:before="240" w:after="120" w:lineRule="auto" w:line="360"/>
        <w:ind w:firstLine="0"/>
        <w:jc w:val="left"/>
      </w:pPr>
      <w:r>
        <w:rPr>
          <w:rFonts w:ascii="Times New Roman" w:hAnsi="Times New Roman" w:cs="Times New Roman" w:eastAsia="Times New Roman"/>
          <w:b/>
          <w:i w:val="0"/>
          <w:sz w:val="26"/>
        </w:rPr>
        <w:t>2.2. BLEU</w:t>
      </w:r>
    </w:p>
    <w:p>
      <w:pPr>
        <w:spacing w:before="0" w:after="120" w:lineRule="auto" w:line="360"/>
        <w:ind w:firstLine="567"/>
        <w:jc w:val="both"/>
      </w:pPr>
      <w:r>
        <w:rPr>
          <w:rFonts w:ascii="Times New Roman" w:hAnsi="Times New Roman" w:cs="Times New Roman" w:eastAsia="Times New Roman"/>
          <w:b w:val="0"/>
          <w:i w:val="0"/>
          <w:sz w:val="26"/>
        </w:rPr>
        <w:t>BLEU-n đo độ chính xác của các n-gram trong báo cáo sinh ra so với báo cáo tham chiếu, kèm hệ số phạt khi báo cáo ngắn hơn tham chiếu [12]. BLEU-1 phản ánh việc dùng đúng từ vựng, BLEU-4 phản ánh việc tái tạo đúng cụm từ dài. Đề tài báo cáo BLEU-1 đến BLEU-4 vì đây là độ đo mà mọi công trình sinh báo cáo trên MIMIC-CXR đều báo cáo, kể cả bài báo gốc, nên là cơ sở chung tối thiểu để đặt kết quả cạnh nhau. Hạn chế của BLEU là không phân biệt được một câu phủ định với câu khẳng định có cùng từ vựng, nên không phản ánh độ đúng lâm sàng.</w:t>
      </w:r>
    </w:p>
    <w:p>
      <w:pPr>
        <w:keepNext/>
        <w:spacing w:before="240" w:after="120" w:lineRule="auto" w:line="360"/>
        <w:ind w:firstLine="0"/>
        <w:jc w:val="left"/>
      </w:pPr>
      <w:r>
        <w:rPr>
          <w:rFonts w:ascii="Times New Roman" w:hAnsi="Times New Roman" w:cs="Times New Roman" w:eastAsia="Times New Roman"/>
          <w:b/>
          <w:i w:val="0"/>
          <w:sz w:val="26"/>
        </w:rPr>
        <w:t>2.3. METEOR</w:t>
      </w:r>
    </w:p>
    <w:p>
      <w:pPr>
        <w:spacing w:before="0" w:after="120" w:lineRule="auto" w:line="360"/>
        <w:ind w:firstLine="567"/>
        <w:jc w:val="both"/>
      </w:pPr>
      <w:r>
        <w:rPr>
          <w:rFonts w:ascii="Times New Roman" w:hAnsi="Times New Roman" w:cs="Times New Roman" w:eastAsia="Times New Roman"/>
          <w:b w:val="0"/>
          <w:i w:val="0"/>
          <w:sz w:val="26"/>
        </w:rPr>
        <w:t>METEOR tính trung bình điều hòa có trọng số của độ chính xác và độ nhạy ở mức từ đơn, có khớp theo gốc từ và từ đồng nghĩa, cộng hình phạt khi thứ tự từ bị phân mảnh [13]. Đề tài dùng METEOR 1.5, phiên bản trong pycocoevalcap. METEOR bổ sung cho BLEU ở hai điểm: nó thưởng độ nhạy, tức việc nhắc lại được nội dung của tham chiếu, và chấp nhận cách diễn đạt khác từ. Vì thưởng độ nhạy, METEOR giảm mạnh khi báo cáo sinh ra quá ngắn, nên luôn được đọc cùng độ dài báo cáo.</w:t>
      </w:r>
    </w:p>
    <w:p>
      <w:pPr>
        <w:keepNext/>
        <w:spacing w:before="240" w:after="120" w:lineRule="auto" w:line="360"/>
        <w:ind w:firstLine="0"/>
        <w:jc w:val="left"/>
      </w:pPr>
      <w:r>
        <w:rPr>
          <w:rFonts w:ascii="Times New Roman" w:hAnsi="Times New Roman" w:cs="Times New Roman" w:eastAsia="Times New Roman"/>
          <w:b/>
          <w:i w:val="0"/>
          <w:sz w:val="26"/>
        </w:rPr>
        <w:t>2.4. ROUGE-L</w:t>
      </w:r>
    </w:p>
    <w:p>
      <w:pPr>
        <w:spacing w:before="0" w:after="120" w:lineRule="auto" w:line="360"/>
        <w:ind w:firstLine="567"/>
        <w:jc w:val="both"/>
      </w:pPr>
      <w:r>
        <w:rPr>
          <w:rFonts w:ascii="Times New Roman" w:hAnsi="Times New Roman" w:cs="Times New Roman" w:eastAsia="Times New Roman"/>
          <w:b w:val="0"/>
          <w:i w:val="0"/>
          <w:sz w:val="26"/>
        </w:rPr>
        <w:t>ROUGE-L dựa trên dãy con chung dài nhất giữa báo cáo sinh ra và tham chiếu, tính dưới dạng F-measure [14]. Khác BLEU, ROUGE-L không yêu cầu các từ khớp phải liền nhau, nên phản ánh việc giữ đúng trình tự nội dung ở mức câu, một đặc điểm quan trọng của báo cáo X-quang vốn thường mô tả theo trình tự giải phẫu.</w:t>
      </w:r>
    </w:p>
    <w:p>
      <w:pPr>
        <w:keepNext/>
        <w:spacing w:before="240" w:after="120" w:lineRule="auto" w:line="360"/>
        <w:ind w:firstLine="0"/>
        <w:jc w:val="left"/>
      </w:pPr>
      <w:r>
        <w:rPr>
          <w:rFonts w:ascii="Times New Roman" w:hAnsi="Times New Roman" w:cs="Times New Roman" w:eastAsia="Times New Roman"/>
          <w:b/>
          <w:i w:val="0"/>
          <w:sz w:val="26"/>
        </w:rPr>
        <w:t>2.5. CIDEr</w:t>
      </w:r>
    </w:p>
    <w:p>
      <w:pPr>
        <w:spacing w:before="0" w:after="120" w:lineRule="auto" w:line="360"/>
        <w:ind w:firstLine="567"/>
        <w:jc w:val="both"/>
      </w:pPr>
      <w:r>
        <w:rPr>
          <w:rFonts w:ascii="Times New Roman" w:hAnsi="Times New Roman" w:cs="Times New Roman" w:eastAsia="Times New Roman"/>
          <w:b w:val="0"/>
          <w:i w:val="0"/>
          <w:sz w:val="26"/>
        </w:rPr>
        <w:t>CIDEr biểu diễn mỗi báo cáo bằng vector n-gram có trọng số TF-IDF trên toàn tập tham chiếu và đo độ tương đồng cosin với tham chiếu [15]. Trọng số IDF làm giảm đóng góp của các cụm từ lặp lại ở hầu hết báo cáo, như các câu mô tả phổi bình thường, và tăng đóng góp của các cụm từ đặc trưng cho từng ca. Đề tài dùng CIDEr như độ đo ít bị chi phối bởi văn mẫu nhất trong nhóm độ đo từ vựng. Tuy vậy CIDEr cũng có thể tăng khi mô hình sinh các câu ngắn khớp đúng cụm từ đặc trưng, nên không được dùng riêng lẻ để kết luận.</w:t>
      </w:r>
    </w:p>
    <w:p>
      <w:pPr>
        <w:keepNext/>
        <w:spacing w:before="240" w:after="120" w:lineRule="auto" w:line="360"/>
        <w:ind w:firstLine="0"/>
        <w:jc w:val="left"/>
      </w:pPr>
      <w:r>
        <w:rPr>
          <w:rFonts w:ascii="Times New Roman" w:hAnsi="Times New Roman" w:cs="Times New Roman" w:eastAsia="Times New Roman"/>
          <w:b/>
          <w:i w:val="0"/>
          <w:sz w:val="26"/>
        </w:rPr>
        <w:t>2.6. BERTScore</w:t>
      </w:r>
    </w:p>
    <w:p>
      <w:pPr>
        <w:spacing w:before="0" w:after="120" w:lineRule="auto" w:line="360"/>
        <w:ind w:firstLine="567"/>
        <w:jc w:val="both"/>
      </w:pPr>
      <w:r>
        <w:rPr>
          <w:rFonts w:ascii="Times New Roman" w:hAnsi="Times New Roman" w:cs="Times New Roman" w:eastAsia="Times New Roman"/>
          <w:b w:val="0"/>
          <w:i w:val="0"/>
          <w:sz w:val="26"/>
        </w:rPr>
        <w:t>BERTScore so khớp từng token của báo cáo sinh ra với token gần nhất của tham chiếu trong không gian biểu diễn ngữ cảnh của một mô hình ngôn ngữ, rồi tính F1 trên các độ tương đồng đó [16]. Độ đo này ghi nhận các cách diễn đạt khác từ nhưng cùng nghĩa mà các độ đo n-gram bỏ sót. Đề tài báo cáo cả giá trị thô và giá trị đã co giãn theo đường cơ sở. Giá trị thô với RoBERTa-large tập trung quanh 0,85 cho mọi văn bản tiếng Anh trôi chảy, còn giá trị co giãn đưa mức của hai văn bản không liên quan về gần 0 để chênh lệch dễ đọc hơn. Bài báo gốc báo cáo BERTScore 0,426 mà không nêu mô hình nền hay việc co giãn; giá trị này nằm xa mức 0,85 của giá trị thô, nên không đặt được cạnh con số của đề tài khi chưa biết giao thức.</w:t>
      </w:r>
    </w:p>
    <w:p>
      <w:pPr>
        <w:keepNext/>
        <w:spacing w:before="240" w:after="120" w:lineRule="auto" w:line="360"/>
        <w:ind w:firstLine="0"/>
        <w:jc w:val="left"/>
      </w:pPr>
      <w:r>
        <w:rPr>
          <w:rFonts w:ascii="Times New Roman" w:hAnsi="Times New Roman" w:cs="Times New Roman" w:eastAsia="Times New Roman"/>
          <w:b/>
          <w:i w:val="0"/>
          <w:sz w:val="26"/>
        </w:rPr>
        <w:t>2.7. Độ dài và tỉ lệ lặp của báo cáo sinh ra</w:t>
      </w:r>
    </w:p>
    <w:p>
      <w:pPr>
        <w:spacing w:before="0" w:after="120" w:lineRule="auto" w:line="360"/>
        <w:ind w:firstLine="567"/>
        <w:jc w:val="both"/>
      </w:pPr>
      <w:r>
        <w:rPr>
          <w:rFonts w:ascii="Times New Roman" w:hAnsi="Times New Roman" w:cs="Times New Roman" w:eastAsia="Times New Roman"/>
          <w:b w:val="0"/>
          <w:i w:val="0"/>
          <w:sz w:val="26"/>
        </w:rPr>
        <w:t>Đề tài báo cáo thêm hai đại lượng chẩn đoán không phải độ đo chất lượng. Trung vị số từ của báo cáo sinh ra được đặt cạnh trung vị của báo cáo tham chiếu, vì BLEU và METEOR đều phụ thuộc mạnh vào độ dài. Tỉ lệ báo cáo chứa một 5-gram lặp lại từ 3 lần trở lên đo hiện tượng suy biến khi giải mã tham lam, một lỗi đã được ghi nhận rộng rãi ở các mô hình ngôn ngữ [17]. Chính đại lượng này giúp phát hiện lỗi điều kiện dừng sinh của đề tài: trên 25 nghiên cứu kiểm định, tỉ lệ lặp giảm từ 64% xuống 0% sau khi sửa lỗi. Độ dài 5-gram được chọn vì báo cáo của bác sĩ hiếm khi lặp một cụm năm từ, trong khi các cụm ba từ lặp lại là bình thường trong văn phong X-quang.</w:t>
      </w:r>
    </w:p>
    <w:p>
      <w:pPr>
        <w:keepNext/>
        <w:spacing w:before="240" w:after="120" w:lineRule="auto" w:line="360"/>
        <w:ind w:firstLine="0"/>
        <w:jc w:val="left"/>
      </w:pPr>
      <w:r>
        <w:rPr>
          <w:rFonts w:ascii="Times New Roman" w:hAnsi="Times New Roman" w:cs="Times New Roman" w:eastAsia="Times New Roman"/>
          <w:b/>
          <w:i w:val="0"/>
          <w:sz w:val="26"/>
        </w:rPr>
        <w:t>2.8. Độ đo lâm sàng chưa được triển khai</w:t>
      </w:r>
    </w:p>
    <w:p>
      <w:pPr>
        <w:spacing w:before="0" w:after="120" w:lineRule="auto" w:line="360"/>
        <w:ind w:firstLine="567"/>
        <w:jc w:val="both"/>
      </w:pPr>
      <w:r>
        <w:rPr>
          <w:rFonts w:ascii="Times New Roman" w:hAnsi="Times New Roman" w:cs="Times New Roman" w:eastAsia="Times New Roman"/>
          <w:b w:val="0"/>
          <w:i w:val="0"/>
          <w:sz w:val="26"/>
        </w:rPr>
        <w:t>Các độ đo từ vựng không đo độ đúng lâm sàng: một báo cáo nói "không có tràn dịch màng phổi" và một báo cáo nói "có tràn dịch màng phổi" có BLEU gần như nhau. Các công trình gần đây vì vậy báo cáo thêm độ đo hiệu quả lâm sàng, tính F1 giữa nhãn do CheXpert hoặc CheXbert trích từ báo cáo sinh ra và từ báo cáo tham chiếu [11], [18]; RadGraph F1, đo mức trùng khớp thực thể và quan hệ lâm sàng [19]; và RadCliQ, độ đo tổng hợp được hiệu chỉnh theo đánh giá của bác sĩ [20]. Bài báo gốc báo cáo cả ba nhóm: RadGraph F1 0,224, RadCliQ 1,211 và F1 hiệu quả lâm sàng 0,428. Đề tài chưa triển khai các độ đo này vì chúng là mã nghiên cứu với giấy phép và phiên bản riêng, chưa được đối chiếu với điểm tham chiếu đã công bố. Theo nguyên tắc của đề tài, một độ đo chưa có được ghi là không có, không bao giờ ghi là 0, và các độ đo từ vựng không được trình bày như độ đúng lâm sàng.</w:t>
      </w:r>
    </w:p>
    <w:p>
      <w:pPr>
        <w:keepNext/>
        <w:spacing w:before="240" w:after="120" w:lineRule="auto" w:line="360"/>
        <w:ind w:firstLine="0"/>
        <w:jc w:val="left"/>
      </w:pPr>
      <w:r>
        <w:rPr>
          <w:rFonts w:ascii="Times New Roman" w:hAnsi="Times New Roman" w:cs="Times New Roman" w:eastAsia="Times New Roman"/>
          <w:b/>
          <w:i w:val="0"/>
          <w:sz w:val="26"/>
        </w:rPr>
        <w:t>2.9. Kiểm tra độ tin cậy của lời giải thích</w:t>
      </w:r>
    </w:p>
    <w:p>
      <w:pPr>
        <w:spacing w:before="0" w:after="120" w:lineRule="auto" w:line="360"/>
        <w:ind w:firstLine="567"/>
        <w:jc w:val="both"/>
      </w:pPr>
      <w:r>
        <w:rPr>
          <w:rFonts w:ascii="Times New Roman" w:hAnsi="Times New Roman" w:cs="Times New Roman" w:eastAsia="Times New Roman"/>
          <w:b w:val="0"/>
          <w:i w:val="0"/>
          <w:sz w:val="26"/>
        </w:rPr>
        <w:t>Với bản đồ giải thích của Giai đoạn 2, đề tài không dùng độ đo chất lượng hình ảnh mà dùng hai phép kiểm tra hợp lệ của Adebayo và cộng sự [21]. Phép thay ảnh đo mức tăng log-likelihood âm của báo cáo đích khi thay ảnh của nghiên cứu bằng ảnh của một nghiên cứu khác; khoảng tin cậy bootstrap phải loại trừ 0 thì mới kết luận mô hình dùng thông tin ảnh. Phép ngẫu nhiên hóa trọng số khởi tạo lại dần các lớp của mô hình ngôn ngữ từ trên xuống và đo tương quan hạng Spearman giữa bản đồ mới và bản đồ gốc; tương quan phải giảm dần về gần 0, nếu không bản đồ chỉ phản ánh đầu vào chứ không phản ánh mô hình. Bài báo gốc trình bày bản đồ chú ý của token chuyên gia và đánh giá của chuyên gia trên 8 ảnh, nhưng không có phép kiểm tra hợp lệ nào.</w:t>
      </w:r>
    </w:p>
    <w:p>
      <w:pPr>
        <w:keepNext/>
        <w:spacing w:before="240" w:after="120" w:lineRule="auto" w:line="360"/>
        <w:ind w:firstLine="0"/>
        <w:jc w:val="left"/>
      </w:pPr>
      <w:r>
        <w:rPr>
          <w:rFonts w:ascii="Times New Roman" w:hAnsi="Times New Roman" w:cs="Times New Roman" w:eastAsia="Times New Roman"/>
          <w:b/>
          <w:i w:val="0"/>
          <w:sz w:val="26"/>
        </w:rPr>
        <w:t>2.10. Tóm tắt độ đo Giai đoạn 2</w:t>
      </w:r>
    </w:p>
    <w:p>
      <w:pPr>
        <w:keepNext/>
        <w:spacing w:before="200" w:after="80" w:lineRule="auto" w:line="276"/>
        <w:ind w:firstLine="0"/>
        <w:jc w:val="center"/>
      </w:pPr>
      <w:r>
        <w:rPr>
          <w:rFonts w:ascii="Times New Roman" w:hAnsi="Times New Roman" w:cs="Times New Roman" w:eastAsia="Times New Roman"/>
          <w:b/>
          <w:i w:val="0"/>
          <w:sz w:val="24"/>
        </w:rPr>
        <w:t xml:space="preserve">Bảng 2.1. </w:t>
      </w:r>
      <w:r>
        <w:rPr>
          <w:rFonts w:ascii="Times New Roman" w:hAnsi="Times New Roman" w:cs="Times New Roman" w:eastAsia="Times New Roman"/>
          <w:b w:val="0"/>
          <w:i/>
          <w:sz w:val="24"/>
        </w:rPr>
        <w:t>Các độ đo sinh báo cáo và đối chiếu với bài báo gốc</w:t>
      </w:r>
    </w:p>
    <w:tbl>
      <w:tblPr>
        <w:tblStyle w:val="TableGrid"/>
        <w:tblW w:type="auto" w:w="0"/>
        <w:jc w:val="center"/>
        <w:tblLayout w:type="fixed"/>
        <w:tblLook w:firstColumn="1" w:firstRow="1" w:lastColumn="0" w:lastRow="0" w:noHBand="0" w:noVBand="1" w:val="04A0"/>
        <w:tblLayout w:type="fixed"/>
      </w:tblPr>
      <w:tblGrid>
        <w:gridCol w:w="1928"/>
        <w:gridCol w:w="3288"/>
        <w:gridCol w:w="2211"/>
        <w:gridCol w:w="1928"/>
      </w:tblGrid>
      <w:tr>
        <w:trPr>
          <w:cantSplit/>
          <w:tblHeader/>
        </w:trPr>
        <w:tc>
          <w:tcPr>
            <w:tcW w:type="dxa" w:w="1928"/>
            <w:shd w:val="clear" w:color="auto" w:fill="E7E6E6"/>
          </w:tcPr>
          <w:p>
            <w:pPr>
              <w:spacing w:before="20" w:after="20" w:lineRule="auto" w:line="240"/>
              <w:ind w:firstLine="0"/>
              <w:jc w:val="center"/>
            </w:pPr>
            <w:r/>
            <w:r>
              <w:rPr>
                <w:rFonts w:ascii="Times New Roman" w:hAnsi="Times New Roman" w:cs="Times New Roman" w:eastAsia="Times New Roman"/>
                <w:b/>
                <w:i w:val="0"/>
                <w:sz w:val="20"/>
              </w:rPr>
              <w:t>Độ đo</w:t>
            </w:r>
          </w:p>
        </w:tc>
        <w:tc>
          <w:tcPr>
            <w:tcW w:type="dxa" w:w="3288"/>
            <w:shd w:val="clear" w:color="auto" w:fill="E7E6E6"/>
          </w:tcPr>
          <w:p>
            <w:pPr>
              <w:spacing w:before="20" w:after="20" w:lineRule="auto" w:line="240"/>
              <w:ind w:firstLine="0"/>
              <w:jc w:val="center"/>
            </w:pPr>
            <w:r/>
            <w:r>
              <w:rPr>
                <w:rFonts w:ascii="Times New Roman" w:hAnsi="Times New Roman" w:cs="Times New Roman" w:eastAsia="Times New Roman"/>
                <w:b/>
                <w:i w:val="0"/>
                <w:sz w:val="20"/>
              </w:rPr>
              <w:t>Phản ánh</w:t>
            </w:r>
          </w:p>
        </w:tc>
        <w:tc>
          <w:tcPr>
            <w:tcW w:type="dxa" w:w="2211"/>
            <w:shd w:val="clear" w:color="auto" w:fill="E7E6E6"/>
          </w:tcPr>
          <w:p>
            <w:pPr>
              <w:spacing w:before="20" w:after="20" w:lineRule="auto" w:line="240"/>
              <w:ind w:firstLine="0"/>
              <w:jc w:val="center"/>
            </w:pPr>
            <w:r/>
            <w:r>
              <w:rPr>
                <w:rFonts w:ascii="Times New Roman" w:hAnsi="Times New Roman" w:cs="Times New Roman" w:eastAsia="Times New Roman"/>
                <w:b/>
                <w:i w:val="0"/>
                <w:sz w:val="20"/>
              </w:rPr>
              <w:t>Trong đề tài</w:t>
            </w:r>
          </w:p>
        </w:tc>
        <w:tc>
          <w:tcPr>
            <w:tcW w:type="dxa" w:w="1928"/>
            <w:shd w:val="clear" w:color="auto" w:fill="E7E6E6"/>
          </w:tcPr>
          <w:p>
            <w:pPr>
              <w:spacing w:before="20" w:after="20" w:lineRule="auto" w:line="240"/>
              <w:ind w:firstLine="0"/>
              <w:jc w:val="center"/>
            </w:pPr>
            <w:r/>
            <w:r>
              <w:rPr>
                <w:rFonts w:ascii="Times New Roman" w:hAnsi="Times New Roman" w:cs="Times New Roman" w:eastAsia="Times New Roman"/>
                <w:b/>
                <w:i w:val="0"/>
                <w:sz w:val="20"/>
              </w:rPr>
              <w:t>Bài báo gốc</w:t>
            </w:r>
          </w:p>
        </w:tc>
      </w:tr>
      <w:tr>
        <w:trPr>
          <w:cantSplit/>
        </w:trPr>
        <w:tc>
          <w:tcPr>
            <w:tcW w:type="dxa" w:w="1928"/>
          </w:tcPr>
          <w:p>
            <w:pPr>
              <w:spacing w:before="20" w:after="20" w:lineRule="auto" w:line="240"/>
              <w:ind w:firstLine="0"/>
              <w:jc w:val="left"/>
            </w:pPr>
            <w:r/>
            <w:r>
              <w:rPr>
                <w:rFonts w:ascii="Times New Roman" w:hAnsi="Times New Roman" w:cs="Times New Roman" w:eastAsia="Times New Roman"/>
                <w:b w:val="0"/>
                <w:i w:val="0"/>
                <w:sz w:val="20"/>
              </w:rPr>
              <w:t>BLEU-1 đến BLEU-4</w:t>
            </w:r>
          </w:p>
        </w:tc>
        <w:tc>
          <w:tcPr>
            <w:tcW w:type="dxa" w:w="3288"/>
          </w:tcPr>
          <w:p>
            <w:pPr>
              <w:spacing w:before="20" w:after="20" w:lineRule="auto" w:line="240"/>
              <w:ind w:firstLine="0"/>
              <w:jc w:val="center"/>
            </w:pPr>
            <w:r/>
            <w:r>
              <w:rPr>
                <w:rFonts w:ascii="Times New Roman" w:hAnsi="Times New Roman" w:cs="Times New Roman" w:eastAsia="Times New Roman"/>
                <w:b w:val="0"/>
                <w:i w:val="0"/>
                <w:sz w:val="20"/>
              </w:rPr>
              <w:t>Độ chính xác n-gram</w:t>
            </w:r>
          </w:p>
        </w:tc>
        <w:tc>
          <w:tcPr>
            <w:tcW w:type="dxa" w:w="2211"/>
          </w:tcPr>
          <w:p>
            <w:pPr>
              <w:spacing w:before="20" w:after="20" w:lineRule="auto" w:line="240"/>
              <w:ind w:firstLine="0"/>
              <w:jc w:val="center"/>
            </w:pPr>
            <w:r/>
            <w:r>
              <w:rPr>
                <w:rFonts w:ascii="Times New Roman" w:hAnsi="Times New Roman" w:cs="Times New Roman" w:eastAsia="Times New Roman"/>
                <w:b w:val="0"/>
                <w:i w:val="0"/>
                <w:sz w:val="20"/>
              </w:rPr>
              <w:t>pycocoevalcap</w:t>
            </w:r>
          </w:p>
        </w:tc>
        <w:tc>
          <w:tcPr>
            <w:tcW w:type="dxa" w:w="1928"/>
          </w:tcPr>
          <w:p>
            <w:pPr>
              <w:spacing w:before="20" w:after="20" w:lineRule="auto" w:line="240"/>
              <w:ind w:firstLine="0"/>
              <w:jc w:val="center"/>
            </w:pPr>
            <w:r/>
            <w:r>
              <w:rPr>
                <w:rFonts w:ascii="Times New Roman" w:hAnsi="Times New Roman" w:cs="Times New Roman" w:eastAsia="Times New Roman"/>
                <w:b w:val="0"/>
                <w:i w:val="0"/>
                <w:sz w:val="20"/>
              </w:rPr>
              <w:t>Có</w:t>
            </w:r>
          </w:p>
        </w:tc>
      </w:tr>
      <w:tr>
        <w:trPr>
          <w:cantSplit/>
        </w:trPr>
        <w:tc>
          <w:tcPr>
            <w:tcW w:type="dxa" w:w="1928"/>
          </w:tcPr>
          <w:p>
            <w:pPr>
              <w:spacing w:before="20" w:after="20" w:lineRule="auto" w:line="240"/>
              <w:ind w:firstLine="0"/>
              <w:jc w:val="left"/>
            </w:pPr>
            <w:r/>
            <w:r>
              <w:rPr>
                <w:rFonts w:ascii="Times New Roman" w:hAnsi="Times New Roman" w:cs="Times New Roman" w:eastAsia="Times New Roman"/>
                <w:b w:val="0"/>
                <w:i w:val="0"/>
                <w:sz w:val="20"/>
              </w:rPr>
              <w:t>METEOR</w:t>
            </w:r>
          </w:p>
        </w:tc>
        <w:tc>
          <w:tcPr>
            <w:tcW w:type="dxa" w:w="3288"/>
          </w:tcPr>
          <w:p>
            <w:pPr>
              <w:spacing w:before="20" w:after="20" w:lineRule="auto" w:line="240"/>
              <w:ind w:firstLine="0"/>
              <w:jc w:val="center"/>
            </w:pPr>
            <w:r/>
            <w:r>
              <w:rPr>
                <w:rFonts w:ascii="Times New Roman" w:hAnsi="Times New Roman" w:cs="Times New Roman" w:eastAsia="Times New Roman"/>
                <w:b w:val="0"/>
                <w:i w:val="0"/>
                <w:sz w:val="20"/>
              </w:rPr>
              <w:t>Độ nhạy từ, có đồng nghĩa</w:t>
            </w:r>
          </w:p>
        </w:tc>
        <w:tc>
          <w:tcPr>
            <w:tcW w:type="dxa" w:w="2211"/>
          </w:tcPr>
          <w:p>
            <w:pPr>
              <w:spacing w:before="20" w:after="20" w:lineRule="auto" w:line="240"/>
              <w:ind w:firstLine="0"/>
              <w:jc w:val="center"/>
            </w:pPr>
            <w:r/>
            <w:r>
              <w:rPr>
                <w:rFonts w:ascii="Times New Roman" w:hAnsi="Times New Roman" w:cs="Times New Roman" w:eastAsia="Times New Roman"/>
                <w:b w:val="0"/>
                <w:i w:val="0"/>
                <w:sz w:val="20"/>
              </w:rPr>
              <w:t>METEOR 1.5</w:t>
            </w:r>
          </w:p>
        </w:tc>
        <w:tc>
          <w:tcPr>
            <w:tcW w:type="dxa" w:w="1928"/>
          </w:tcPr>
          <w:p>
            <w:pPr>
              <w:spacing w:before="20" w:after="20" w:lineRule="auto" w:line="240"/>
              <w:ind w:firstLine="0"/>
              <w:jc w:val="center"/>
            </w:pPr>
            <w:r/>
            <w:r>
              <w:rPr>
                <w:rFonts w:ascii="Times New Roman" w:hAnsi="Times New Roman" w:cs="Times New Roman" w:eastAsia="Times New Roman"/>
                <w:b w:val="0"/>
                <w:i w:val="0"/>
                <w:sz w:val="20"/>
              </w:rPr>
              <w:t>Có</w:t>
            </w:r>
          </w:p>
        </w:tc>
      </w:tr>
      <w:tr>
        <w:trPr>
          <w:cantSplit/>
        </w:trPr>
        <w:tc>
          <w:tcPr>
            <w:tcW w:type="dxa" w:w="1928"/>
          </w:tcPr>
          <w:p>
            <w:pPr>
              <w:spacing w:before="20" w:after="20" w:lineRule="auto" w:line="240"/>
              <w:ind w:firstLine="0"/>
              <w:jc w:val="left"/>
            </w:pPr>
            <w:r/>
            <w:r>
              <w:rPr>
                <w:rFonts w:ascii="Times New Roman" w:hAnsi="Times New Roman" w:cs="Times New Roman" w:eastAsia="Times New Roman"/>
                <w:b w:val="0"/>
                <w:i w:val="0"/>
                <w:sz w:val="20"/>
              </w:rPr>
              <w:t>ROUGE-L</w:t>
            </w:r>
          </w:p>
        </w:tc>
        <w:tc>
          <w:tcPr>
            <w:tcW w:type="dxa" w:w="3288"/>
          </w:tcPr>
          <w:p>
            <w:pPr>
              <w:spacing w:before="20" w:after="20" w:lineRule="auto" w:line="240"/>
              <w:ind w:firstLine="0"/>
              <w:jc w:val="center"/>
            </w:pPr>
            <w:r/>
            <w:r>
              <w:rPr>
                <w:rFonts w:ascii="Times New Roman" w:hAnsi="Times New Roman" w:cs="Times New Roman" w:eastAsia="Times New Roman"/>
                <w:b w:val="0"/>
                <w:i w:val="0"/>
                <w:sz w:val="20"/>
              </w:rPr>
              <w:t>Trình tự nội dung</w:t>
            </w:r>
          </w:p>
        </w:tc>
        <w:tc>
          <w:tcPr>
            <w:tcW w:type="dxa" w:w="2211"/>
          </w:tcPr>
          <w:p>
            <w:pPr>
              <w:spacing w:before="20" w:after="20" w:lineRule="auto" w:line="240"/>
              <w:ind w:firstLine="0"/>
              <w:jc w:val="center"/>
            </w:pPr>
            <w:r/>
            <w:r>
              <w:rPr>
                <w:rFonts w:ascii="Times New Roman" w:hAnsi="Times New Roman" w:cs="Times New Roman" w:eastAsia="Times New Roman"/>
                <w:b w:val="0"/>
                <w:i w:val="0"/>
                <w:sz w:val="20"/>
              </w:rPr>
              <w:t>pycocoevalcap</w:t>
            </w:r>
          </w:p>
        </w:tc>
        <w:tc>
          <w:tcPr>
            <w:tcW w:type="dxa" w:w="1928"/>
          </w:tcPr>
          <w:p>
            <w:pPr>
              <w:spacing w:before="20" w:after="20" w:lineRule="auto" w:line="240"/>
              <w:ind w:firstLine="0"/>
              <w:jc w:val="center"/>
            </w:pPr>
            <w:r/>
            <w:r>
              <w:rPr>
                <w:rFonts w:ascii="Times New Roman" w:hAnsi="Times New Roman" w:cs="Times New Roman" w:eastAsia="Times New Roman"/>
                <w:b w:val="0"/>
                <w:i w:val="0"/>
                <w:sz w:val="20"/>
              </w:rPr>
              <w:t>Có</w:t>
            </w:r>
          </w:p>
        </w:tc>
      </w:tr>
      <w:tr>
        <w:trPr>
          <w:cantSplit/>
        </w:trPr>
        <w:tc>
          <w:tcPr>
            <w:tcW w:type="dxa" w:w="1928"/>
          </w:tcPr>
          <w:p>
            <w:pPr>
              <w:spacing w:before="20" w:after="20" w:lineRule="auto" w:line="240"/>
              <w:ind w:firstLine="0"/>
              <w:jc w:val="left"/>
            </w:pPr>
            <w:r/>
            <w:r>
              <w:rPr>
                <w:rFonts w:ascii="Times New Roman" w:hAnsi="Times New Roman" w:cs="Times New Roman" w:eastAsia="Times New Roman"/>
                <w:b w:val="0"/>
                <w:i w:val="0"/>
                <w:sz w:val="20"/>
              </w:rPr>
              <w:t>CIDEr</w:t>
            </w:r>
          </w:p>
        </w:tc>
        <w:tc>
          <w:tcPr>
            <w:tcW w:type="dxa" w:w="3288"/>
          </w:tcPr>
          <w:p>
            <w:pPr>
              <w:spacing w:before="20" w:after="20" w:lineRule="auto" w:line="240"/>
              <w:ind w:firstLine="0"/>
              <w:jc w:val="center"/>
            </w:pPr>
            <w:r/>
            <w:r>
              <w:rPr>
                <w:rFonts w:ascii="Times New Roman" w:hAnsi="Times New Roman" w:cs="Times New Roman" w:eastAsia="Times New Roman"/>
                <w:b w:val="0"/>
                <w:i w:val="0"/>
                <w:sz w:val="20"/>
              </w:rPr>
              <w:t>Cụm từ đặc trưng từng ca</w:t>
            </w:r>
          </w:p>
        </w:tc>
        <w:tc>
          <w:tcPr>
            <w:tcW w:type="dxa" w:w="2211"/>
          </w:tcPr>
          <w:p>
            <w:pPr>
              <w:spacing w:before="20" w:after="20" w:lineRule="auto" w:line="240"/>
              <w:ind w:firstLine="0"/>
              <w:jc w:val="center"/>
            </w:pPr>
            <w:r/>
            <w:r>
              <w:rPr>
                <w:rFonts w:ascii="Times New Roman" w:hAnsi="Times New Roman" w:cs="Times New Roman" w:eastAsia="Times New Roman"/>
                <w:b w:val="0"/>
                <w:i w:val="0"/>
                <w:sz w:val="20"/>
              </w:rPr>
              <w:t>pycocoevalcap</w:t>
            </w:r>
          </w:p>
        </w:tc>
        <w:tc>
          <w:tcPr>
            <w:tcW w:type="dxa" w:w="1928"/>
          </w:tcPr>
          <w:p>
            <w:pPr>
              <w:spacing w:before="20" w:after="20" w:lineRule="auto" w:line="240"/>
              <w:ind w:firstLine="0"/>
              <w:jc w:val="center"/>
            </w:pPr>
            <w:r/>
            <w:r>
              <w:rPr>
                <w:rFonts w:ascii="Times New Roman" w:hAnsi="Times New Roman" w:cs="Times New Roman" w:eastAsia="Times New Roman"/>
                <w:b w:val="0"/>
                <w:i w:val="0"/>
                <w:sz w:val="20"/>
              </w:rPr>
              <w:t>Có</w:t>
            </w:r>
          </w:p>
        </w:tc>
      </w:tr>
      <w:tr>
        <w:trPr>
          <w:cantSplit/>
        </w:trPr>
        <w:tc>
          <w:tcPr>
            <w:tcW w:type="dxa" w:w="1928"/>
          </w:tcPr>
          <w:p>
            <w:pPr>
              <w:spacing w:before="20" w:after="20" w:lineRule="auto" w:line="240"/>
              <w:ind w:firstLine="0"/>
              <w:jc w:val="left"/>
            </w:pPr>
            <w:r/>
            <w:r>
              <w:rPr>
                <w:rFonts w:ascii="Times New Roman" w:hAnsi="Times New Roman" w:cs="Times New Roman" w:eastAsia="Times New Roman"/>
                <w:b w:val="0"/>
                <w:i w:val="0"/>
                <w:sz w:val="20"/>
              </w:rPr>
              <w:t>BERTScore</w:t>
            </w:r>
          </w:p>
        </w:tc>
        <w:tc>
          <w:tcPr>
            <w:tcW w:type="dxa" w:w="3288"/>
          </w:tcPr>
          <w:p>
            <w:pPr>
              <w:spacing w:before="20" w:after="20" w:lineRule="auto" w:line="240"/>
              <w:ind w:firstLine="0"/>
              <w:jc w:val="center"/>
            </w:pPr>
            <w:r/>
            <w:r>
              <w:rPr>
                <w:rFonts w:ascii="Times New Roman" w:hAnsi="Times New Roman" w:cs="Times New Roman" w:eastAsia="Times New Roman"/>
                <w:b w:val="0"/>
                <w:i w:val="0"/>
                <w:sz w:val="20"/>
              </w:rPr>
              <w:t>Tương đồng ngữ nghĩa</w:t>
            </w:r>
          </w:p>
        </w:tc>
        <w:tc>
          <w:tcPr>
            <w:tcW w:type="dxa" w:w="2211"/>
          </w:tcPr>
          <w:p>
            <w:pPr>
              <w:spacing w:before="20" w:after="20" w:lineRule="auto" w:line="240"/>
              <w:ind w:firstLine="0"/>
              <w:jc w:val="center"/>
            </w:pPr>
            <w:r/>
            <w:r>
              <w:rPr>
                <w:rFonts w:ascii="Times New Roman" w:hAnsi="Times New Roman" w:cs="Times New Roman" w:eastAsia="Times New Roman"/>
                <w:b w:val="0"/>
                <w:i w:val="0"/>
                <w:sz w:val="20"/>
              </w:rPr>
              <w:t>RoBERTa-large, thô và co giãn</w:t>
            </w:r>
          </w:p>
        </w:tc>
        <w:tc>
          <w:tcPr>
            <w:tcW w:type="dxa" w:w="1928"/>
          </w:tcPr>
          <w:p>
            <w:pPr>
              <w:spacing w:before="20" w:after="20" w:lineRule="auto" w:line="240"/>
              <w:ind w:firstLine="0"/>
              <w:jc w:val="center"/>
            </w:pPr>
            <w:r/>
            <w:r>
              <w:rPr>
                <w:rFonts w:ascii="Times New Roman" w:hAnsi="Times New Roman" w:cs="Times New Roman" w:eastAsia="Times New Roman"/>
                <w:b w:val="0"/>
                <w:i w:val="0"/>
                <w:sz w:val="20"/>
              </w:rPr>
              <w:t>Có, không nêu cài đặt</w:t>
            </w:r>
          </w:p>
        </w:tc>
      </w:tr>
      <w:tr>
        <w:trPr>
          <w:cantSplit/>
        </w:trPr>
        <w:tc>
          <w:tcPr>
            <w:tcW w:type="dxa" w:w="1928"/>
          </w:tcPr>
          <w:p>
            <w:pPr>
              <w:spacing w:before="20" w:after="20" w:lineRule="auto" w:line="240"/>
              <w:ind w:firstLine="0"/>
              <w:jc w:val="left"/>
            </w:pPr>
            <w:r/>
            <w:r>
              <w:rPr>
                <w:rFonts w:ascii="Times New Roman" w:hAnsi="Times New Roman" w:cs="Times New Roman" w:eastAsia="Times New Roman"/>
                <w:b w:val="0"/>
                <w:i w:val="0"/>
                <w:sz w:val="20"/>
              </w:rPr>
              <w:t>Độ dài, tỉ lệ lặp</w:t>
            </w:r>
          </w:p>
        </w:tc>
        <w:tc>
          <w:tcPr>
            <w:tcW w:type="dxa" w:w="3288"/>
          </w:tcPr>
          <w:p>
            <w:pPr>
              <w:spacing w:before="20" w:after="20" w:lineRule="auto" w:line="240"/>
              <w:ind w:firstLine="0"/>
              <w:jc w:val="center"/>
            </w:pPr>
            <w:r/>
            <w:r>
              <w:rPr>
                <w:rFonts w:ascii="Times New Roman" w:hAnsi="Times New Roman" w:cs="Times New Roman" w:eastAsia="Times New Roman"/>
                <w:b w:val="0"/>
                <w:i w:val="0"/>
                <w:sz w:val="20"/>
              </w:rPr>
              <w:t>Chẩn đoán lỗi sinh</w:t>
            </w:r>
          </w:p>
        </w:tc>
        <w:tc>
          <w:tcPr>
            <w:tcW w:type="dxa" w:w="2211"/>
          </w:tcPr>
          <w:p>
            <w:pPr>
              <w:spacing w:before="20" w:after="20" w:lineRule="auto" w:line="240"/>
              <w:ind w:firstLine="0"/>
              <w:jc w:val="center"/>
            </w:pPr>
            <w:r/>
            <w:r>
              <w:rPr>
                <w:rFonts w:ascii="Times New Roman" w:hAnsi="Times New Roman" w:cs="Times New Roman" w:eastAsia="Times New Roman"/>
                <w:b w:val="0"/>
                <w:i w:val="0"/>
                <w:sz w:val="20"/>
              </w:rPr>
              <w:t>Trung vị từ, 5-gram lặp 3 lần</w:t>
            </w:r>
          </w:p>
        </w:tc>
        <w:tc>
          <w:tcPr>
            <w:tcW w:type="dxa" w:w="1928"/>
          </w:tcPr>
          <w:p>
            <w:pPr>
              <w:spacing w:before="20" w:after="20" w:lineRule="auto" w:line="240"/>
              <w:ind w:firstLine="0"/>
              <w:jc w:val="center"/>
            </w:pPr>
            <w:r/>
            <w:r>
              <w:rPr>
                <w:rFonts w:ascii="Times New Roman" w:hAnsi="Times New Roman" w:cs="Times New Roman" w:eastAsia="Times New Roman"/>
                <w:b w:val="0"/>
                <w:i w:val="0"/>
                <w:sz w:val="20"/>
              </w:rPr>
              <w:t>Không</w:t>
            </w:r>
          </w:p>
        </w:tc>
      </w:tr>
      <w:tr>
        <w:trPr>
          <w:cantSplit/>
        </w:trPr>
        <w:tc>
          <w:tcPr>
            <w:tcW w:type="dxa" w:w="1928"/>
          </w:tcPr>
          <w:p>
            <w:pPr>
              <w:spacing w:before="20" w:after="20" w:lineRule="auto" w:line="240"/>
              <w:ind w:firstLine="0"/>
              <w:jc w:val="left"/>
            </w:pPr>
            <w:r/>
            <w:r>
              <w:rPr>
                <w:rFonts w:ascii="Times New Roman" w:hAnsi="Times New Roman" w:cs="Times New Roman" w:eastAsia="Times New Roman"/>
                <w:b w:val="0"/>
                <w:i w:val="0"/>
                <w:sz w:val="20"/>
              </w:rPr>
              <w:t>F1 hiệu quả lâm sàng</w:t>
            </w:r>
          </w:p>
        </w:tc>
        <w:tc>
          <w:tcPr>
            <w:tcW w:type="dxa" w:w="3288"/>
          </w:tcPr>
          <w:p>
            <w:pPr>
              <w:spacing w:before="20" w:after="20" w:lineRule="auto" w:line="240"/>
              <w:ind w:firstLine="0"/>
              <w:jc w:val="center"/>
            </w:pPr>
            <w:r/>
            <w:r>
              <w:rPr>
                <w:rFonts w:ascii="Times New Roman" w:hAnsi="Times New Roman" w:cs="Times New Roman" w:eastAsia="Times New Roman"/>
                <w:b w:val="0"/>
                <w:i w:val="0"/>
                <w:sz w:val="20"/>
              </w:rPr>
              <w:t>Độ đúng nhãn bệnh</w:t>
            </w:r>
          </w:p>
        </w:tc>
        <w:tc>
          <w:tcPr>
            <w:tcW w:type="dxa" w:w="2211"/>
          </w:tcPr>
          <w:p>
            <w:pPr>
              <w:spacing w:before="20" w:after="20" w:lineRule="auto" w:line="240"/>
              <w:ind w:firstLine="0"/>
              <w:jc w:val="center"/>
            </w:pPr>
            <w:r/>
            <w:r>
              <w:rPr>
                <w:rFonts w:ascii="Times New Roman" w:hAnsi="Times New Roman" w:cs="Times New Roman" w:eastAsia="Times New Roman"/>
                <w:b w:val="0"/>
                <w:i w:val="0"/>
                <w:sz w:val="20"/>
              </w:rPr>
              <w:t>Chưa có</w:t>
            </w:r>
          </w:p>
        </w:tc>
        <w:tc>
          <w:tcPr>
            <w:tcW w:type="dxa" w:w="1928"/>
          </w:tcPr>
          <w:p>
            <w:pPr>
              <w:spacing w:before="20" w:after="20" w:lineRule="auto" w:line="240"/>
              <w:ind w:firstLine="0"/>
              <w:jc w:val="center"/>
            </w:pPr>
            <w:r/>
            <w:r>
              <w:rPr>
                <w:rFonts w:ascii="Times New Roman" w:hAnsi="Times New Roman" w:cs="Times New Roman" w:eastAsia="Times New Roman"/>
                <w:b w:val="0"/>
                <w:i w:val="0"/>
                <w:sz w:val="20"/>
              </w:rPr>
              <w:t>Có</w:t>
            </w:r>
          </w:p>
        </w:tc>
      </w:tr>
      <w:tr>
        <w:trPr>
          <w:cantSplit/>
        </w:trPr>
        <w:tc>
          <w:tcPr>
            <w:tcW w:type="dxa" w:w="1928"/>
          </w:tcPr>
          <w:p>
            <w:pPr>
              <w:spacing w:before="20" w:after="20" w:lineRule="auto" w:line="240"/>
              <w:ind w:firstLine="0"/>
              <w:jc w:val="left"/>
            </w:pPr>
            <w:r/>
            <w:r>
              <w:rPr>
                <w:rFonts w:ascii="Times New Roman" w:hAnsi="Times New Roman" w:cs="Times New Roman" w:eastAsia="Times New Roman"/>
                <w:b w:val="0"/>
                <w:i w:val="0"/>
                <w:sz w:val="20"/>
              </w:rPr>
              <w:t>RadGraph F1, RadCliQ</w:t>
            </w:r>
          </w:p>
        </w:tc>
        <w:tc>
          <w:tcPr>
            <w:tcW w:type="dxa" w:w="3288"/>
          </w:tcPr>
          <w:p>
            <w:pPr>
              <w:spacing w:before="20" w:after="20" w:lineRule="auto" w:line="240"/>
              <w:ind w:firstLine="0"/>
              <w:jc w:val="center"/>
            </w:pPr>
            <w:r/>
            <w:r>
              <w:rPr>
                <w:rFonts w:ascii="Times New Roman" w:hAnsi="Times New Roman" w:cs="Times New Roman" w:eastAsia="Times New Roman"/>
                <w:b w:val="0"/>
                <w:i w:val="0"/>
                <w:sz w:val="20"/>
              </w:rPr>
              <w:t>Độ đúng thực thể lâm sàng</w:t>
            </w:r>
          </w:p>
        </w:tc>
        <w:tc>
          <w:tcPr>
            <w:tcW w:type="dxa" w:w="2211"/>
          </w:tcPr>
          <w:p>
            <w:pPr>
              <w:spacing w:before="20" w:after="20" w:lineRule="auto" w:line="240"/>
              <w:ind w:firstLine="0"/>
              <w:jc w:val="center"/>
            </w:pPr>
            <w:r/>
            <w:r>
              <w:rPr>
                <w:rFonts w:ascii="Times New Roman" w:hAnsi="Times New Roman" w:cs="Times New Roman" w:eastAsia="Times New Roman"/>
                <w:b w:val="0"/>
                <w:i w:val="0"/>
                <w:sz w:val="20"/>
              </w:rPr>
              <w:t>Chưa có</w:t>
            </w:r>
          </w:p>
        </w:tc>
        <w:tc>
          <w:tcPr>
            <w:tcW w:type="dxa" w:w="1928"/>
          </w:tcPr>
          <w:p>
            <w:pPr>
              <w:spacing w:before="20" w:after="20" w:lineRule="auto" w:line="240"/>
              <w:ind w:firstLine="0"/>
              <w:jc w:val="center"/>
            </w:pPr>
            <w:r/>
            <w:r>
              <w:rPr>
                <w:rFonts w:ascii="Times New Roman" w:hAnsi="Times New Roman" w:cs="Times New Roman" w:eastAsia="Times New Roman"/>
                <w:b w:val="0"/>
                <w:i w:val="0"/>
                <w:sz w:val="20"/>
              </w:rPr>
              <w:t>Có</w:t>
            </w:r>
          </w:p>
        </w:tc>
      </w:tr>
      <w:tr>
        <w:trPr>
          <w:cantSplit/>
        </w:trPr>
        <w:tc>
          <w:tcPr>
            <w:tcW w:type="dxa" w:w="1928"/>
          </w:tcPr>
          <w:p>
            <w:pPr>
              <w:spacing w:before="20" w:after="20" w:lineRule="auto" w:line="240"/>
              <w:ind w:firstLine="0"/>
              <w:jc w:val="left"/>
            </w:pPr>
            <w:r/>
            <w:r>
              <w:rPr>
                <w:rFonts w:ascii="Times New Roman" w:hAnsi="Times New Roman" w:cs="Times New Roman" w:eastAsia="Times New Roman"/>
                <w:b w:val="0"/>
                <w:i w:val="0"/>
                <w:sz w:val="20"/>
              </w:rPr>
              <w:t>Phép thay ảnh, ngẫu nhiên hóa</w:t>
            </w:r>
          </w:p>
        </w:tc>
        <w:tc>
          <w:tcPr>
            <w:tcW w:type="dxa" w:w="3288"/>
          </w:tcPr>
          <w:p>
            <w:pPr>
              <w:spacing w:before="20" w:after="20" w:lineRule="auto" w:line="240"/>
              <w:ind w:firstLine="0"/>
              <w:jc w:val="center"/>
            </w:pPr>
            <w:r/>
            <w:r>
              <w:rPr>
                <w:rFonts w:ascii="Times New Roman" w:hAnsi="Times New Roman" w:cs="Times New Roman" w:eastAsia="Times New Roman"/>
                <w:b w:val="0"/>
                <w:i w:val="0"/>
                <w:sz w:val="20"/>
              </w:rPr>
              <w:t>Độ tin cậy lời giải thích</w:t>
            </w:r>
          </w:p>
        </w:tc>
        <w:tc>
          <w:tcPr>
            <w:tcW w:type="dxa" w:w="2211"/>
          </w:tcPr>
          <w:p>
            <w:pPr>
              <w:spacing w:before="20" w:after="20" w:lineRule="auto" w:line="240"/>
              <w:ind w:firstLine="0"/>
              <w:jc w:val="center"/>
            </w:pPr>
            <w:r/>
            <w:r>
              <w:rPr>
                <w:rFonts w:ascii="Times New Roman" w:hAnsi="Times New Roman" w:cs="Times New Roman" w:eastAsia="Times New Roman"/>
                <w:b w:val="0"/>
                <w:i w:val="0"/>
                <w:sz w:val="20"/>
              </w:rPr>
              <w:t>Có, kèm khoảng tin cậy</w:t>
            </w:r>
          </w:p>
        </w:tc>
        <w:tc>
          <w:tcPr>
            <w:tcW w:type="dxa" w:w="1928"/>
          </w:tcPr>
          <w:p>
            <w:pPr>
              <w:spacing w:before="20" w:after="20" w:lineRule="auto" w:line="240"/>
              <w:ind w:firstLine="0"/>
              <w:jc w:val="center"/>
            </w:pPr>
            <w:r/>
            <w:r>
              <w:rPr>
                <w:rFonts w:ascii="Times New Roman" w:hAnsi="Times New Roman" w:cs="Times New Roman" w:eastAsia="Times New Roman"/>
                <w:b w:val="0"/>
                <w:i w:val="0"/>
                <w:sz w:val="20"/>
              </w:rPr>
              <w:t>Không</w:t>
            </w:r>
          </w:p>
        </w:tc>
      </w:tr>
    </w:tbl>
    <w:p>
      <w:pPr>
        <w:spacing w:before="0" w:after="80" w:lineRule="auto" w:line="360"/>
        <w:ind w:firstLine="0"/>
        <w:jc w:val="both"/>
      </w:pPr>
    </w:p>
    <w:p>
      <w:r>
        <w:br w:type="page"/>
      </w:r>
    </w:p>
    <w:p>
      <w:pPr>
        <w:spacing w:before="120" w:after="240" w:lineRule="auto" w:line="312"/>
        <w:ind w:firstLine="0"/>
        <w:jc w:val="center"/>
      </w:pPr>
      <w:r>
        <w:rPr>
          <w:rFonts w:ascii="Times New Roman" w:hAnsi="Times New Roman" w:cs="Times New Roman" w:eastAsia="Times New Roman"/>
          <w:b/>
          <w:i w:val="0"/>
          <w:sz w:val="28"/>
        </w:rPr>
        <w:t>TÀI LIỆU THAM KHẢO</w:t>
      </w:r>
    </w:p>
    <w:p>
      <w:pPr>
        <w:spacing w:before="0" w:after="80" w:lineRule="auto" w:line="312"/>
        <w:ind w:left="567" w:hanging="567"/>
        <w:jc w:val="both"/>
      </w:pPr>
      <w:r>
        <w:rPr>
          <w:rFonts w:ascii="Times New Roman" w:hAnsi="Times New Roman" w:cs="Times New Roman" w:eastAsia="Times New Roman"/>
          <w:b w:val="0"/>
          <w:i w:val="0"/>
          <w:sz w:val="24"/>
        </w:rPr>
        <w:t>[1] D. Edirisinghe, W. Nimalsiri, M. Hennayake, D. Meedeniya, and G. Lim, "Chest X-ray report generation using abnormality guided vision language model," IEEE Access, vol. 13, pp. 157651-157673, 2025, doi: 10.1109/ACCESS.2025.3606961.</w:t>
      </w:r>
    </w:p>
    <w:p>
      <w:pPr>
        <w:spacing w:before="0" w:after="80" w:lineRule="auto" w:line="312"/>
        <w:ind w:left="567" w:hanging="567"/>
        <w:jc w:val="both"/>
      </w:pPr>
      <w:r>
        <w:rPr>
          <w:rFonts w:ascii="Times New Roman" w:hAnsi="Times New Roman" w:cs="Times New Roman" w:eastAsia="Times New Roman"/>
          <w:b w:val="0"/>
          <w:i w:val="0"/>
          <w:sz w:val="24"/>
        </w:rPr>
        <w:t>[2] J. Irvin et al., "CheXpert: A large chest radiograph dataset with uncertainty labels and expert comparison," in Proc. AAAI Conf. Artif. Intell., vol. 33, 2019, pp. 590-597.</w:t>
      </w:r>
    </w:p>
    <w:p>
      <w:pPr>
        <w:spacing w:before="0" w:after="80" w:lineRule="auto" w:line="312"/>
        <w:ind w:left="567" w:hanging="567"/>
        <w:jc w:val="both"/>
      </w:pPr>
      <w:r>
        <w:rPr>
          <w:rFonts w:ascii="Times New Roman" w:hAnsi="Times New Roman" w:cs="Times New Roman" w:eastAsia="Times New Roman"/>
          <w:b w:val="0"/>
          <w:i w:val="0"/>
          <w:sz w:val="24"/>
        </w:rPr>
        <w:t>[3] L. Seyyed-Kalantari, G. Liu, M. McDermott, I. Y. Chen, and M. Ghassemi, "CheXclusion: Fairness gaps in deep chest X-ray classifiers," in Proc. Pacific Symp. Biocomputing, 2021, pp. 232-243.</w:t>
      </w:r>
    </w:p>
    <w:p>
      <w:pPr>
        <w:spacing w:before="0" w:after="80" w:lineRule="auto" w:line="312"/>
        <w:ind w:left="567" w:hanging="567"/>
        <w:jc w:val="both"/>
      </w:pPr>
      <w:r>
        <w:rPr>
          <w:rFonts w:ascii="Times New Roman" w:hAnsi="Times New Roman" w:cs="Times New Roman" w:eastAsia="Times New Roman"/>
          <w:b w:val="0"/>
          <w:i w:val="0"/>
          <w:sz w:val="24"/>
        </w:rPr>
        <w:t>[4] J. A. Hanley and B. J. McNeil, "The meaning and use of the area under a receiver operating characteristic (ROC) curve," Radiology, vol. 143, no. 1, pp. 29-36, 1982.</w:t>
      </w:r>
    </w:p>
    <w:p>
      <w:pPr>
        <w:spacing w:before="0" w:after="80" w:lineRule="auto" w:line="312"/>
        <w:ind w:left="567" w:hanging="567"/>
        <w:jc w:val="both"/>
      </w:pPr>
      <w:r>
        <w:rPr>
          <w:rFonts w:ascii="Times New Roman" w:hAnsi="Times New Roman" w:cs="Times New Roman" w:eastAsia="Times New Roman"/>
          <w:b w:val="0"/>
          <w:i w:val="0"/>
          <w:sz w:val="24"/>
        </w:rPr>
        <w:t>[5] T. Fawcett, "An introduction to ROC analysis," Pattern Recognit. Lett., vol. 27, no. 8, pp. 861-874, 2006.</w:t>
      </w:r>
    </w:p>
    <w:p>
      <w:pPr>
        <w:spacing w:before="0" w:after="80" w:lineRule="auto" w:line="312"/>
        <w:ind w:left="567" w:hanging="567"/>
        <w:jc w:val="both"/>
      </w:pPr>
      <w:r>
        <w:rPr>
          <w:rFonts w:ascii="Times New Roman" w:hAnsi="Times New Roman" w:cs="Times New Roman" w:eastAsia="Times New Roman"/>
          <w:b w:val="0"/>
          <w:i w:val="0"/>
          <w:sz w:val="24"/>
        </w:rPr>
        <w:t>[6] T. Saito and M. Rehmsmeier, "The precision-recall plot is more informative than the ROC plot when evaluating binary classifiers on imbalanced datasets," PLoS ONE, vol. 10, no. 3, Art. no. e0118432, 2015.</w:t>
      </w:r>
    </w:p>
    <w:p>
      <w:pPr>
        <w:spacing w:before="0" w:after="80" w:lineRule="auto" w:line="312"/>
        <w:ind w:left="567" w:hanging="567"/>
        <w:jc w:val="both"/>
      </w:pPr>
      <w:r>
        <w:rPr>
          <w:rFonts w:ascii="Times New Roman" w:hAnsi="Times New Roman" w:cs="Times New Roman" w:eastAsia="Times New Roman"/>
          <w:b w:val="0"/>
          <w:i w:val="0"/>
          <w:sz w:val="24"/>
        </w:rPr>
        <w:t>[7] Z. C. Lipton, C. Elkan, and B. Naryanaswamy, "Optimal thresholding of classifiers to maximize F1 measure," in Proc. ECML PKDD, 2014, pp. 225-239.</w:t>
      </w:r>
    </w:p>
    <w:p>
      <w:pPr>
        <w:spacing w:before="0" w:after="80" w:lineRule="auto" w:line="312"/>
        <w:ind w:left="567" w:hanging="567"/>
        <w:jc w:val="both"/>
      </w:pPr>
      <w:r>
        <w:rPr>
          <w:rFonts w:ascii="Times New Roman" w:hAnsi="Times New Roman" w:cs="Times New Roman" w:eastAsia="Times New Roman"/>
          <w:b w:val="0"/>
          <w:i w:val="0"/>
          <w:sz w:val="24"/>
        </w:rPr>
        <w:t>[8] W. J. Youden, "Index for rating diagnostic tests," Cancer, vol. 3, no. 1, pp. 32-35, 1950.</w:t>
      </w:r>
    </w:p>
    <w:p>
      <w:pPr>
        <w:spacing w:before="0" w:after="80" w:lineRule="auto" w:line="312"/>
        <w:ind w:left="567" w:hanging="567"/>
        <w:jc w:val="both"/>
      </w:pPr>
      <w:r>
        <w:rPr>
          <w:rFonts w:ascii="Times New Roman" w:hAnsi="Times New Roman" w:cs="Times New Roman" w:eastAsia="Times New Roman"/>
          <w:b w:val="0"/>
          <w:i w:val="0"/>
          <w:sz w:val="24"/>
        </w:rPr>
        <w:t>[9] B. Efron and R. J. Tibshirani, An Introduction to the Bootstrap. New York, NY, USA: Chapman and Hall, 1993.</w:t>
      </w:r>
    </w:p>
    <w:p>
      <w:pPr>
        <w:spacing w:before="0" w:after="80" w:lineRule="auto" w:line="312"/>
        <w:ind w:left="567" w:hanging="567"/>
        <w:jc w:val="both"/>
      </w:pPr>
      <w:r>
        <w:rPr>
          <w:rFonts w:ascii="Times New Roman" w:hAnsi="Times New Roman" w:cs="Times New Roman" w:eastAsia="Times New Roman"/>
          <w:b w:val="0"/>
          <w:i w:val="0"/>
          <w:sz w:val="24"/>
        </w:rPr>
        <w:t>[10] X. Chen et al., "Microsoft COCO captions: Data collection and evaluation server," arXiv:1504.00325, 2015.</w:t>
      </w:r>
    </w:p>
    <w:p>
      <w:pPr>
        <w:spacing w:before="0" w:after="80" w:lineRule="auto" w:line="312"/>
        <w:ind w:left="567" w:hanging="567"/>
        <w:jc w:val="both"/>
      </w:pPr>
      <w:r>
        <w:rPr>
          <w:rFonts w:ascii="Times New Roman" w:hAnsi="Times New Roman" w:cs="Times New Roman" w:eastAsia="Times New Roman"/>
          <w:b w:val="0"/>
          <w:i w:val="0"/>
          <w:sz w:val="24"/>
        </w:rPr>
        <w:t>[11] Z. Chen, Y. Song, T.-H. Chang, and X. Wan, "Generating radiology reports via memory-driven transformer," in Proc. EMNLP, 2020, pp. 1439-1449.</w:t>
      </w:r>
    </w:p>
    <w:p>
      <w:pPr>
        <w:spacing w:before="0" w:after="80" w:lineRule="auto" w:line="312"/>
        <w:ind w:left="567" w:hanging="567"/>
        <w:jc w:val="both"/>
      </w:pPr>
      <w:r>
        <w:rPr>
          <w:rFonts w:ascii="Times New Roman" w:hAnsi="Times New Roman" w:cs="Times New Roman" w:eastAsia="Times New Roman"/>
          <w:b w:val="0"/>
          <w:i w:val="0"/>
          <w:sz w:val="24"/>
        </w:rPr>
        <w:t>[12] K. Papineni, S. Roukos, T. Ward, and W.-J. Zhu, "BLEU: A method for automatic evaluation of machine translation," in Proc. 40th Annu. Meeting Assoc. Comput. Linguistics, 2002, pp. 311-318.</w:t>
      </w:r>
    </w:p>
    <w:p>
      <w:pPr>
        <w:spacing w:before="0" w:after="80" w:lineRule="auto" w:line="312"/>
        <w:ind w:left="567" w:hanging="567"/>
        <w:jc w:val="both"/>
      </w:pPr>
      <w:r>
        <w:rPr>
          <w:rFonts w:ascii="Times New Roman" w:hAnsi="Times New Roman" w:cs="Times New Roman" w:eastAsia="Times New Roman"/>
          <w:b w:val="0"/>
          <w:i w:val="0"/>
          <w:sz w:val="24"/>
        </w:rPr>
        <w:t>[13] M. Denkowski and A. Lavie, "Meteor Universal: Language specific translation evaluation for any target language," in Proc. 9th Workshop Statistical Machine Translation, 2014, pp. 376-380.</w:t>
      </w:r>
    </w:p>
    <w:p>
      <w:pPr>
        <w:spacing w:before="0" w:after="80" w:lineRule="auto" w:line="312"/>
        <w:ind w:left="567" w:hanging="567"/>
        <w:jc w:val="both"/>
      </w:pPr>
      <w:r>
        <w:rPr>
          <w:rFonts w:ascii="Times New Roman" w:hAnsi="Times New Roman" w:cs="Times New Roman" w:eastAsia="Times New Roman"/>
          <w:b w:val="0"/>
          <w:i w:val="0"/>
          <w:sz w:val="24"/>
        </w:rPr>
        <w:t>[14] C.-Y. Lin, "ROUGE: A package for automatic evaluation of summaries," in Text Summarization Branches Out, 2004, pp. 74-81.</w:t>
      </w:r>
    </w:p>
    <w:p>
      <w:pPr>
        <w:spacing w:before="0" w:after="80" w:lineRule="auto" w:line="312"/>
        <w:ind w:left="567" w:hanging="567"/>
        <w:jc w:val="both"/>
      </w:pPr>
      <w:r>
        <w:rPr>
          <w:rFonts w:ascii="Times New Roman" w:hAnsi="Times New Roman" w:cs="Times New Roman" w:eastAsia="Times New Roman"/>
          <w:b w:val="0"/>
          <w:i w:val="0"/>
          <w:sz w:val="24"/>
        </w:rPr>
        <w:t>[15] R. Vedantam, C. L. Zitnick, and D. Parikh, "CIDEr: Consensus-based image description evaluation," in Proc. IEEE Conf. Comput. Vis. Pattern Recognit., 2015, pp. 4566-4575.</w:t>
      </w:r>
    </w:p>
    <w:p>
      <w:pPr>
        <w:spacing w:before="0" w:after="80" w:lineRule="auto" w:line="312"/>
        <w:ind w:left="567" w:hanging="567"/>
        <w:jc w:val="both"/>
      </w:pPr>
      <w:r>
        <w:rPr>
          <w:rFonts w:ascii="Times New Roman" w:hAnsi="Times New Roman" w:cs="Times New Roman" w:eastAsia="Times New Roman"/>
          <w:b w:val="0"/>
          <w:i w:val="0"/>
          <w:sz w:val="24"/>
        </w:rPr>
        <w:t>[16] T. Zhang, V. Kishore, F. Wu, K. Q. Weinberger, and Y. Artzi, "BERTScore: Evaluating text generation with BERT," in Proc. Int. Conf. Learn. Represent., 2020.</w:t>
      </w:r>
    </w:p>
    <w:p>
      <w:pPr>
        <w:spacing w:before="0" w:after="80" w:lineRule="auto" w:line="312"/>
        <w:ind w:left="567" w:hanging="567"/>
        <w:jc w:val="both"/>
      </w:pPr>
      <w:r>
        <w:rPr>
          <w:rFonts w:ascii="Times New Roman" w:hAnsi="Times New Roman" w:cs="Times New Roman" w:eastAsia="Times New Roman"/>
          <w:b w:val="0"/>
          <w:i w:val="0"/>
          <w:sz w:val="24"/>
        </w:rPr>
        <w:t>[17] A. Holtzman, J. Buys, L. Du, M. Forbes, and Y. Choi, "The curious case of neural text degeneration," in Proc. Int. Conf. Learn. Represent., 2020.</w:t>
      </w:r>
    </w:p>
    <w:p>
      <w:pPr>
        <w:spacing w:before="0" w:after="80" w:lineRule="auto" w:line="312"/>
        <w:ind w:left="567" w:hanging="567"/>
        <w:jc w:val="both"/>
      </w:pPr>
      <w:r>
        <w:rPr>
          <w:rFonts w:ascii="Times New Roman" w:hAnsi="Times New Roman" w:cs="Times New Roman" w:eastAsia="Times New Roman"/>
          <w:b w:val="0"/>
          <w:i w:val="0"/>
          <w:sz w:val="24"/>
        </w:rPr>
        <w:t>[18] A. Smit, S. Jain, P. Rajpurkar, A. Pareek, A. Y. Ng, and M. P. Lungren, "CheXbert: Combining automatic labelers and expert annotations for accurate radiology report labeling using BERT," in Proc. EMNLP, 2020, pp. 1500-1519.</w:t>
      </w:r>
    </w:p>
    <w:p>
      <w:pPr>
        <w:spacing w:before="0" w:after="80" w:lineRule="auto" w:line="312"/>
        <w:ind w:left="567" w:hanging="567"/>
        <w:jc w:val="both"/>
      </w:pPr>
      <w:r>
        <w:rPr>
          <w:rFonts w:ascii="Times New Roman" w:hAnsi="Times New Roman" w:cs="Times New Roman" w:eastAsia="Times New Roman"/>
          <w:b w:val="0"/>
          <w:i w:val="0"/>
          <w:sz w:val="24"/>
        </w:rPr>
        <w:t>[19] S. Jain et al., "RadGraph: Extracting clinical entities and relations from radiology reports," in Proc. NeurIPS Datasets and Benchmarks Track, 2021.</w:t>
      </w:r>
    </w:p>
    <w:p>
      <w:pPr>
        <w:spacing w:before="0" w:after="80" w:lineRule="auto" w:line="312"/>
        <w:ind w:left="567" w:hanging="567"/>
        <w:jc w:val="both"/>
      </w:pPr>
      <w:r>
        <w:rPr>
          <w:rFonts w:ascii="Times New Roman" w:hAnsi="Times New Roman" w:cs="Times New Roman" w:eastAsia="Times New Roman"/>
          <w:b w:val="0"/>
          <w:i w:val="0"/>
          <w:sz w:val="24"/>
        </w:rPr>
        <w:t>[20] F. Yu et al., "Evaluating progress in automatic chest X-ray radiology report generation," Patterns, vol. 4, no. 9, Art. no. 100802, 2023.</w:t>
      </w:r>
    </w:p>
    <w:p>
      <w:pPr>
        <w:spacing w:before="0" w:after="80" w:lineRule="auto" w:line="312"/>
        <w:ind w:left="567" w:hanging="567"/>
        <w:jc w:val="both"/>
      </w:pPr>
      <w:r>
        <w:rPr>
          <w:rFonts w:ascii="Times New Roman" w:hAnsi="Times New Roman" w:cs="Times New Roman" w:eastAsia="Times New Roman"/>
          <w:b w:val="0"/>
          <w:i w:val="0"/>
          <w:sz w:val="24"/>
        </w:rPr>
        <w:t>[21] J. Adebayo, J. Gilmer, M. Muelly, I. Goodfellow, M. Hardt, and B. Kim, "Sanity checks for saliency maps," in Proc. Adv. Neural Inf. Process. Syst., 2018, pp. 9505-9515.</w:t>
      </w:r>
    </w:p>
    <w:sectPr w:rsidR="00FC693F" w:rsidRPr="0006063C" w:rsidSect="00034616">
      <w:footerReference w:type="default" r:id="rId9"/>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s="Times New Roman" w:eastAsia="Times New Roman"/>
        <w:b w:val="0"/>
        <w:i w:val="0"/>
        <w:sz w:val="2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