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3551" w14:textId="1960BCF8" w:rsidR="000F0279" w:rsidRDefault="007F0C8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22222"/>
          <w:sz w:val="40"/>
          <w:szCs w:val="40"/>
        </w:rPr>
        <w:t>Minh Anh Pham</w:t>
      </w:r>
    </w:p>
    <w:p w14:paraId="4C332F6E" w14:textId="3B11CF40" w:rsidR="000F0279" w:rsidRDefault="007F0C89">
      <w:pPr>
        <w:spacing w:after="200"/>
        <w:jc w:val="center"/>
      </w:pPr>
      <w:r>
        <w:rPr>
          <w:rFonts w:ascii="Calibri" w:eastAsia="Calibri" w:hAnsi="Calibri" w:cs="Calibri"/>
          <w:color w:val="222222"/>
        </w:rPr>
        <w:t xml:space="preserve">+61 410 909 </w:t>
      </w:r>
      <w:proofErr w:type="gramStart"/>
      <w:r>
        <w:rPr>
          <w:rFonts w:ascii="Calibri" w:eastAsia="Calibri" w:hAnsi="Calibri" w:cs="Calibri"/>
          <w:color w:val="222222"/>
        </w:rPr>
        <w:t>077</w:t>
      </w:r>
      <w:r w:rsidR="00000000">
        <w:rPr>
          <w:rFonts w:ascii="Calibri" w:eastAsia="Calibri" w:hAnsi="Calibri" w:cs="Calibri"/>
          <w:color w:val="222222"/>
        </w:rPr>
        <w:t xml:space="preserve">  |</w:t>
      </w:r>
      <w:proofErr w:type="gramEnd"/>
      <w:r w:rsidR="00000000">
        <w:rPr>
          <w:rFonts w:ascii="Calibri" w:eastAsia="Calibri" w:hAnsi="Calibri" w:cs="Calibri"/>
          <w:color w:val="222222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</w:rPr>
        <w:t>minhanhp4@gmail.com</w:t>
      </w:r>
      <w:r w:rsidR="00000000">
        <w:rPr>
          <w:rFonts w:ascii="Calibri" w:eastAsia="Calibri" w:hAnsi="Calibri" w:cs="Calibri"/>
          <w:color w:val="222222"/>
        </w:rPr>
        <w:t xml:space="preserve">  |</w:t>
      </w:r>
      <w:proofErr w:type="gramEnd"/>
      <w:r w:rsidR="00000000">
        <w:rPr>
          <w:rFonts w:ascii="Calibri" w:eastAsia="Calibri" w:hAnsi="Calibri" w:cs="Calibri"/>
          <w:color w:val="222222"/>
        </w:rPr>
        <w:t xml:space="preserve">  </w:t>
      </w:r>
      <w:r w:rsidRPr="007F0C89">
        <w:rPr>
          <w:rFonts w:ascii="Calibri" w:eastAsia="Calibri" w:hAnsi="Calibri" w:cs="Calibri"/>
          <w:color w:val="222222"/>
        </w:rPr>
        <w:t>www.linkedin.com/in/minh-anh-pham-4</w:t>
      </w:r>
    </w:p>
    <w:p w14:paraId="62AF61FB" w14:textId="77777777" w:rsidR="000F0279" w:rsidRDefault="00000000">
      <w:pPr>
        <w:pBdr>
          <w:bottom w:val="single" w:sz="6" w:space="2" w:color="1F4E79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Professional Summary</w:t>
      </w:r>
    </w:p>
    <w:p w14:paraId="7D4EBDE9" w14:textId="7CA74A35" w:rsidR="000F0279" w:rsidRPr="001349B2" w:rsidRDefault="001349B2" w:rsidP="001349B2">
      <w:pPr>
        <w:spacing w:after="8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Associate consultant</w:t>
      </w:r>
      <w:r w:rsidRPr="001349B2">
        <w:rPr>
          <w:rFonts w:ascii="Calibri" w:eastAsia="Calibri" w:hAnsi="Calibri" w:cs="Calibri"/>
          <w:color w:val="222222"/>
        </w:rPr>
        <w:t xml:space="preserve"> with demonstrated expertise in </w:t>
      </w:r>
      <w:r>
        <w:rPr>
          <w:rFonts w:ascii="Calibri" w:eastAsia="Calibri" w:hAnsi="Calibri" w:cs="Calibri"/>
          <w:color w:val="222222"/>
        </w:rPr>
        <w:t>problem-solving</w:t>
      </w:r>
      <w:r w:rsidRPr="001349B2">
        <w:rPr>
          <w:rFonts w:ascii="Calibri" w:eastAsia="Calibri" w:hAnsi="Calibri" w:cs="Calibri"/>
          <w:color w:val="222222"/>
        </w:rPr>
        <w:t xml:space="preserve">, strategic analysis, and decision-support for executive and board governance. Proven capability in cost and spend reconciliation, scenario forecasting, and variance analysis. Experienced in developing high-quality strategic planning artefacts, leadership papers, and governance reporting for </w:t>
      </w:r>
      <w:proofErr w:type="gramStart"/>
      <w:r w:rsidRPr="001349B2">
        <w:rPr>
          <w:rFonts w:ascii="Calibri" w:eastAsia="Calibri" w:hAnsi="Calibri" w:cs="Calibri"/>
          <w:color w:val="222222"/>
        </w:rPr>
        <w:t>regulated,</w:t>
      </w:r>
      <w:proofErr w:type="gramEnd"/>
      <w:r w:rsidRPr="001349B2">
        <w:rPr>
          <w:rFonts w:ascii="Calibri" w:eastAsia="Calibri" w:hAnsi="Calibri" w:cs="Calibri"/>
          <w:color w:val="222222"/>
        </w:rPr>
        <w:t xml:space="preserve"> asset-intensive organisations. Strong analytical foundation combined with ability to translate complex financial and strategic information into clear, actionable insights for diverse stakeholder audiences.</w:t>
      </w:r>
    </w:p>
    <w:p w14:paraId="50D88AC8" w14:textId="77777777" w:rsidR="000F0279" w:rsidRDefault="00000000">
      <w:pPr>
        <w:pBdr>
          <w:bottom w:val="single" w:sz="6" w:space="2" w:color="1F4E79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Skills</w:t>
      </w:r>
    </w:p>
    <w:p w14:paraId="1E50ED4E" w14:textId="77777777" w:rsidR="000F0279" w:rsidRDefault="00000000">
      <w:pPr>
        <w:spacing w:after="8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Technical</w:t>
      </w:r>
    </w:p>
    <w:p w14:paraId="21AC8A3A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Financial analysis: </w:t>
      </w:r>
      <w:r>
        <w:rPr>
          <w:rFonts w:ascii="Calibri" w:eastAsia="Calibri" w:hAnsi="Calibri" w:cs="Calibri"/>
          <w:color w:val="222222"/>
        </w:rPr>
        <w:t>cost/spend reconciliation against SAP S/4HANA, forecast vs. actual variance analysis, business-case modelling, budget and resource forecasting</w:t>
      </w:r>
    </w:p>
    <w:p w14:paraId="733F9215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Tools: </w:t>
      </w:r>
      <w:r>
        <w:rPr>
          <w:rFonts w:ascii="Calibri" w:eastAsia="Calibri" w:hAnsi="Calibri" w:cs="Calibri"/>
          <w:color w:val="222222"/>
        </w:rPr>
        <w:t>Excel (INDEX/MATCH, VLOOKUP, SUMIF, pivot tables, conditional formatting, charting), Power BI dashboards, Jira Align, advanced PowerPoint, Word, Miro, Visio</w:t>
      </w:r>
    </w:p>
    <w:p w14:paraId="68D4269D" w14:textId="77777777" w:rsidR="000F0279" w:rsidRDefault="000F0279"/>
    <w:p w14:paraId="2DDA3FF6" w14:textId="77777777" w:rsidR="000F0279" w:rsidRDefault="00000000">
      <w:pPr>
        <w:spacing w:before="80" w:after="8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Core Competencies</w:t>
      </w:r>
    </w:p>
    <w:p w14:paraId="28D47B90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Strategic and market analysis, </w:t>
      </w:r>
      <w:r>
        <w:rPr>
          <w:rFonts w:ascii="Calibri" w:eastAsia="Calibri" w:hAnsi="Calibri" w:cs="Calibri"/>
          <w:color w:val="222222"/>
        </w:rPr>
        <w:t>scenario forecasting, options analysis, competitor and portfolio analysis</w:t>
      </w:r>
    </w:p>
    <w:p w14:paraId="7A9509D1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Executive and board-level reporting, </w:t>
      </w:r>
      <w:r>
        <w:rPr>
          <w:rFonts w:ascii="Calibri" w:eastAsia="Calibri" w:hAnsi="Calibri" w:cs="Calibri"/>
          <w:color w:val="222222"/>
        </w:rPr>
        <w:t>decision-support papers, data visualisation</w:t>
      </w:r>
    </w:p>
    <w:p w14:paraId="42A69435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Stakeholder engagement </w:t>
      </w:r>
      <w:r>
        <w:rPr>
          <w:rFonts w:ascii="Calibri" w:eastAsia="Calibri" w:hAnsi="Calibri" w:cs="Calibri"/>
          <w:color w:val="222222"/>
        </w:rPr>
        <w:t>across peers, SLTs, ELTs, and board forums</w:t>
      </w:r>
    </w:p>
    <w:p w14:paraId="0B9083B5" w14:textId="77777777" w:rsidR="000F0279" w:rsidRDefault="00000000">
      <w:pPr>
        <w:pBdr>
          <w:bottom w:val="single" w:sz="6" w:space="2" w:color="1F4E79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Professional Experience</w:t>
      </w:r>
    </w:p>
    <w:p w14:paraId="4219710C" w14:textId="5BCA01CD" w:rsidR="000F0279" w:rsidRDefault="00000000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PMO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Analyst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 Optus — </w:t>
      </w:r>
      <w:r w:rsidR="00DC624A">
        <w:rPr>
          <w:rFonts w:ascii="Calibri" w:eastAsia="Calibri" w:hAnsi="Calibri" w:cs="Calibri"/>
          <w:color w:val="222222"/>
          <w:sz w:val="22"/>
          <w:szCs w:val="22"/>
        </w:rPr>
        <w:t>Portfolio Management</w:t>
      </w:r>
      <w:r>
        <w:rPr>
          <w:rFonts w:ascii="Calibri" w:eastAsia="Calibri" w:hAnsi="Calibri" w:cs="Calibri"/>
          <w:i/>
          <w:iCs/>
          <w:color w:val="555555"/>
        </w:rPr>
        <w:tab/>
        <w:t>Nov 2025 – Present</w:t>
      </w:r>
    </w:p>
    <w:p w14:paraId="6512BF56" w14:textId="77777777" w:rsidR="000F0279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55555"/>
        </w:rPr>
        <w:t>Seconded to Corporate IT</w:t>
      </w:r>
    </w:p>
    <w:p w14:paraId="1B432840" w14:textId="1716DF76" w:rsidR="000F0279" w:rsidRDefault="00DC624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>Identified</w:t>
      </w:r>
      <w:r w:rsidR="00000000">
        <w:rPr>
          <w:rFonts w:ascii="Calibri" w:eastAsia="Calibri" w:hAnsi="Calibri" w:cs="Calibri"/>
          <w:b/>
          <w:bCs/>
          <w:color w:val="222222"/>
        </w:rPr>
        <w:t xml:space="preserve"> $257,000 </w:t>
      </w:r>
      <w:r w:rsidR="00000000">
        <w:rPr>
          <w:rFonts w:ascii="Calibri" w:eastAsia="Calibri" w:hAnsi="Calibri" w:cs="Calibri"/>
          <w:color w:val="222222"/>
        </w:rPr>
        <w:t>in forecast-to-actual spend variances by reconciling cost data against SAP S/4HANA reporting, flagging and investigating each discrepancy with initiative owners to protect budget integrity.</w:t>
      </w:r>
    </w:p>
    <w:p w14:paraId="245A6A44" w14:textId="0EEC3317" w:rsidR="000F0279" w:rsidRDefault="00000000" w:rsidP="001349B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Co-led the FY26Q4 and FY27Q1 </w:t>
      </w:r>
      <w:r>
        <w:rPr>
          <w:rFonts w:ascii="Calibri" w:eastAsia="Calibri" w:hAnsi="Calibri" w:cs="Calibri"/>
          <w:color w:val="222222"/>
        </w:rPr>
        <w:t>quarterly planning cycles</w:t>
      </w:r>
      <w:r w:rsidR="00DE492B">
        <w:rPr>
          <w:rFonts w:ascii="Calibri" w:eastAsia="Calibri" w:hAnsi="Calibri" w:cs="Calibri"/>
          <w:color w:val="222222"/>
        </w:rPr>
        <w:t xml:space="preserve"> </w:t>
      </w:r>
      <w:r w:rsidR="00DE492B">
        <w:rPr>
          <w:rFonts w:ascii="Calibri" w:eastAsia="Calibri" w:hAnsi="Calibri" w:cs="Calibri"/>
          <w:color w:val="222222"/>
        </w:rPr>
        <w:t>across a 17-team, 485-resource portfolio</w:t>
      </w:r>
      <w:r>
        <w:rPr>
          <w:rFonts w:ascii="Calibri" w:eastAsia="Calibri" w:hAnsi="Calibri" w:cs="Calibri"/>
          <w:color w:val="222222"/>
        </w:rPr>
        <w:t>, consolidating timelines, resource forecasts, and budget allocations into the approved portfolio prioritisation roadmap.</w:t>
      </w:r>
    </w:p>
    <w:p w14:paraId="3BAB65CE" w14:textId="0503BE4E" w:rsidR="000F0279" w:rsidRDefault="00000000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Associate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Consultant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 NCS Australia — Technology Advisory</w:t>
      </w:r>
      <w:r>
        <w:rPr>
          <w:rFonts w:ascii="Calibri" w:eastAsia="Calibri" w:hAnsi="Calibri" w:cs="Calibri"/>
          <w:i/>
          <w:iCs/>
          <w:color w:val="555555"/>
        </w:rPr>
        <w:tab/>
        <w:t>Feb 2025 – Present</w:t>
      </w:r>
    </w:p>
    <w:p w14:paraId="396D6508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Managed a business-case </w:t>
      </w:r>
      <w:r>
        <w:rPr>
          <w:rFonts w:ascii="Calibri" w:eastAsia="Calibri" w:hAnsi="Calibri" w:cs="Calibri"/>
          <w:color w:val="222222"/>
        </w:rPr>
        <w:t>cost model supporting an ~$700k multi-year investment, owning the inputs and assumptions and producing the options analysis and recommendation slides for stakeholder review.</w:t>
      </w:r>
    </w:p>
    <w:p w14:paraId="34C9AB8A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Assessed 20 </w:t>
      </w:r>
      <w:r>
        <w:rPr>
          <w:rFonts w:ascii="Calibri" w:eastAsia="Calibri" w:hAnsi="Calibri" w:cs="Calibri"/>
          <w:color w:val="222222"/>
        </w:rPr>
        <w:t>content management systems against client KPIs for a regulated utilities client, narrowing the field to a single recommended solution.</w:t>
      </w:r>
    </w:p>
    <w:p w14:paraId="37C6997C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Supported a $4M </w:t>
      </w:r>
      <w:r>
        <w:rPr>
          <w:rFonts w:ascii="Calibri" w:eastAsia="Calibri" w:hAnsi="Calibri" w:cs="Calibri"/>
          <w:color w:val="222222"/>
        </w:rPr>
        <w:t>digital transformation for a national telecommunications client, working with the Salesforce Lead and Global Transformation Officer on delivery and business-development strategy.</w:t>
      </w:r>
    </w:p>
    <w:p w14:paraId="58FB0768" w14:textId="77777777" w:rsidR="000F0279" w:rsidRDefault="00000000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Strategy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Analyst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 Pacific National — Strategy &amp; Competitive Intelligence</w:t>
      </w:r>
      <w:r>
        <w:rPr>
          <w:rFonts w:ascii="Calibri" w:eastAsia="Calibri" w:hAnsi="Calibri" w:cs="Calibri"/>
          <w:i/>
          <w:iCs/>
          <w:color w:val="555555"/>
        </w:rPr>
        <w:tab/>
        <w:t>May 2024 – Nov 2024</w:t>
      </w:r>
    </w:p>
    <w:p w14:paraId="3158070F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Produced 6 </w:t>
      </w:r>
      <w:r>
        <w:rPr>
          <w:rFonts w:ascii="Calibri" w:eastAsia="Calibri" w:hAnsi="Calibri" w:cs="Calibri"/>
          <w:color w:val="222222"/>
        </w:rPr>
        <w:t>monthly intelligence reports for executive leadership and the board, forecasting national haulage demand through macroeconomic scenario analysis and flagging risks across state and national economies.</w:t>
      </w:r>
    </w:p>
    <w:p w14:paraId="1913A1F8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Tracked the 3 </w:t>
      </w:r>
      <w:r>
        <w:rPr>
          <w:rFonts w:ascii="Calibri" w:eastAsia="Calibri" w:hAnsi="Calibri" w:cs="Calibri"/>
          <w:color w:val="222222"/>
        </w:rPr>
        <w:t>major players and 4 national rail corridors to map market share, identifying the highest- and lowest-performing corridors to guide medium-to-long-term expansion strategy.</w:t>
      </w:r>
    </w:p>
    <w:p w14:paraId="21396091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Researched freight </w:t>
      </w:r>
      <w:r>
        <w:rPr>
          <w:rFonts w:ascii="Calibri" w:eastAsia="Calibri" w:hAnsi="Calibri" w:cs="Calibri"/>
          <w:color w:val="222222"/>
        </w:rPr>
        <w:t>and truck traffic across 6 major highways, giving the strategy team a clearer read on intermodal and bulk-industry competition.</w:t>
      </w:r>
    </w:p>
    <w:p w14:paraId="313A5A5E" w14:textId="77777777" w:rsidR="000F0279" w:rsidRDefault="00000000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Undergraduate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Consultant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 BDO — Digital &amp; Technology Consulting</w:t>
      </w:r>
      <w:r>
        <w:rPr>
          <w:rFonts w:ascii="Calibri" w:eastAsia="Calibri" w:hAnsi="Calibri" w:cs="Calibri"/>
          <w:i/>
          <w:iCs/>
          <w:color w:val="555555"/>
        </w:rPr>
        <w:tab/>
        <w:t>May 2023 – May 2024</w:t>
      </w:r>
    </w:p>
    <w:p w14:paraId="26A98AC3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Ran 19 </w:t>
      </w:r>
      <w:r>
        <w:rPr>
          <w:rFonts w:ascii="Calibri" w:eastAsia="Calibri" w:hAnsi="Calibri" w:cs="Calibri"/>
          <w:color w:val="222222"/>
        </w:rPr>
        <w:t>stakeholder workshops across every business unit up to CIO level to shape a private health insurer's data strategy, which was implemented alongside a new data governance steering committee.</w:t>
      </w:r>
    </w:p>
    <w:p w14:paraId="513D20AC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Mapped customer </w:t>
      </w:r>
      <w:r>
        <w:rPr>
          <w:rFonts w:ascii="Calibri" w:eastAsia="Calibri" w:hAnsi="Calibri" w:cs="Calibri"/>
          <w:color w:val="222222"/>
        </w:rPr>
        <w:t>personas and a customer journey through primary research, contributing to a 25% uplift in customer-satisfaction scores.</w:t>
      </w:r>
    </w:p>
    <w:p w14:paraId="311B4B6A" w14:textId="77777777" w:rsidR="000F0279" w:rsidRDefault="00000000">
      <w:pPr>
        <w:pBdr>
          <w:bottom w:val="single" w:sz="6" w:space="2" w:color="1F4E79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lastRenderedPageBreak/>
        <w:t>Other Experience</w:t>
      </w:r>
    </w:p>
    <w:p w14:paraId="7F28EEAE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Deloitte — Technology Strategy &amp; Transformation Intern (2023): </w:t>
      </w:r>
      <w:r>
        <w:rPr>
          <w:rFonts w:ascii="Calibri" w:eastAsia="Calibri" w:hAnsi="Calibri" w:cs="Calibri"/>
          <w:color w:val="222222"/>
        </w:rPr>
        <w:t>Mapped processes across 5 business functions in Miro and Visio, cutting process cycle time by 33%.</w:t>
      </w:r>
    </w:p>
    <w:p w14:paraId="60598CDC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BDO — Cybersecurity Intern (2022): </w:t>
      </w:r>
      <w:r>
        <w:rPr>
          <w:rFonts w:ascii="Calibri" w:eastAsia="Calibri" w:hAnsi="Calibri" w:cs="Calibri"/>
          <w:color w:val="222222"/>
        </w:rPr>
        <w:t>Reviewed 200+ documents across four projects to confirm client compliance with ISO 27001, SOC 2 Type II, and CPS 234.</w:t>
      </w:r>
    </w:p>
    <w:p w14:paraId="667DB34E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color w:val="222222"/>
        </w:rPr>
        <w:t>BusinessOne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Consulting — Strategy Consultant (2022): </w:t>
      </w:r>
      <w:r>
        <w:rPr>
          <w:rFonts w:ascii="Calibri" w:eastAsia="Calibri" w:hAnsi="Calibri" w:cs="Calibri"/>
          <w:color w:val="222222"/>
        </w:rPr>
        <w:t>Analysed 6 competitors in Australia's healthcare consulting market to sharpen the client's value proposition.</w:t>
      </w:r>
    </w:p>
    <w:p w14:paraId="7F5499F0" w14:textId="77777777" w:rsidR="000F027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ANZ Bank — Technology Intern (2021): </w:t>
      </w:r>
      <w:r>
        <w:rPr>
          <w:rFonts w:ascii="Calibri" w:eastAsia="Calibri" w:hAnsi="Calibri" w:cs="Calibri"/>
          <w:color w:val="222222"/>
        </w:rPr>
        <w:t>Produced configuration management and steering committee documentation to tighten project governance.</w:t>
      </w:r>
    </w:p>
    <w:p w14:paraId="6BA28DE3" w14:textId="77777777" w:rsidR="000F0279" w:rsidRDefault="00000000">
      <w:pPr>
        <w:pBdr>
          <w:bottom w:val="single" w:sz="6" w:space="2" w:color="1F4E79"/>
        </w:pBdr>
        <w:spacing w:before="200" w:after="80"/>
      </w:pPr>
      <w:r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Education</w:t>
      </w:r>
    </w:p>
    <w:p w14:paraId="562A277D" w14:textId="77777777" w:rsidR="000F0279" w:rsidRDefault="00000000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color w:val="222222"/>
        </w:rPr>
        <w:t>Bachelor of Project Management (Major: Business Information Systems)</w:t>
      </w:r>
      <w:r>
        <w:rPr>
          <w:rFonts w:ascii="Calibri" w:eastAsia="Calibri" w:hAnsi="Calibri" w:cs="Calibri"/>
          <w:i/>
          <w:iCs/>
          <w:color w:val="555555"/>
        </w:rPr>
        <w:tab/>
        <w:t>2021 – 2024</w:t>
      </w:r>
    </w:p>
    <w:p w14:paraId="2A39C126" w14:textId="77777777" w:rsidR="000F0279" w:rsidRDefault="00000000">
      <w:r>
        <w:rPr>
          <w:rFonts w:ascii="Calibri" w:eastAsia="Calibri" w:hAnsi="Calibri" w:cs="Calibri"/>
          <w:color w:val="222222"/>
        </w:rPr>
        <w:t>University of Sydney</w:t>
      </w:r>
    </w:p>
    <w:sectPr w:rsidR="000F027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77E"/>
    <w:multiLevelType w:val="hybridMultilevel"/>
    <w:tmpl w:val="A76667D4"/>
    <w:lvl w:ilvl="0" w:tplc="B09CE14C">
      <w:start w:val="1"/>
      <w:numFmt w:val="bullet"/>
      <w:lvlText w:val="•"/>
      <w:lvlJc w:val="left"/>
      <w:pPr>
        <w:ind w:left="360" w:hanging="220"/>
      </w:pPr>
    </w:lvl>
    <w:lvl w:ilvl="1" w:tplc="AA065B66">
      <w:numFmt w:val="decimal"/>
      <w:lvlText w:val=""/>
      <w:lvlJc w:val="left"/>
    </w:lvl>
    <w:lvl w:ilvl="2" w:tplc="AD9603A2">
      <w:numFmt w:val="decimal"/>
      <w:lvlText w:val=""/>
      <w:lvlJc w:val="left"/>
    </w:lvl>
    <w:lvl w:ilvl="3" w:tplc="ABFC8F82">
      <w:numFmt w:val="decimal"/>
      <w:lvlText w:val=""/>
      <w:lvlJc w:val="left"/>
    </w:lvl>
    <w:lvl w:ilvl="4" w:tplc="D660B97C">
      <w:numFmt w:val="decimal"/>
      <w:lvlText w:val=""/>
      <w:lvlJc w:val="left"/>
    </w:lvl>
    <w:lvl w:ilvl="5" w:tplc="46CA28AE">
      <w:numFmt w:val="decimal"/>
      <w:lvlText w:val=""/>
      <w:lvlJc w:val="left"/>
    </w:lvl>
    <w:lvl w:ilvl="6" w:tplc="0A34C04A">
      <w:numFmt w:val="decimal"/>
      <w:lvlText w:val=""/>
      <w:lvlJc w:val="left"/>
    </w:lvl>
    <w:lvl w:ilvl="7" w:tplc="5A26D4F0">
      <w:numFmt w:val="decimal"/>
      <w:lvlText w:val=""/>
      <w:lvlJc w:val="left"/>
    </w:lvl>
    <w:lvl w:ilvl="8" w:tplc="87E85F0A">
      <w:numFmt w:val="decimal"/>
      <w:lvlText w:val=""/>
      <w:lvlJc w:val="left"/>
    </w:lvl>
  </w:abstractNum>
  <w:abstractNum w:abstractNumId="1" w15:restartNumberingAfterBreak="0">
    <w:nsid w:val="64376E51"/>
    <w:multiLevelType w:val="hybridMultilevel"/>
    <w:tmpl w:val="AEF8FFB4"/>
    <w:lvl w:ilvl="0" w:tplc="4E28C540">
      <w:start w:val="1"/>
      <w:numFmt w:val="bullet"/>
      <w:lvlText w:val="●"/>
      <w:lvlJc w:val="left"/>
      <w:pPr>
        <w:ind w:left="720" w:hanging="360"/>
      </w:pPr>
    </w:lvl>
    <w:lvl w:ilvl="1" w:tplc="DC2651BA">
      <w:start w:val="1"/>
      <w:numFmt w:val="bullet"/>
      <w:lvlText w:val="○"/>
      <w:lvlJc w:val="left"/>
      <w:pPr>
        <w:ind w:left="1440" w:hanging="360"/>
      </w:pPr>
    </w:lvl>
    <w:lvl w:ilvl="2" w:tplc="A3B87056">
      <w:start w:val="1"/>
      <w:numFmt w:val="bullet"/>
      <w:lvlText w:val="■"/>
      <w:lvlJc w:val="left"/>
      <w:pPr>
        <w:ind w:left="2160" w:hanging="360"/>
      </w:pPr>
    </w:lvl>
    <w:lvl w:ilvl="3" w:tplc="32C654B8">
      <w:start w:val="1"/>
      <w:numFmt w:val="bullet"/>
      <w:lvlText w:val="●"/>
      <w:lvlJc w:val="left"/>
      <w:pPr>
        <w:ind w:left="2880" w:hanging="360"/>
      </w:pPr>
    </w:lvl>
    <w:lvl w:ilvl="4" w:tplc="8068B8CC">
      <w:start w:val="1"/>
      <w:numFmt w:val="bullet"/>
      <w:lvlText w:val="○"/>
      <w:lvlJc w:val="left"/>
      <w:pPr>
        <w:ind w:left="3600" w:hanging="360"/>
      </w:pPr>
    </w:lvl>
    <w:lvl w:ilvl="5" w:tplc="DC2AE360">
      <w:start w:val="1"/>
      <w:numFmt w:val="bullet"/>
      <w:lvlText w:val="■"/>
      <w:lvlJc w:val="left"/>
      <w:pPr>
        <w:ind w:left="4320" w:hanging="360"/>
      </w:pPr>
    </w:lvl>
    <w:lvl w:ilvl="6" w:tplc="69BA7AAA">
      <w:start w:val="1"/>
      <w:numFmt w:val="bullet"/>
      <w:lvlText w:val="●"/>
      <w:lvlJc w:val="left"/>
      <w:pPr>
        <w:ind w:left="5040" w:hanging="360"/>
      </w:pPr>
    </w:lvl>
    <w:lvl w:ilvl="7" w:tplc="49EC5B20">
      <w:start w:val="1"/>
      <w:numFmt w:val="bullet"/>
      <w:lvlText w:val="●"/>
      <w:lvlJc w:val="left"/>
      <w:pPr>
        <w:ind w:left="5760" w:hanging="360"/>
      </w:pPr>
    </w:lvl>
    <w:lvl w:ilvl="8" w:tplc="43CE9D4E">
      <w:start w:val="1"/>
      <w:numFmt w:val="bullet"/>
      <w:lvlText w:val="●"/>
      <w:lvlJc w:val="left"/>
      <w:pPr>
        <w:ind w:left="6480" w:hanging="360"/>
      </w:pPr>
    </w:lvl>
  </w:abstractNum>
  <w:num w:numId="1" w16cid:durableId="1038318423">
    <w:abstractNumId w:val="1"/>
    <w:lvlOverride w:ilvl="0">
      <w:startOverride w:val="1"/>
    </w:lvlOverride>
  </w:num>
  <w:num w:numId="2" w16cid:durableId="1637876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79"/>
    <w:rsid w:val="000F0279"/>
    <w:rsid w:val="001349B2"/>
    <w:rsid w:val="0038339F"/>
    <w:rsid w:val="007C0E93"/>
    <w:rsid w:val="007F0C89"/>
    <w:rsid w:val="00DC624A"/>
    <w:rsid w:val="00DE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1B60"/>
  <w15:docId w15:val="{CCAF0A83-900D-4F18-BE06-6D3D392F2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Annabel Nguyen</cp:lastModifiedBy>
  <cp:revision>4</cp:revision>
  <dcterms:created xsi:type="dcterms:W3CDTF">2026-05-23T08:27:00Z</dcterms:created>
  <dcterms:modified xsi:type="dcterms:W3CDTF">2026-05-23T08:57:00Z</dcterms:modified>
</cp:coreProperties>
</file>