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795"/>
      </w:tblGrid>
      <w:tr>
        <w:tc>
          <w:tcPr>
            <w:tcW w:type="dxa" w:w="4831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CÔNG TY CỔ PHẦN</w:t>
              <w:br/>
              <w:t>KING FOOD MARKET</w:t>
              <w:br/>
            </w:r>
            <w:r>
              <w:rPr>
                <w:rFonts w:ascii="Times New Roman" w:hAnsi="Times New Roman"/>
                <w:b/>
                <w:sz w:val="21"/>
              </w:rPr>
              <w:t>*****</w:t>
            </w:r>
          </w:p>
        </w:tc>
        <w:tc>
          <w:tcPr>
            <w:tcW w:type="dxa" w:w="4831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CỘNG HÒA XÃ HỘI CHỦ NGHĨA VIỆT NAM</w:t>
              <w:br/>
              <w:t>Độc lập – Tự do – Hạnh phúc</w:t>
              <w:br/>
            </w:r>
            <w:r>
              <w:rPr>
                <w:rFonts w:ascii="Times New Roman" w:hAnsi="Times New Roman"/>
                <w:i/>
                <w:sz w:val="20"/>
              </w:rPr>
              <w:t>********</w:t>
              <w:br/>
              <w:t>TPHCM, ngày 17 tháng 08 năm 2026</w:t>
            </w:r>
          </w:p>
        </w:tc>
      </w:tr>
    </w:tbl>
    <w:p>
      <w:pPr>
        <w:spacing w:before="280" w:after="120" w:line="276" w:lineRule="auto"/>
        <w:jc w:val="center"/>
      </w:pPr>
      <w:r>
        <w:rPr>
          <w:rFonts w:ascii="Times New Roman" w:hAnsi="Times New Roman"/>
          <w:b/>
          <w:sz w:val="28"/>
        </w:rPr>
        <w:t>QUYẾT ĐỊNH</w:t>
        <w:br/>
      </w:r>
      <w:r>
        <w:rPr>
          <w:rFonts w:ascii="Times New Roman" w:hAnsi="Times New Roman"/>
          <w:b/>
          <w:sz w:val="23"/>
        </w:rPr>
        <w:t>Về việc truy thu giá trị claim KHO SEEDLOG tháng 07/2026</w:t>
        <w:br/>
        <w:t>-------------------------</w:t>
      </w:r>
    </w:p>
    <w:p>
      <w:pPr>
        <w:spacing w:before="80" w:after="120" w:line="276" w:lineRule="auto"/>
        <w:jc w:val="left"/>
      </w:pPr>
      <w:r>
        <w:rPr>
          <w:rFonts w:ascii="Times New Roman" w:hAnsi="Times New Roman"/>
          <w:sz w:val="21"/>
        </w:rPr>
        <w:t>- Căn cứ vào kết quả giao nhận và kiểm tra thực tế tháng 07/2026</w:t>
        <w:br/>
        <w:t>- Căn cứ kết quả đối chiếu của KFM và SCF</w:t>
      </w:r>
    </w:p>
    <w:p>
      <w:pPr>
        <w:spacing w:before="80" w:after="120" w:line="276" w:lineRule="auto"/>
        <w:jc w:val="left"/>
      </w:pPr>
      <w:r>
        <w:rPr>
          <w:rFonts w:ascii="Times New Roman" w:hAnsi="Times New Roman"/>
          <w:b/>
          <w:sz w:val="21"/>
        </w:rPr>
        <w:t xml:space="preserve">Điều 1: </w:t>
      </w:r>
      <w:r>
        <w:rPr>
          <w:rFonts w:ascii="Times New Roman" w:hAnsi="Times New Roman"/>
          <w:sz w:val="21"/>
        </w:rPr>
        <w:t>Ghi nhận truy thu/bồi hoàn số lượng và giá trị theo thông tin bên dưới và bảng kê đính kèm: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656"/>
        <w:gridCol w:w="1296"/>
        <w:gridCol w:w="1152"/>
        <w:gridCol w:w="1512"/>
        <w:gridCol w:w="1512"/>
        <w:gridCol w:w="1195"/>
      </w:tblGrid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Tháng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kho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CO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SL Chênh lệch</w:t>
            </w:r>
          </w:p>
        </w:tc>
        <w:tc>
          <w:tcPr>
            <w:tcW w:type="dxa" w:w="1512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Giá trị</w:t>
            </w:r>
          </w:p>
        </w:tc>
        <w:tc>
          <w:tcPr>
            <w:tcW w:type="dxa" w:w="1512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Giá trị (VAT)</w:t>
            </w:r>
          </w:p>
        </w:tc>
        <w:tc>
          <w:tcPr>
            <w:tcW w:type="dxa" w:w="1195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Ghi chú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/>
                <w:sz w:val="18"/>
              </w:rPr>
              <w:t>Tháng 07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/>
                <w:sz w:val="18"/>
              </w:rPr>
              <w:t>KHO SEEDLOG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CO804618,</w:t>
              <w:br/>
              <w:t>CO804622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 w:before="40" w:after="40"/>
              <w:jc w:val="right"/>
            </w:pPr>
            <w:r>
              <w:rPr>
                <w:rFonts w:ascii="Times New Roman" w:hAnsi="Times New Roman"/>
                <w:sz w:val="18"/>
              </w:rPr>
              <w:t>(1,173)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 w:before="40" w:after="40"/>
              <w:jc w:val="right"/>
            </w:pPr>
            <w:r>
              <w:rPr>
                <w:rFonts w:ascii="Times New Roman" w:hAnsi="Times New Roman"/>
                <w:sz w:val="18"/>
              </w:rPr>
              <w:t>(20,237,293)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 w:before="40" w:after="40"/>
              <w:jc w:val="right"/>
            </w:pPr>
            <w:r>
              <w:rPr>
                <w:rFonts w:ascii="Times New Roman" w:hAnsi="Times New Roman"/>
                <w:sz w:val="18"/>
              </w:rPr>
              <w:t>(21,815,446)</w:t>
            </w:r>
          </w:p>
        </w:tc>
        <w:tc>
          <w:tcPr>
            <w:tcW w:type="dxa" w:w="1195"/>
            <w:tcMar>
              <w:top w:w="50" w:type="dxa"/>
              <w:bottom w:w="50" w:type="dxa"/>
              <w:left w:w="60" w:type="dxa"/>
              <w:right w:w="60" w:type="dxa"/>
            </w:tcMar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  <w:vAlign w:val="center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/>
                <w:sz w:val="18"/>
              </w:rPr>
              <w:t>Claim DC 100%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/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/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CO804596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 w:before="40" w:after="40"/>
              <w:jc w:val="right"/>
            </w:pPr>
            <w:r>
              <w:rPr>
                <w:rFonts w:ascii="Times New Roman" w:hAnsi="Times New Roman"/>
                <w:sz w:val="18"/>
              </w:rPr>
              <w:t>(316)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 w:before="40" w:after="40"/>
              <w:jc w:val="right"/>
            </w:pPr>
            <w:r>
              <w:rPr>
                <w:rFonts w:ascii="Times New Roman" w:hAnsi="Times New Roman"/>
                <w:sz w:val="18"/>
              </w:rPr>
              <w:t>(5,214,694)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 w:before="40" w:after="40"/>
              <w:jc w:val="right"/>
            </w:pPr>
            <w:r>
              <w:rPr>
                <w:rFonts w:ascii="Times New Roman" w:hAnsi="Times New Roman"/>
                <w:sz w:val="18"/>
              </w:rPr>
              <w:t>(5,619,650)</w:t>
            </w:r>
          </w:p>
        </w:tc>
        <w:tc>
          <w:tcPr>
            <w:tcW w:type="dxa" w:w="1195"/>
            <w:tcMar>
              <w:top w:w="50" w:type="dxa"/>
              <w:bottom w:w="50" w:type="dxa"/>
              <w:left w:w="60" w:type="dxa"/>
              <w:right w:w="60" w:type="dxa"/>
            </w:tcMar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/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/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/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HK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 w:before="40" w:after="40"/>
              <w:jc w:val="right"/>
            </w:pPr>
            <w:r>
              <w:rPr>
                <w:rFonts w:ascii="Times New Roman" w:hAnsi="Times New Roman"/>
                <w:sz w:val="18"/>
              </w:rPr>
              <w:t>(171)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 w:before="40" w:after="40"/>
              <w:jc w:val="right"/>
            </w:pPr>
            <w:r>
              <w:rPr>
                <w:rFonts w:ascii="Times New Roman" w:hAnsi="Times New Roman"/>
                <w:sz w:val="18"/>
              </w:rPr>
              <w:t>(4,050,275)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 w:before="40" w:after="40"/>
              <w:jc w:val="right"/>
            </w:pPr>
            <w:r>
              <w:rPr>
                <w:rFonts w:ascii="Times New Roman" w:hAnsi="Times New Roman"/>
                <w:sz w:val="18"/>
              </w:rPr>
              <w:t>(4,373,220)</w:t>
            </w:r>
          </w:p>
        </w:tc>
        <w:tc>
          <w:tcPr>
            <w:tcW w:type="dxa" w:w="1195"/>
            <w:tcMar>
              <w:top w:w="50" w:type="dxa"/>
              <w:bottom w:w="50" w:type="dxa"/>
              <w:left w:w="60" w:type="dxa"/>
              <w:right w:w="60" w:type="dxa"/>
            </w:tcMar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/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/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/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CO804600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 w:before="40" w:after="40"/>
              <w:jc w:val="right"/>
            </w:pPr>
            <w:r>
              <w:rPr>
                <w:rFonts w:ascii="Times New Roman" w:hAnsi="Times New Roman"/>
                <w:sz w:val="18"/>
              </w:rPr>
              <w:t>(820)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 w:before="40" w:after="40"/>
              <w:jc w:val="right"/>
            </w:pPr>
            <w:r>
              <w:rPr>
                <w:rFonts w:ascii="Times New Roman" w:hAnsi="Times New Roman"/>
                <w:sz w:val="18"/>
              </w:rPr>
              <w:t>(15,995,981)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 w:before="40" w:after="40"/>
              <w:jc w:val="right"/>
            </w:pPr>
            <w:r>
              <w:rPr>
                <w:rFonts w:ascii="Times New Roman" w:hAnsi="Times New Roman"/>
                <w:sz w:val="18"/>
              </w:rPr>
              <w:t>(17,279,889)</w:t>
            </w:r>
          </w:p>
        </w:tc>
        <w:tc>
          <w:tcPr>
            <w:tcW w:type="dxa" w:w="1195"/>
            <w:tcMar>
              <w:top w:w="50" w:type="dxa"/>
              <w:bottom w:w="50" w:type="dxa"/>
              <w:left w:w="60" w:type="dxa"/>
              <w:right w:w="60" w:type="dxa"/>
            </w:tcMar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/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/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/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CO804605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 w:before="40" w:after="40"/>
              <w:jc w:val="right"/>
            </w:pPr>
            <w:r>
              <w:rPr>
                <w:rFonts w:ascii="Times New Roman" w:hAnsi="Times New Roman"/>
                <w:sz w:val="18"/>
              </w:rPr>
              <w:t>(844)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 w:before="40" w:after="40"/>
              <w:jc w:val="right"/>
            </w:pPr>
            <w:r>
              <w:rPr>
                <w:rFonts w:ascii="Times New Roman" w:hAnsi="Times New Roman"/>
                <w:sz w:val="18"/>
              </w:rPr>
              <w:t>(14,276,484)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 w:before="40" w:after="40"/>
              <w:jc w:val="right"/>
            </w:pPr>
            <w:r>
              <w:rPr>
                <w:rFonts w:ascii="Times New Roman" w:hAnsi="Times New Roman"/>
                <w:sz w:val="18"/>
              </w:rPr>
              <w:t>(15,470,638)</w:t>
            </w:r>
          </w:p>
        </w:tc>
        <w:tc>
          <w:tcPr>
            <w:tcW w:type="dxa" w:w="1195"/>
            <w:tcMar>
              <w:top w:w="50" w:type="dxa"/>
              <w:bottom w:w="50" w:type="dxa"/>
              <w:left w:w="60" w:type="dxa"/>
              <w:right w:w="60" w:type="dxa"/>
            </w:tcMar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/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</w:r>
          </w:p>
        </w:tc>
        <w:tc>
          <w:tcPr>
            <w:tcW w:type="dxa" w:w="1656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Grand Total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 w:before="40" w:after="4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(3,324)</w:t>
            </w:r>
          </w:p>
        </w:tc>
        <w:tc>
          <w:tcPr>
            <w:tcW w:type="dxa" w:w="1512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 w:before="40" w:after="4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(59,774,727)</w:t>
            </w:r>
          </w:p>
        </w:tc>
        <w:tc>
          <w:tcPr>
            <w:tcW w:type="dxa" w:w="1512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 w:before="40" w:after="4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(64,558,843)</w:t>
            </w:r>
          </w:p>
        </w:tc>
        <w:tc>
          <w:tcPr>
            <w:tcW w:type="dxa" w:w="1195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</w:r>
          </w:p>
        </w:tc>
      </w:tr>
    </w:tbl>
    <w:p>
      <w:pPr>
        <w:spacing w:before="200" w:after="120" w:line="300" w:lineRule="auto"/>
        <w:jc w:val="left"/>
      </w:pPr>
      <w:r>
        <w:rPr>
          <w:rFonts w:ascii="Times New Roman" w:hAnsi="Times New Roman"/>
          <w:sz w:val="21"/>
        </w:rPr>
        <w:t xml:space="preserve">• Chi phí KHO SEEDLOG T07/2026 (VAT): </w:t>
      </w:r>
      <w:r>
        <w:rPr>
          <w:rFonts w:ascii="Times New Roman" w:hAnsi="Times New Roman"/>
          <w:b/>
          <w:sz w:val="21"/>
        </w:rPr>
        <w:t>64,558,843 VNĐ</w:t>
        <w:br/>
      </w:r>
      <w:r>
        <w:rPr>
          <w:rFonts w:ascii="Times New Roman" w:hAnsi="Times New Roman"/>
          <w:sz w:val="21"/>
        </w:rPr>
        <w:t>- Tổng giá trị chênh lệch kho: (59,774,727) VNĐ (Chưa VAT)</w:t>
        <w:br/>
        <w:t>- Tỷ lệ quy trách nhiệm: DC (SCF) chịu 100% giá trị.</w:t>
        <w:br/>
        <w:t>(Bằng chữ: Sáu mươi bốn triệu năm trăm năm mươi tám nghìn tám trăm bốn mươi ba đồng)</w:t>
      </w:r>
    </w:p>
    <w:p>
      <w:pPr>
        <w:spacing w:before="120" w:after="240" w:line="300" w:lineRule="auto"/>
        <w:jc w:val="left"/>
      </w:pPr>
      <w:r>
        <w:rPr>
          <w:rFonts w:ascii="Times New Roman" w:hAnsi="Times New Roman"/>
          <w:b/>
          <w:sz w:val="21"/>
        </w:rPr>
        <w:t xml:space="preserve">Điều 2: </w:t>
      </w:r>
      <w:r>
        <w:rPr>
          <w:rFonts w:ascii="Times New Roman" w:hAnsi="Times New Roman"/>
          <w:sz w:val="21"/>
        </w:rPr>
        <w:t>Khoản truy thu này sẽ được ghi nhận vào điều chỉnh năm 2026.</w:t>
        <w:br/>
      </w:r>
      <w:r>
        <w:rPr>
          <w:rFonts w:ascii="Times New Roman" w:hAnsi="Times New Roman"/>
          <w:b/>
          <w:sz w:val="21"/>
        </w:rPr>
        <w:t xml:space="preserve">Điều 3: </w:t>
      </w:r>
      <w:r>
        <w:rPr>
          <w:rFonts w:ascii="Times New Roman" w:hAnsi="Times New Roman"/>
          <w:sz w:val="21"/>
        </w:rPr>
        <w:t>Quyết định có hiệu lực kể từ ngày ký. Các Phòng Ban SCF, KFM có nghĩa vụ thực hiện theo quyết định này.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66"/>
        <w:gridCol w:w="4666"/>
      </w:tblGrid>
      <w:tr>
        <w:tc>
          <w:tcPr>
            <w:tcW w:type="dxa" w:w="4831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Đại diện SCF</w:t>
              <w:br/>
            </w:r>
            <w:r>
              <w:rPr>
                <w:rFonts w:ascii="Times New Roman" w:hAnsi="Times New Roman"/>
                <w:b w:val="0"/>
                <w:i/>
                <w:sz w:val="20"/>
              </w:rPr>
              <w:t>(Ký, họ tên)</w:t>
              <w:br/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1"/>
              </w:rPr>
              <w:t>Nguyễn Ngọc Xuân Quang</w:t>
            </w:r>
          </w:p>
        </w:tc>
        <w:tc>
          <w:tcPr>
            <w:tcW w:type="dxa" w:w="4831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Đại diện KFM</w:t>
              <w:br/>
            </w:r>
            <w:r>
              <w:rPr>
                <w:rFonts w:ascii="Times New Roman" w:hAnsi="Times New Roman"/>
                <w:b w:val="0"/>
                <w:i/>
                <w:sz w:val="20"/>
              </w:rPr>
              <w:t>(Ký, họ tên)</w:t>
              <w:br/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1"/>
              </w:rPr>
              <w:t>Nguyễn Hoàng Lâm</w:t>
            </w:r>
          </w:p>
        </w:tc>
      </w:tr>
    </w:tbl>
    <w:sectPr w:rsidR="00FC693F" w:rsidRPr="0006063C" w:rsidSect="00034616">
      <w:pgSz w:w="12240" w:h="15840"/>
      <w:pgMar w:top="1138" w:right="1138" w:bottom="11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