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26 tháng 08 năm 2026</w:t>
            </w:r>
          </w:p>
        </w:tc>
      </w:tr>
    </w:tbl>
    <w:p>
      <w:pPr>
        <w:spacing w:before="280"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MEATFISH tháng 08/2026</w:t>
        <w:br/>
        <w:t>-------------------------</w:t>
      </w:r>
    </w:p>
    <w:p>
      <w:pPr>
        <w:spacing w:after="160"/>
      </w:pPr>
      <w:r>
        <w:rPr>
          <w:rFonts w:ascii="Times New Roman" w:hAnsi="Times New Roman"/>
          <w:i/>
          <w:sz w:val="22"/>
        </w:rPr>
        <w:t>- Căn cứ vào kết quả giao nhận và kiểm tra thực tế tháng 08/2026</w:t>
        <w:br/>
        <w:t>- Căn cứ kết quả đối chiếu của KFM và SCF</w:t>
      </w:r>
    </w:p>
    <w:p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Tháng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kho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 Chênh lệch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Giá trị (VNĐ)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 MEATFISH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(4,520)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(185,250,000)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Claim DC 100%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Grand Total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(4,520)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(185,250,000)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sz w:val="22"/>
        </w:rPr>
        <w:t>• Chi phí KHO MEATFISH T08/2026 (chưa vat):</w:t>
        <w:br/>
        <w:t xml:space="preserve">  - Tổng giá trị chênh lệch kho: (185,250,000) VNĐ (Chưa VAT)</w:t>
        <w:br/>
        <w:t xml:space="preserve">  - Tỷ lệ quy trách nhiệm: DC (SCF) chịu 100% giá trị.</w:t>
        <w:br/>
        <w:t xml:space="preserve">  - Tổng GT truy thu SCF (100%): (185,250,000 VNĐ) (Chưa VAT)</w:t>
        <w:br/>
        <w:t xml:space="preserve">    (Bằng chữ: Một trăm tám mươi lăm triệu hai trăm năm mươi nghìn đồng)</w:t>
      </w:r>
    </w:p>
    <w:p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