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 xml:space="preserve">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 xml:space="preserve">Thiết kế xem xét sinh viên đi theo nhóm, phụ huynh tham quan cùng gia đình và người khiếm thị dùng trình đọc màn hình. Họ lần lượt cần nội dung nhanh, tuyến theo thời lượng và cách mở hiện vật không phụ thuộc camera. Đây là các giả định thiết kế; chưa có phỏng vấn hoặc kiểm thử với đại diện ba nhóm. W3C khuyến nghị đưa người khuyết tật vào quá trình đánh giá khả năng tiếp cận.</w:t>
      </w:r>
    </w:p>
    <w:bookmarkEnd w:id="727"/>
    <w:bookmarkStart w:id="728" w:name="chức-năng-của-ứng-dụng"/>
    <w:p>
      <w:pPr>
        <w:pStyle w:val="Heading2"/>
      </w:pPr>
      <w:r>
        <w:rPr>
          <w:lang w:val="vi-VN"/>
        </w:rPr>
        <w:t xml:space="preserve">1.3. Chức năng của ứng dụng</w:t>
      </w:r>
    </w:p>
    <w:p>
      <w:pPr>
        <w:pStyle w:val="FirstParagraph"/>
      </w:pPr>
      <w:r>
        <w:rPr>
          <w:lang w:val="vi-VN"/>
        </w:rPr>
        <w:t xml:space="preserve">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Hướng dẫn văn hóa miễn phí;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 xml:space="preserve">Đối chiếu dựa trên chức năng do hai sản phẩm công bố, chưa phải kiểm thử trực tiếp. Dấu Xưa tập trung vào chuyện ngắn tại di sản Việt Nam; giá trị của hướng này vẫn cần kiểm chứng.</w:t>
      </w:r>
    </w:p>
    <w:bookmarkEnd w:id="729"/>
    <w:bookmarkEnd w:id="730"/>
    <w:bookmarkStart w:id="819" w:name="thiết-kế-trải-nghiệm-người-dùng"/>
    <w:p>
      <w:pPr>
        <w:pStyle w:val="Heading1"/>
      </w:pPr>
      <w:r>
        <w:rPr>
          <w:lang w:val="vi-VN"/>
        </w:rPr>
        <w:t xml:space="preserve">2. Thiết kế trải nghiệm người dùng</w:t>
      </w:r>
    </w:p>
    <w:p>
      <w:pPr>
        <w:pStyle w:val="FirstParagraph"/>
      </w:pPr>
      <w:r>
        <w:rPr>
          <w:lang w:val="vi-VN"/>
        </w:rPr>
        <w:t xml:space="preserve">Quy trình UCD đi từ chân dung và kịch bản đến yêu cầu, HTA, phác thảo và rà soát giao diện. Các bước đánh giá người dùng thật chưa được thực hiện.</w:t>
      </w:r>
    </w:p>
    <w:bookmarkStart w:id="734" w:name="chân-dung-người-dùng"/>
    <w:p>
      <w:pPr>
        <w:pStyle w:val="Heading2"/>
        <w:pageBreakBefore/>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Nghe chuyện 2–3 phút và biết điểm tiếp theo;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tuyến phù hợp và xem rõ lợi ích, giá trước khi mua; trẻ dễ chán khi chỉ đọc.</w:t>
            </w:r>
          </w:p>
        </w:tc>
      </w:tr>
    </w:tbl>
    <w:bookmarkEnd w:id="732"/>
    <w:bookmarkStart w:id="733" w:name="chân-dung-3-nam-người-khiếm-thị"/>
    <w:p>
      <w:r>
        <w:br w:type="page"/>
      </w:r>
    </w:p>
    <w:p>
      <w:pPr>
        <w:pStyle w:val="Heading3"/>
        <w:keepNext/>
        <w:pageBreakBefore/>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Tự tìm hiện vật, nghe mô tả trước câu chuyện; QR và hình ảnh khó tự thao tác.</w:t>
            </w:r>
          </w:p>
        </w:tc>
      </w:tr>
    </w:tbl>
    <w:p>
      <w:pPr>
        <w:pStyle w:val="BodyText"/>
      </w:pPr>
      <w:r>
        <w:rPr>
          <w:lang w:val="vi-VN"/>
        </w:rPr>
        <w:t xml:space="preserve">Ba chân dung chưa được xác thực bằng nghiên cứu người dùng.</w:t>
      </w:r>
    </w:p>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 xml:space="preserve">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ageBreakBefore/>
      </w:pPr>
      <w:r>
        <w:rPr>
          <w:lang w:val="vi-VN"/>
        </w:rPr>
        <w:t xml:space="preserve">2.4. Phân tích nhiệm vụ theo thứ bậc (HTA)</w:t>
      </w:r>
    </w:p>
    <w:p>
      <w:pPr>
        <w:pStyle w:val="FirstParagraph"/>
      </w:pPr>
      <w:r>
        <w:rPr>
          <w:lang w:val="vi-VN"/>
        </w:rPr>
        <w:t xml:space="preserve">HTA 1–8 ứng với M1–M8; HTA 9 mô tả tour trả phí. Sơ đồ thể hiện thứ tự, nhánh thay thế và điểm quay lại.</w:t>
      </w:r>
    </w:p>
    <w:bookmarkStart w:id="747" w:name="Xe21212b297c663a7dcc70fc1fddd199a4c48298"/>
    <w:p>
      <w:pPr>
        <w:pStyle w:val="Heading3"/>
        <w:keepNext/>
      </w:pPr>
      <w:r>
        <w:rPr>
          <w:lang w:val="vi-VN"/>
        </w:rPr>
        <w:t xml:space="preserve">HTA 1: Chọn đúng địa điểm đang tham quan cho M1</w:t>
      </w:r>
    </w:p>
    <w:p>
      <w:pPr>
        <w:pStyle w:val="FirstParagraph"/>
      </w:pPr>
      <w:r>
        <w:rPr>
          <w:lang w:val="vi-VN"/>
        </w:rPr>
        <w:t xml:space="preserve">Chọn theo vị trí mô phỏng, tìm tên hoặc danh sách;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1. HTA chọn địa điểm.</w:t>
      </w:r>
    </w:p>
    <w:bookmarkEnd w:id="747"/>
    <w:bookmarkStart w:id="751" w:name="Xc3d78bd064e4681b313cee6759a926dfd7f9f72"/>
    <w:p>
      <w:pPr>
        <w:pStyle w:val="Heading3"/>
        <w:keepNext/>
      </w:pPr>
      <w:r>
        <w:rPr>
          <w:lang w:val="vi-VN"/>
        </w:rPr>
        <w:t xml:space="preserve">HTA 2: Mở đúng nội dung của một hiện vật cho M2</w:t>
      </w:r>
    </w:p>
    <w:p>
      <w:pPr>
        <w:pStyle w:val="FirstParagraph"/>
      </w:pPr>
      <w:r>
        <w:rPr>
          <w:lang w:val="vi-VN"/>
        </w:rPr>
        <w:t xml:space="preserve">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2. HTA mở hiện vật.</w:t>
      </w:r>
    </w:p>
    <w:bookmarkEnd w:id="751"/>
    <w:bookmarkStart w:id="755" w:name="X98d054586ac3095f73df15bf0aa0b260946fa2d"/>
    <w:p>
      <w:pPr>
        <w:pStyle w:val="Heading3"/>
        <w:keepNext/>
      </w:pPr>
      <w:r>
        <w:rPr>
          <w:lang w:val="vi-VN"/>
        </w:rPr>
        <w:t xml:space="preserve">HTA 3: Nghe câu chuyện ngắn có âm thanh và hình ảnh cho M3</w:t>
      </w:r>
    </w:p>
    <w:p>
      <w:pPr>
        <w:pStyle w:val="FirstParagraph"/>
      </w:pPr>
      <w:r>
        <w:rPr>
          <w:lang w:val="vi-VN"/>
        </w:rPr>
        <w:t xml:space="preserve">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3. HTA nghe câu chuyện.</w:t>
      </w:r>
    </w:p>
    <w:bookmarkEnd w:id="755"/>
    <w:bookmarkStart w:id="759" w:name="Xca4d7dd379929c2ed924f11377ea5b84ef5b862"/>
    <w:p>
      <w:pPr>
        <w:pStyle w:val="Heading3"/>
        <w:keepNext/>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4. HTA điều khiển trình phát.</w:t>
      </w:r>
    </w:p>
    <w:bookmarkEnd w:id="759"/>
    <w:bookmarkStart w:id="763" w:name="Xa6bf52d39cd177001aebe9309f68c476195f3f0"/>
    <w:p>
      <w:pPr>
        <w:pStyle w:val="Heading3"/>
        <w:keepNext/>
      </w:pPr>
      <w:r>
        <w:rPr>
          <w:lang w:val="vi-VN"/>
        </w:rPr>
        <w:t xml:space="preserve">HTA 5: Truy cập mô tả của hiện vật và hình ảnh cho M5</w:t>
      </w:r>
    </w:p>
    <w:p>
      <w:pPr>
        <w:pStyle w:val="FirstParagraph"/>
      </w:pPr>
      <w:r>
        <w:rPr>
          <w:lang w:val="vi-VN"/>
        </w:rPr>
        <w:t xml:space="preserve">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5. HTA truy cập mô tả.</w:t>
      </w:r>
    </w:p>
    <w:bookmarkEnd w:id="763"/>
    <w:bookmarkStart w:id="767" w:name="X9b7b94b8bbaa4859f81e3f00f4af2e09b0715e8"/>
    <w:p>
      <w:pPr>
        <w:pStyle w:val="Heading3"/>
        <w:keepNext/>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6. HTA dùng trình đọc màn hình.</w:t>
      </w:r>
    </w:p>
    <w:bookmarkEnd w:id="767"/>
    <w:bookmarkStart w:id="771" w:name="Xdd51292eb54f43addfbcb2654df854655f6c0e5"/>
    <w:p>
      <w:pPr>
        <w:pStyle w:val="Heading3"/>
        <w:keepNext/>
      </w:pPr>
      <w:r>
        <w:rPr>
          <w:lang w:val="vi-VN"/>
        </w:rPr>
        <w:t xml:space="preserve">HTA 7: Thiết lập và sử dụng tín hiệu rung cho M7</w:t>
      </w:r>
    </w:p>
    <w:p>
      <w:pPr>
        <w:pStyle w:val="FirstParagraph"/>
      </w:pPr>
      <w:r>
        <w:rPr>
          <w:lang w:val="vi-VN"/>
        </w:rPr>
        <w:t xml:space="preserve">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7. HTA thiết lập rung.</w:t>
      </w:r>
    </w:p>
    <w:bookmarkEnd w:id="771"/>
    <w:bookmarkStart w:id="775" w:name="X88ea4e6cc2ac7120e4bd6865ef0f2baaeaf622d"/>
    <w:p>
      <w:pPr>
        <w:pStyle w:val="Heading3"/>
        <w:keepNext/>
      </w:pPr>
      <w:r>
        <w:rPr>
          <w:lang w:val="vi-VN"/>
        </w:rPr>
        <w:t xml:space="preserve">HTA 8: Kiểm tra nguồn của nội dung lịch sử cho M8</w:t>
      </w:r>
    </w:p>
    <w:p>
      <w:pPr>
        <w:pStyle w:val="FirstParagraph"/>
      </w:pPr>
      <w:r>
        <w:rPr>
          <w:lang w:val="vi-VN"/>
        </w:rPr>
        <w:t xml:space="preserve">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8. HTA kiểm tra nguồn.</w:t>
      </w:r>
    </w:p>
    <w:bookmarkEnd w:id="775"/>
    <w:bookmarkStart w:id="779" w:name="X4310957e2e51bb03bd452d766a4267f729a20ff"/>
    <w:p>
      <w:pPr>
        <w:pStyle w:val="Heading3"/>
        <w:keepNext/>
      </w:pPr>
      <w:r>
        <w:rPr>
          <w:lang w:val="vi-VN"/>
        </w:rPr>
        <w:t xml:space="preserve">HTA 9: Mua và trải nghiệm Premium Historical Tour</w:t>
      </w:r>
    </w:p>
    <w:p>
      <w:pPr>
        <w:pStyle w:val="FirstParagraph"/>
      </w:pPr>
      <w:r>
        <w:rPr>
          <w:lang w:val="vi-VN"/>
        </w:rPr>
        <w:t xml:space="preserve">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jc w:val="center"/>
      </w:pPr>
      <w:r>
        <w:rPr>
          <w:i w:val="0"/>
          <w:lang w:val="vi-VN"/>
        </w:rPr>
        <w:t xml:space="preserve">Hình 9. HTA tour trả phí.</w:t>
      </w:r>
    </w:p>
    <w:bookmarkEnd w:id="779"/>
    <w:bookmarkEnd w:id="780"/>
    <w:bookmarkStart w:id="795" w:name="Xd8d4798b3291d67464a452e96bea4fc184c7d24"/>
    <w:p>
      <w:pPr>
        <w:pStyle w:val="Heading2"/>
        <w:pageBreakBefore/>
      </w:pPr>
      <w:r>
        <w:rPr>
          <w:lang w:val="vi-VN"/>
        </w:rPr>
        <w:t xml:space="preserve">2.5. Kiến trúc thông tin và phác thảo độ trung thực thấp</w:t>
      </w:r>
    </w:p>
    <w:bookmarkStart w:id="784" w:name="sitemap-và-điều-hướng"/>
    <w:p>
      <w:pPr>
        <w:pStyle w:val="Heading3"/>
        <w:pageBreakBefore/>
      </w:pPr>
      <w:r>
        <w:rPr>
          <w:lang w:val="vi-VN"/>
        </w:rPr>
        <w:t xml:space="preserve">2.5.1. Sitemap và điều hướng</w:t>
      </w:r>
    </w:p>
    <w:p>
      <w:pPr>
        <w:pStyle w:val="FirstParagraph"/>
      </w:pPr>
      <w:r>
        <w:rPr>
          <w:lang w:val="vi-VN"/>
        </w:rPr>
        <w:t xml:space="preserve">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jc w:val="center"/>
      </w:pPr>
      <w:r>
        <w:rPr>
          <w:i w:val="0"/>
          <w:lang w:val="vi-VN"/>
        </w:rPr>
        <w:t xml:space="preserve">Hình 10. Sitemap của ứng dụng.</w:t>
      </w:r>
    </w:p>
    <w:bookmarkEnd w:id="784"/>
    <w:bookmarkStart w:id="794" w:name="bản-phác-thảo-số-low-fi-dựa-trên-hta"/>
    <w:p>
      <w:pPr>
        <w:pStyle w:val="Heading3"/>
        <w:pageBreakBefore/>
      </w:pPr>
      <w:r>
        <w:rPr>
          <w:lang w:val="vi-VN"/>
        </w:rPr>
        <w:t xml:space="preserve">2.5.2. Bản phác thảo số low-fi dựa trên HTA</w:t>
      </w:r>
    </w:p>
    <w:p>
      <w:pPr>
        <w:pStyle w:val="FirstParagraph"/>
      </w:pPr>
      <w:r>
        <w:rPr>
          <w:lang w:val="vi-VN"/>
        </w:rPr>
        <w:t xml:space="preserve">Ba phác thảo số mô tả luồng miễn phí, trợ năng và Premium. Chúng chưa thay cho bản vẽ tay trên giấy hoặc wireframe medium-fi.</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jc w:val="center"/>
      </w:pPr>
      <w:r>
        <w:rPr>
          <w:i w:val="0"/>
          <w:lang w:val="vi-VN"/>
        </w:rPr>
        <w:t xml:space="preserve">Hình 13. Phác thảo tour trả phí.</w:t>
      </w:r>
    </w:p>
    <w:bookmarkEnd w:id="794"/>
    <w:bookmarkEnd w:id="795"/>
    <w:bookmarkStart w:id="814" w:name="X35e3f36cf956de191143118e9210ab6a2945c6d"/>
    <w:p>
      <w:pPr>
        <w:pStyle w:val="Heading2"/>
        <w:pageBreakBefore/>
      </w:pPr>
      <w:r>
        <w:rPr>
          <w:lang w:val="vi-VN"/>
        </w:rPr>
        <w:t xml:space="preserve">2.6. Rà soát và điều chỉnh giao diện theo nguyên tắc khả dụng</w:t>
      </w:r>
    </w:p>
    <w:p>
      <w:pPr>
        <w:pStyle w:val="FirstParagraph"/>
      </w:pPr>
      <w:r>
        <w:rPr>
          <w:lang w:val="vi-VN"/>
        </w:rPr>
        <w:t xml:space="preserve">Đánh giá theo 10 nguyên tắc của Nielsen dẫn đến ba điều chỉnh chính: thêm lối danh sách khi QR lỗi, hiển thị trạng thái trình phát, và đặt giá cùng phần nghe thử trước xác nhận mua. Đây là rà soát thiết kế, chưa phải kiểm thử với người dùng.</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jc w:val="center"/>
      </w:pPr>
      <w:r>
        <w:rPr>
          <w:i w:val="0"/>
          <w:lang w:val="vi-VN"/>
        </w:rPr>
        <w:t xml:space="preserve">Hình 14. Mockup Figma: mở hiện vật và nghe chuyện miễn phí.</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jc w:val="center"/>
      </w:pPr>
      <w:r>
        <w:rPr>
          <w:i w:val="0"/>
          <w:lang w:val="vi-VN"/>
        </w:rPr>
        <w:t xml:space="preserve">Hình 15. Mockup Figma: giá trước khi mua và lối tiếp tục khi AR lỗi.</w:t>
      </w:r>
    </w:p>
    <w:p>
      <w:pPr>
        <w:pStyle w:val="BodyText"/>
        <w:keepNext/>
        <w:keepLines/>
      </w:pPr>
      <w:r>
        <w:drawing>
          <wp:inline>
            <wp:extent cx="2416302" cy="5229125"/>
            <wp:effectExtent b="0" l="0" r="0" t="0"/>
            <wp:docPr descr="Thiết lập trợ năng" title="" id="809" name="Picture"/>
            <a:graphic>
              <a:graphicData uri="http://schemas.openxmlformats.org/drawingml/2006/picture">
                <pic:pic>
                  <pic:nvPicPr>
                    <pic:cNvPr descr="../04-design/high-fidelity/06-tro-nang.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2" name="Picture"/>
            <a:graphic>
              <a:graphicData uri="http://schemas.openxmlformats.org/drawingml/2006/picture">
                <pic:pic>
                  <pic:nvPicPr>
                    <pic:cNvPr descr="../04-design/high-fidelity/20-camera-khong-co-quyen.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jc w:val="center"/>
      </w:pPr>
      <w:r>
        <w:rPr>
          <w:i w:val="0"/>
          <w:lang w:val="vi-VN"/>
        </w:rPr>
        <w:t xml:space="preserve">Hình 16. Mockup Figma: thiết lập trợ năng và lối mở không dùng camera.</w:t>
      </w:r>
    </w:p>
    <w:p>
      <w:pPr>
        <w:pStyle w:val="BodyText"/>
      </w:pPr>
      <w:r>
        <w:rPr>
          <w:lang w:val="vi-VN"/>
        </w:rPr>
        <w:t xml:space="preserve">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14"/>
    <w:bookmarkStart w:id="818" w:name="liên-kết-xem-thiết-kế-và-bản-thử-nghiệm"/>
    <w:p>
      <w:pPr>
        <w:pStyle w:val="Heading2"/>
      </w:pPr>
      <w:r>
        <w:rPr>
          <w:lang w:val="vi-VN"/>
        </w:rPr>
        <w:t xml:space="preserve">2.7. Liên kết xem thiết kế và bản thử nghiệm</w:t>
      </w:r>
    </w:p>
    <w:p>
      <w:pPr>
        <w:pStyle w:val="Compact"/>
        <w:numPr>
          <w:ilvl w:val="0"/>
          <w:numId w:val="1001"/>
        </w:numPr>
      </w:pPr>
      <w:hyperlink r:id="rId815">
        <w:r>
          <w:rPr>
            <w:rStyle w:val="Hyperlink"/>
            <w:lang w:val="vi-VN"/>
          </w:rPr>
          <w:t xml:space="preserve">Mockup Figma mức cao: 22 màn hình</w:t>
        </w:r>
      </w:hyperlink>
      <w:r>
        <w:rPr>
          <w:lang w:val="vi-VN"/>
        </w:rPr>
        <w:t xml:space="preserve">.</w:t>
      </w:r>
    </w:p>
    <w:p>
      <w:pPr>
        <w:pStyle w:val="Compact"/>
        <w:numPr>
          <w:ilvl w:val="0"/>
          <w:numId w:val="1001"/>
        </w:numPr>
      </w:pPr>
      <w:hyperlink r:id="rId816">
        <w:r>
          <w:rPr>
            <w:rStyle w:val="Hyperlink"/>
            <w:lang w:val="vi-VN"/>
          </w:rPr>
          <w:t xml:space="preserve">Phác thảo Figma low-fi: ba luồng</w:t>
        </w:r>
      </w:hyperlink>
      <w:r>
        <w:rPr>
          <w:lang w:val="vi-VN"/>
        </w:rPr>
        <w:t xml:space="preserve">.</w:t>
      </w:r>
    </w:p>
    <w:p>
      <w:pPr>
        <w:pStyle w:val="Compact"/>
        <w:numPr>
          <w:ilvl w:val="0"/>
          <w:numId w:val="1001"/>
        </w:numPr>
      </w:pPr>
      <w:r>
        <w:rPr>
          <w:lang w:val="vi-VN"/>
        </w:rPr>
        <w:t xml:space="preserve">Demo trực tuyến: chưa ghi nhận liên kết công khai.</w:t>
      </w:r>
    </w:p>
    <w:p>
      <w:pPr>
        <w:pStyle w:val="Compact"/>
        <w:numPr>
          <w:ilvl w:val="0"/>
          <w:numId w:val="1001"/>
        </w:numPr>
      </w:pPr>
      <w:hyperlink r:id="rId817">
        <w:r>
          <w:rPr>
            <w:rStyle w:val="Hyperlink"/>
            <w:lang w:val="vi-VN"/>
          </w:rPr>
          <w:t xml:space="preserve">Mã nguồn Dấu Xưa trên GitHub</w:t>
        </w:r>
      </w:hyperlink>
      <w:r>
        <w:rPr>
          <w:lang w:val="vi-VN"/>
        </w:rPr>
        <w:t xml:space="preserve">.</w:t>
      </w:r>
    </w:p>
    <w:bookmarkEnd w:id="818"/>
    <w:bookmarkEnd w:id="819"/>
    <w:bookmarkStart w:id="827" w:name="tài-liệu-tham-khảo"/>
    <w:p>
      <w:pPr>
        <w:pStyle w:val="Heading1"/>
        <w:pageBreakBefore/>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20">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21">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22">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23">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24">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 xml:space="preserve">W3C Web Accessibility Initiative (2024a),</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25">
        <w:r>
          <w:rPr>
            <w:rStyle w:val="Hyperlink"/>
            <w:lang w:val="vi-VN"/>
          </w:rPr>
          <w:t xml:space="preserve">https://www.w3.org/WAI/people-use-web/</w:t>
        </w:r>
      </w:hyperlink>
      <w:r>
        <w:rPr>
          <w:lang w:val="vi-VN"/>
        </w:rPr>
        <w:t xml:space="preserve">.</w:t>
      </w:r>
    </w:p>
    <w:p>
      <w:pPr>
        <w:pStyle w:val="BodyText"/>
      </w:pPr>
      <w:r>
        <w:rPr>
          <w:lang w:val="vi-VN"/>
        </w:rPr>
        <w:t xml:space="preserve">W3C Web Accessibility Initiative (2024b),</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26">
        <w:r>
          <w:rPr>
            <w:rStyle w:val="Hyperlink"/>
            <w:lang w:val="vi-VN"/>
          </w:rPr>
          <w:t xml:space="preserve">https://www.w3.org/WAI/planning/involving-users/</w:t>
        </w:r>
      </w:hyperlink>
      <w:r>
        <w:rPr>
          <w:lang w:val="vi-VN"/>
        </w:rPr>
        <w:t xml:space="preserve">.</w:t>
      </w:r>
    </w:p>
    <w:bookmarkEnd w:id="827"/>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799" Type="http://schemas.openxmlformats.org/officeDocument/2006/relationships/image" Target="media/rId799.png"/><Relationship Id="rId805" Type="http://schemas.openxmlformats.org/officeDocument/2006/relationships/image" Target="media/rId805.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20" Type="http://schemas.openxmlformats.org/officeDocument/2006/relationships/hyperlink" Target="https://apps.apple.com/gb/app/smartify-arts-and-culture/id1102736524" TargetMode="External"/><Relationship Id="rId821" Type="http://schemas.openxmlformats.org/officeDocument/2006/relationships/hyperlink" Target="https://apps.apple.com/us/app/connects-arts-culture/id1476456847" TargetMode="External"/><Relationship Id="rId817" Type="http://schemas.openxmlformats.org/officeDocument/2006/relationships/hyperlink" Target="https://github.com/minhtien0498/IT2019.11.CH-Dau-Xua" TargetMode="External"/><Relationship Id="rId824" Type="http://schemas.openxmlformats.org/officeDocument/2006/relationships/hyperlink" Target="https://play.google.com/store/apps/details?id=com.mobgen.smartify" TargetMode="External"/><Relationship Id="rId822" Type="http://schemas.openxmlformats.org/officeDocument/2006/relationships/hyperlink" Target="https://www.bloombergconnects.org/" TargetMode="External"/><Relationship Id="rId816" Type="http://schemas.openxmlformats.org/officeDocument/2006/relationships/hyperlink" Target="https://www.figma.com/design/Hswz66mX3mCWBZLek8EF2o" TargetMode="External"/><Relationship Id="rId815" Type="http://schemas.openxmlformats.org/officeDocument/2006/relationships/hyperlink" Target="https://www.figma.com/design/fYqJNkIZOrHHubt2pVu7Y5" TargetMode="External"/><Relationship Id="rId823" Type="http://schemas.openxmlformats.org/officeDocument/2006/relationships/hyperlink" Target="https://www.nngroup.com/articles/ten-usability-heuristics/" TargetMode="External"/><Relationship Id="rId825" Type="http://schemas.openxmlformats.org/officeDocument/2006/relationships/hyperlink" Target="https://www.w3.org/WAI/people-use-web/" TargetMode="External"/><Relationship Id="rId826"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20" Type="http://schemas.openxmlformats.org/officeDocument/2006/relationships/hyperlink" Target="https://apps.apple.com/gb/app/smartify-arts-and-culture/id1102736524" TargetMode="External"/><Relationship Id="rId821" Type="http://schemas.openxmlformats.org/officeDocument/2006/relationships/hyperlink" Target="https://apps.apple.com/us/app/connects-arts-culture/id1476456847" TargetMode="External"/><Relationship Id="rId817" Type="http://schemas.openxmlformats.org/officeDocument/2006/relationships/hyperlink" Target="https://github.com/minhtien0498/IT2019.11.CH-Dau-Xua" TargetMode="External"/><Relationship Id="rId824" Type="http://schemas.openxmlformats.org/officeDocument/2006/relationships/hyperlink" Target="https://play.google.com/store/apps/details?id=com.mobgen.smartify" TargetMode="External"/><Relationship Id="rId822" Type="http://schemas.openxmlformats.org/officeDocument/2006/relationships/hyperlink" Target="https://www.bloombergconnects.org/" TargetMode="External"/><Relationship Id="rId816" Type="http://schemas.openxmlformats.org/officeDocument/2006/relationships/hyperlink" Target="https://www.figma.com/design/Hswz66mX3mCWBZLek8EF2o" TargetMode="External"/><Relationship Id="rId815" Type="http://schemas.openxmlformats.org/officeDocument/2006/relationships/hyperlink" Target="https://www.figma.com/design/fYqJNkIZOrHHubt2pVu7Y5" TargetMode="External"/><Relationship Id="rId823" Type="http://schemas.openxmlformats.org/officeDocument/2006/relationships/hyperlink" Target="https://www.nngroup.com/articles/ten-usability-heuristics/" TargetMode="External"/><Relationship Id="rId825" Type="http://schemas.openxmlformats.org/officeDocument/2006/relationships/hyperlink" Target="https://www.w3.org/WAI/people-use-web/" TargetMode="External"/><Relationship Id="rId826"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2026-10-25T00:53:08Z</dcterms:created>
  <dcterms:modified xsi:type="dcterms:W3CDTF">2026-10-25T00:53:08Z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