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Quy trình UCD tham khảo bộ slide môn học (Vi Chí Thành, 2026),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t xml:space="preserve">Vi Chí Thành (2026), </w:t>
      </w:r>
      <w:r>
        <w:rPr>
          <w:i/>
        </w:rPr>
        <w:t>Tương tác người – máy</w:t>
      </w:r>
      <w:r>
        <w:t xml:space="preserve"> [bộ slide bài giảng]. Trường Đại học Công nghệ Thông tin, ĐHQG-HCM. Các bài giảng:</w:t>
      </w:r>
    </w:p>
    <w:p>
      <w:pPr>
        <w:pStyle w:val="BodyText"/>
        <w:ind w:left="454" w:hanging="198"/>
      </w:pPr>
      <w:r>
        <w:t xml:space="preserve">• Tuần 1: </w:t>
      </w:r>
      <w:r>
        <w:rPr>
          <w:i/>
        </w:rPr>
        <w:t>What is HCI</w:t>
      </w:r>
      <w:r>
        <w:t>.</w:t>
      </w:r>
    </w:p>
    <w:p>
      <w:pPr>
        <w:pStyle w:val="BodyText"/>
        <w:ind w:left="454" w:hanging="198"/>
      </w:pPr>
      <w:r>
        <w:t xml:space="preserve">• Tuần 2: </w:t>
      </w:r>
      <w:r>
        <w:rPr>
          <w:i/>
        </w:rPr>
        <w:t>Introduction to User-Centred Design Methods</w:t>
      </w:r>
      <w:r>
        <w:t>.</w:t>
      </w:r>
    </w:p>
    <w:p>
      <w:pPr>
        <w:pStyle w:val="BodyText"/>
        <w:ind w:left="454" w:hanging="198"/>
      </w:pPr>
      <w:r>
        <w:t xml:space="preserve">• Tuần 3: </w:t>
      </w:r>
      <w:r>
        <w:rPr>
          <w:i/>
        </w:rPr>
        <w:t>Introduction to Accessibility and Inclusive Design</w:t>
      </w:r>
      <w:r>
        <w:t>.</w:t>
      </w:r>
    </w:p>
    <w:p>
      <w:pPr>
        <w:pStyle w:val="BodyText"/>
        <w:ind w:left="454" w:hanging="198"/>
      </w:pPr>
      <w:r>
        <w:t xml:space="preserve">• Tuần 4: </w:t>
      </w:r>
      <w:r>
        <w:rPr>
          <w:i/>
        </w:rPr>
        <w:t>Interaction Design and Usability</w:t>
      </w:r>
      <w:r>
        <w:t>.</w:t>
      </w:r>
    </w:p>
    <w:p>
      <w:pPr>
        <w:pStyle w:val="BodyText"/>
        <w:ind w:left="454" w:hanging="198"/>
      </w:pPr>
      <w:r>
        <w:t xml:space="preserve">• Tuần 5: </w:t>
      </w:r>
      <w:r>
        <w:rPr>
          <w:i/>
        </w:rPr>
        <w:t>Information Architecture and Navigation Design</w:t>
      </w:r>
      <w:r>
        <w:t>.</w:t>
      </w:r>
    </w:p>
    <w:p>
      <w:pPr>
        <w:pStyle w:val="BodyText"/>
        <w:ind w:left="454" w:hanging="198"/>
      </w:pPr>
      <w:r>
        <w:t xml:space="preserve">• Tuần 6: </w:t>
      </w:r>
      <w:r>
        <w:rPr>
          <w:i/>
        </w:rPr>
        <w:t>Introduction to Visual Design Principles</w:t>
      </w:r>
      <w:r>
        <w:t>.</w:t>
      </w:r>
    </w:p>
    <w:p>
      <w:pPr>
        <w:pStyle w:val="BodyText"/>
        <w:ind w:left="454" w:hanging="198"/>
      </w:pPr>
      <w:r>
        <w:t xml:space="preserve">• Tuần 8 (tệp 07): </w:t>
      </w:r>
      <w:r>
        <w:rPr>
          <w:i/>
        </w:rPr>
        <w:t>User Testing and Evaluation Methods</w:t>
      </w:r>
      <w:r>
        <w:t>.</w:t>
      </w:r>
    </w:p>
    <w:p>
      <w:pPr>
        <w:pStyle w:val="BodyText"/>
      </w:pPr>
      <w:r>
        <w:rPr>
          <w:lang w:val="vi-VN"/>
        </w:rPr>
        <w:t>W3C Web Accessibility Initiative (2024),</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W3C Web Accessibility Initiative (2020),</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